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7B" w:rsidRPr="00C13F1F" w:rsidRDefault="00E83D7B" w:rsidP="00E83D7B">
      <w:pPr>
        <w:spacing w:line="360" w:lineRule="auto"/>
        <w:rPr>
          <w:rFonts w:ascii="Verdana" w:hAnsi="Verdana" w:cs="Arial"/>
          <w:b/>
          <w:sz w:val="20"/>
        </w:rPr>
      </w:pPr>
      <w:r w:rsidRPr="00C13F1F">
        <w:rPr>
          <w:rFonts w:ascii="Verdana" w:hAnsi="Verdana" w:cs="Arial"/>
          <w:b/>
          <w:sz w:val="20"/>
        </w:rPr>
        <w:t>Wijziging van de begrotingsstaten van het Ministerie van Onderwijs, Cultuur en Wetenschap (VIII) voor het jaar 201</w:t>
      </w:r>
      <w:r w:rsidR="00B05535">
        <w:rPr>
          <w:rFonts w:ascii="Verdana" w:hAnsi="Verdana" w:cs="Arial"/>
          <w:b/>
          <w:sz w:val="20"/>
        </w:rPr>
        <w:t>7</w:t>
      </w:r>
      <w:r w:rsidRPr="00C13F1F">
        <w:rPr>
          <w:rFonts w:ascii="Verdana" w:hAnsi="Verdana" w:cs="Arial"/>
          <w:b/>
          <w:sz w:val="20"/>
        </w:rPr>
        <w:t xml:space="preserve"> (Eerste suppletoire begroting)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b/>
          <w:sz w:val="20"/>
        </w:rPr>
      </w:pPr>
      <w:r w:rsidRPr="00C13F1F">
        <w:rPr>
          <w:rFonts w:ascii="Verdana" w:hAnsi="Verdana" w:cs="Arial"/>
          <w:b/>
          <w:sz w:val="20"/>
        </w:rPr>
        <w:t>VOORSTEL VAN WET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Wij Willem-Alexander, bij de gratie Gods, Koning der Nederlanden, Prins van Oranje-Nassau, enz. enz. enz.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Allen, die deze zullen zien of horen lezen, saluut! doen te weten: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Alzo Wij in overweging genomen hebben, dat de noodzaak is gebleken van een wijziging van de departementale begrotingsstaat van het Ministerie van Onderwijs, Cultuur en Wetenschap (VIII)</w:t>
      </w:r>
      <w:r w:rsidR="00B52054">
        <w:rPr>
          <w:rFonts w:ascii="Verdana" w:hAnsi="Verdana" w:cs="Arial"/>
          <w:sz w:val="20"/>
        </w:rPr>
        <w:t xml:space="preserve">, </w:t>
      </w:r>
      <w:r w:rsidR="00B52054" w:rsidRPr="00B52054">
        <w:rPr>
          <w:rFonts w:ascii="Verdana" w:hAnsi="Verdana" w:cs="Arial"/>
          <w:sz w:val="20"/>
        </w:rPr>
        <w:t>van de begrotingsstaat inzake de agentschap</w:t>
      </w:r>
      <w:r w:rsidR="00B52054">
        <w:rPr>
          <w:rFonts w:ascii="Verdana" w:hAnsi="Verdana" w:cs="Arial"/>
          <w:sz w:val="20"/>
        </w:rPr>
        <w:t xml:space="preserve"> DUO</w:t>
      </w:r>
      <w:r w:rsidR="00B52054" w:rsidRPr="00B52054">
        <w:rPr>
          <w:rFonts w:ascii="Verdana" w:hAnsi="Verdana" w:cs="Arial"/>
          <w:sz w:val="20"/>
        </w:rPr>
        <w:t xml:space="preserve"> van dit ministerie</w:t>
      </w:r>
      <w:r w:rsidR="00B52054">
        <w:rPr>
          <w:rFonts w:ascii="Verdana" w:hAnsi="Verdana" w:cs="Arial"/>
          <w:sz w:val="20"/>
        </w:rPr>
        <w:t>,</w:t>
      </w:r>
      <w:r w:rsidR="00B52054" w:rsidRPr="00B52054">
        <w:rPr>
          <w:rFonts w:ascii="Verdana" w:hAnsi="Verdana" w:cs="Arial"/>
          <w:sz w:val="20"/>
        </w:rPr>
        <w:t xml:space="preserve"> </w:t>
      </w:r>
      <w:r w:rsidR="00B52054">
        <w:rPr>
          <w:rFonts w:ascii="Verdana" w:hAnsi="Verdana" w:cs="Arial"/>
          <w:sz w:val="20"/>
        </w:rPr>
        <w:t>alle</w:t>
      </w:r>
      <w:r w:rsidR="00100EAA">
        <w:rPr>
          <w:rFonts w:ascii="Verdana" w:hAnsi="Verdana" w:cs="Arial"/>
          <w:sz w:val="20"/>
        </w:rPr>
        <w:t xml:space="preserve"> </w:t>
      </w:r>
      <w:r w:rsidRPr="00C13F1F">
        <w:rPr>
          <w:rFonts w:ascii="Verdana" w:hAnsi="Verdana" w:cs="Arial"/>
          <w:sz w:val="20"/>
        </w:rPr>
        <w:t>voor het jaar 201</w:t>
      </w:r>
      <w:r w:rsidR="00B05535">
        <w:rPr>
          <w:rFonts w:ascii="Verdana" w:hAnsi="Verdana" w:cs="Arial"/>
          <w:sz w:val="20"/>
        </w:rPr>
        <w:t>7</w:t>
      </w:r>
      <w:r w:rsidRPr="00C13F1F">
        <w:rPr>
          <w:rFonts w:ascii="Verdana" w:hAnsi="Verdana" w:cs="Arial"/>
          <w:sz w:val="20"/>
        </w:rPr>
        <w:t>;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Zo is het, dat Wij met gemeen overleg der Staten-Generaal, hebben goedgevonden en verstaan, gelijk Wij goedvinden en verstaan bij deze: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b/>
          <w:sz w:val="20"/>
        </w:rPr>
      </w:pPr>
      <w:r w:rsidRPr="00C13F1F">
        <w:rPr>
          <w:rFonts w:ascii="Verdana" w:hAnsi="Verdana" w:cs="Arial"/>
          <w:b/>
          <w:sz w:val="20"/>
        </w:rPr>
        <w:t>Artikel 1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De departementale begrotingsstaat voor het jaar 201</w:t>
      </w:r>
      <w:r w:rsidR="00B05535">
        <w:rPr>
          <w:rFonts w:ascii="Verdana" w:hAnsi="Verdana" w:cs="Arial"/>
          <w:sz w:val="20"/>
        </w:rPr>
        <w:t>7</w:t>
      </w:r>
      <w:r w:rsidRPr="00C13F1F">
        <w:rPr>
          <w:rFonts w:ascii="Verdana" w:hAnsi="Verdana" w:cs="Arial"/>
          <w:sz w:val="20"/>
        </w:rPr>
        <w:t xml:space="preserve"> wordt gewijzigd, zoals blijkt uit de desbetreffende bij deze wet behorende staat.</w:t>
      </w:r>
    </w:p>
    <w:p w:rsidR="00E83D7B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C22DCB" w:rsidRPr="00C22DCB" w:rsidRDefault="00C22DCB" w:rsidP="00C22DCB">
      <w:pPr>
        <w:spacing w:line="360" w:lineRule="auto"/>
        <w:rPr>
          <w:rFonts w:ascii="Verdana" w:hAnsi="Verdana" w:cs="Arial"/>
          <w:b/>
          <w:sz w:val="20"/>
        </w:rPr>
      </w:pPr>
      <w:r w:rsidRPr="00C22DCB">
        <w:rPr>
          <w:rFonts w:ascii="Verdana" w:hAnsi="Verdana" w:cs="Arial"/>
          <w:b/>
          <w:sz w:val="20"/>
        </w:rPr>
        <w:t>Artikel 2</w:t>
      </w:r>
    </w:p>
    <w:p w:rsidR="00C22DCB" w:rsidRPr="00C22DCB" w:rsidRDefault="00C22DCB" w:rsidP="00C22DCB">
      <w:pPr>
        <w:spacing w:line="360" w:lineRule="auto"/>
        <w:rPr>
          <w:rFonts w:ascii="Verdana" w:hAnsi="Verdana" w:cs="Arial"/>
          <w:sz w:val="20"/>
        </w:rPr>
      </w:pPr>
      <w:r w:rsidRPr="00C22DCB">
        <w:rPr>
          <w:rFonts w:ascii="Verdana" w:hAnsi="Verdana" w:cs="Arial"/>
          <w:sz w:val="20"/>
        </w:rPr>
        <w:t>De begrotingsstaat inzake agentschap DUO voor het jaar 201</w:t>
      </w:r>
      <w:r>
        <w:rPr>
          <w:rFonts w:ascii="Verdana" w:hAnsi="Verdana" w:cs="Arial"/>
          <w:sz w:val="20"/>
        </w:rPr>
        <w:t>7</w:t>
      </w:r>
      <w:r w:rsidRPr="00C22DCB">
        <w:rPr>
          <w:rFonts w:ascii="Verdana" w:hAnsi="Verdana" w:cs="Arial"/>
          <w:sz w:val="20"/>
        </w:rPr>
        <w:t xml:space="preserve"> wordt gewijzigd, zoals blijkt uit de desbetreffende bij deze wet behorende staat.</w:t>
      </w:r>
    </w:p>
    <w:p w:rsidR="00C22DCB" w:rsidRDefault="00C22DCB" w:rsidP="00E83D7B">
      <w:pPr>
        <w:spacing w:line="360" w:lineRule="auto"/>
        <w:rPr>
          <w:rFonts w:ascii="Verdana" w:hAnsi="Verdana" w:cs="Arial"/>
          <w:b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b/>
          <w:sz w:val="20"/>
        </w:rPr>
      </w:pPr>
      <w:r w:rsidRPr="00C13F1F">
        <w:rPr>
          <w:rFonts w:ascii="Verdana" w:hAnsi="Verdana" w:cs="Arial"/>
          <w:b/>
          <w:sz w:val="20"/>
        </w:rPr>
        <w:t xml:space="preserve">Artikel </w:t>
      </w:r>
      <w:r w:rsidR="00C22DCB">
        <w:rPr>
          <w:rFonts w:ascii="Verdana" w:hAnsi="Verdana" w:cs="Arial"/>
          <w:b/>
          <w:sz w:val="20"/>
        </w:rPr>
        <w:t>3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8471F2">
        <w:rPr>
          <w:rFonts w:ascii="Verdana" w:hAnsi="Verdana" w:cs="Arial"/>
          <w:sz w:val="20"/>
        </w:rPr>
        <w:t>De vaststelling van de in artikel 1 bedoelde begrotingsstaat</w:t>
      </w:r>
      <w:r w:rsidRPr="00C13F1F">
        <w:rPr>
          <w:rFonts w:ascii="Verdana" w:hAnsi="Verdana" w:cs="Arial"/>
          <w:sz w:val="20"/>
        </w:rPr>
        <w:t xml:space="preserve"> geschiedt in duizenden euro's.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b/>
          <w:sz w:val="20"/>
        </w:rPr>
      </w:pPr>
      <w:r w:rsidRPr="00C13F1F">
        <w:rPr>
          <w:rFonts w:ascii="Verdana" w:hAnsi="Verdana" w:cs="Arial"/>
          <w:b/>
          <w:sz w:val="20"/>
        </w:rPr>
        <w:t xml:space="preserve">Artikel </w:t>
      </w:r>
      <w:r w:rsidR="00C22DCB">
        <w:rPr>
          <w:rFonts w:ascii="Verdana" w:hAnsi="Verdana" w:cs="Arial"/>
          <w:b/>
          <w:sz w:val="20"/>
        </w:rPr>
        <w:t>4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Deze wet treedt in werking met ingang van 1 juni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lastRenderedPageBreak/>
        <w:t>Lasten en bevelen dat deze in het Staatsblad zal worden geplaatst en dat alle ministeries, autoriteiten, colleges en ambtenaren wie zulks aangaat, aan de nauwkeurige uitvoering de hand zullen houden.</w:t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Gegeven,</w:t>
      </w:r>
    </w:p>
    <w:p w:rsidR="00C22DCB" w:rsidRDefault="00E83D7B" w:rsidP="00E83D7B">
      <w:pPr>
        <w:spacing w:line="360" w:lineRule="auto"/>
        <w:rPr>
          <w:rFonts w:ascii="Verdana" w:hAnsi="Verdana" w:cs="Arial"/>
          <w:sz w:val="20"/>
        </w:rPr>
      </w:pPr>
      <w:r w:rsidRPr="00C13F1F">
        <w:rPr>
          <w:rFonts w:ascii="Verdana" w:hAnsi="Verdana" w:cs="Arial"/>
          <w:sz w:val="20"/>
        </w:rPr>
        <w:t>De Minister van Onderwijs, Cultuur en Wetenschap,</w:t>
      </w:r>
    </w:p>
    <w:p w:rsidR="00C22DCB" w:rsidRDefault="00C22DCB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spacing w:after="200"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:rsidR="00E83D7B" w:rsidRPr="00C13F1F" w:rsidRDefault="00E83D7B" w:rsidP="00E83D7B">
      <w:pPr>
        <w:spacing w:line="360" w:lineRule="auto"/>
        <w:rPr>
          <w:rFonts w:ascii="Verdana" w:hAnsi="Verdana" w:cs="Arial"/>
          <w:sz w:val="20"/>
        </w:rPr>
      </w:pPr>
    </w:p>
    <w:tbl>
      <w:tblPr>
        <w:tblW w:w="5963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982"/>
        <w:gridCol w:w="1415"/>
        <w:gridCol w:w="1279"/>
        <w:gridCol w:w="1270"/>
        <w:gridCol w:w="1417"/>
        <w:gridCol w:w="993"/>
        <w:gridCol w:w="1277"/>
      </w:tblGrid>
      <w:tr w:rsidR="00A75A28" w:rsidRPr="00A75A28" w:rsidTr="00812EDD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Wijziging van de begrotingsstaat van het Ministerie van Onderwijs, Cultuur en Wetenschap voor het jaar 2017 (Eerste suppletoire begroting) (bedragen x € 1.000)</w:t>
            </w:r>
          </w:p>
        </w:tc>
      </w:tr>
      <w:tr w:rsidR="008C51D8" w:rsidRPr="00D25981" w:rsidTr="00812EDD">
        <w:trPr>
          <w:trHeight w:val="225"/>
        </w:trPr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D25981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5981">
              <w:rPr>
                <w:rFonts w:ascii="Verdana" w:hAnsi="Verdana" w:cs="Arial"/>
                <w:b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D25981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5981">
              <w:rPr>
                <w:rFonts w:ascii="Verdana" w:hAnsi="Verdana" w:cs="Arial"/>
                <w:b/>
                <w:sz w:val="16"/>
                <w:szCs w:val="16"/>
              </w:rPr>
              <w:t>Omschrijving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D25981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5981">
              <w:rPr>
                <w:rFonts w:ascii="Verdana" w:hAnsi="Verdana" w:cs="Arial"/>
                <w:b/>
                <w:sz w:val="16"/>
                <w:szCs w:val="16"/>
              </w:rPr>
              <w:t>Vastgestelde begroting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D25981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5981">
              <w:rPr>
                <w:rFonts w:ascii="Verdana" w:hAnsi="Verdana" w:cs="Arial"/>
                <w:b/>
                <w:sz w:val="16"/>
                <w:szCs w:val="16"/>
              </w:rPr>
              <w:t> 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D25981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D25981">
              <w:rPr>
                <w:rFonts w:ascii="Verdana" w:hAnsi="Verdana" w:cs="Arial"/>
                <w:b/>
                <w:sz w:val="16"/>
                <w:szCs w:val="16"/>
              </w:rPr>
              <w:t>Mutaties 1e suppletoire begroting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37.423.049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37.187.537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1.341.582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1.035.260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994.004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-4.998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Beleidsartikelen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37.330.730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37.095.218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1.341.015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870.846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829.590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-4.998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Primair onderwijs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10.245.604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10.245.604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8.661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256.006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255.719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A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03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Voortgezet onderwijs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7.893.559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7.927.940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7.361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455.812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235.717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cs="Arial"/>
                <w:sz w:val="16"/>
                <w:szCs w:val="16"/>
              </w:rPr>
            </w:pPr>
            <w:r w:rsidRPr="00A75A28">
              <w:rPr>
                <w:rFonts w:cs="Arial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04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Beroepsonderwijs en volwasseneneducatie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4.229.244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4.217.206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123.762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23.487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A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06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Hoger beroepsonderwijs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2.889.725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2.814.350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1.213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239.576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114.484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07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Wetenschappelijk onderwijs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4.337.701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4.310.149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265.475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130.996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08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Internationaal beleid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10.744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11.538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A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09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Arbeidsmarkt en personeelsbeleid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177.431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179.667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6.000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8.107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8.107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Studiefinanciering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4.537.556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4.537.556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865.237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47.299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47.299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A28">
              <w:rPr>
                <w:rFonts w:ascii="Arial" w:hAnsi="Arial" w:cs="Arial"/>
                <w:sz w:val="16"/>
                <w:szCs w:val="16"/>
              </w:rPr>
              <w:t>-14.329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Tegemoetkoming onderwijsbijdrage en schoolkosten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89.241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89.241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3.066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368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-663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Lesgelden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6.748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6.748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246.267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-3.789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Cultuur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969.286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827.568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494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-636.350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-77.695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13.783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969.699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962.699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199.500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13.738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13.738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Onderzoek en wetenschapsbeleid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967.006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950.780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98.114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77.942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A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Emancipatie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7.186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14.172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-1.350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-861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A2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cs="Arial"/>
                <w:sz w:val="16"/>
                <w:szCs w:val="16"/>
              </w:rPr>
            </w:pPr>
            <w:r w:rsidRPr="00A75A2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color w:val="808080"/>
                <w:sz w:val="16"/>
                <w:szCs w:val="16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Niet-beleidsartikelen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92.319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92.319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164.414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164.414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75A28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Nominaal en onvoorzien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-150.051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-150.051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150.051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150.051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A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C51D8" w:rsidRPr="00A75A28" w:rsidTr="008C51D8">
        <w:trPr>
          <w:trHeight w:val="225"/>
        </w:trPr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95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Apparaatskosten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242.370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242.370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75A28">
              <w:rPr>
                <w:rFonts w:ascii="Verdana" w:hAnsi="Verdana" w:cs="Arial"/>
                <w:sz w:val="16"/>
                <w:szCs w:val="16"/>
              </w:rPr>
              <w:t>567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14.363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75A28">
              <w:rPr>
                <w:rFonts w:ascii="Verdana" w:hAnsi="Verdana" w:cs="Arial"/>
                <w:color w:val="000000"/>
                <w:sz w:val="16"/>
                <w:szCs w:val="16"/>
              </w:rPr>
              <w:t>14.363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A28" w:rsidRPr="00A75A28" w:rsidRDefault="00A75A28" w:rsidP="00A75A28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A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A75A28" w:rsidRDefault="00A75A28">
      <w:pPr>
        <w:rPr>
          <w:rFonts w:ascii="Verdana" w:hAnsi="Verdana"/>
          <w:sz w:val="20"/>
        </w:rPr>
      </w:pPr>
    </w:p>
    <w:p w:rsidR="00C22DCB" w:rsidRDefault="00C22DCB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1139"/>
        <w:gridCol w:w="997"/>
        <w:gridCol w:w="969"/>
        <w:gridCol w:w="1196"/>
        <w:gridCol w:w="1024"/>
        <w:gridCol w:w="897"/>
      </w:tblGrid>
      <w:tr w:rsidR="00C22DCB" w:rsidRPr="00C22DCB" w:rsidTr="00C22DCB">
        <w:tc>
          <w:tcPr>
            <w:tcW w:w="5000" w:type="pct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22DCB" w:rsidRPr="00C22DCB" w:rsidRDefault="00C22DCB" w:rsidP="00D2598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2DCB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Wijziging begrotingsstaat inzake agentschap</w:t>
            </w:r>
            <w:r w:rsidR="00D2598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C22DCB">
              <w:rPr>
                <w:rFonts w:ascii="Verdana" w:hAnsi="Verdana"/>
                <w:b/>
                <w:bCs/>
                <w:sz w:val="16"/>
                <w:szCs w:val="16"/>
              </w:rPr>
              <w:t>voor het jaar 201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Pr="00C22DCB">
              <w:rPr>
                <w:rFonts w:ascii="Verdana" w:hAnsi="Verdana"/>
                <w:b/>
                <w:bCs/>
                <w:sz w:val="16"/>
                <w:szCs w:val="16"/>
              </w:rPr>
              <w:t xml:space="preserve"> (Eerste suppletoire begroting) (bedragen x € 1.000)</w:t>
            </w:r>
          </w:p>
        </w:tc>
      </w:tr>
      <w:tr w:rsidR="00C22DCB" w:rsidRPr="00D25981" w:rsidTr="00D25981"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D25981" w:rsidRDefault="00D25981" w:rsidP="00D25981">
            <w:pPr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</w:pPr>
            <w:r w:rsidRPr="00D2598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D25981" w:rsidRDefault="00C22DCB" w:rsidP="00D25981">
            <w:pPr>
              <w:rPr>
                <w:rFonts w:ascii="Verdana" w:eastAsiaTheme="minorHAnsi" w:hAnsi="Verdana"/>
                <w:b/>
                <w:bCs/>
                <w:color w:val="000000"/>
                <w:sz w:val="16"/>
                <w:szCs w:val="16"/>
              </w:rPr>
            </w:pPr>
            <w:r w:rsidRPr="00D2598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Vastgestelde begroting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CB" w:rsidRPr="00D25981" w:rsidRDefault="00D25981" w:rsidP="00D25981">
            <w:pPr>
              <w:rPr>
                <w:rFonts w:ascii="Verdana" w:eastAsiaTheme="minorHAnsi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Mutaties (+ of –) 1</w:t>
            </w:r>
            <w:r w:rsidRPr="00D25981">
              <w:rPr>
                <w:rFonts w:ascii="Verdana" w:hAnsi="Verdana"/>
                <w:b/>
                <w:bCs/>
                <w:color w:val="000000"/>
                <w:sz w:val="16"/>
                <w:szCs w:val="16"/>
                <w:vertAlign w:val="superscript"/>
              </w:rPr>
              <w:t>e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DCB" w:rsidRPr="00D2598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suppletoire begroting</w:t>
            </w:r>
          </w:p>
        </w:tc>
      </w:tr>
      <w:tr w:rsidR="00C22DCB" w:rsidRPr="00C22DCB" w:rsidTr="00B52054"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2DCB" w:rsidRPr="00C22DCB" w:rsidRDefault="00C22DCB" w:rsidP="00C22DCB">
            <w:pPr>
              <w:jc w:val="both"/>
              <w:rPr>
                <w:rFonts w:ascii="Verdana" w:eastAsiaTheme="minorHAns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C22DCB" w:rsidRDefault="00C22DCB" w:rsidP="00B52054">
            <w:pPr>
              <w:jc w:val="center"/>
              <w:rPr>
                <w:rFonts w:ascii="Verdana" w:eastAsiaTheme="minorHAnsi" w:hAnsi="Verdana"/>
                <w:bCs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Totaal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las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>ten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C22DCB" w:rsidRDefault="00C22DCB" w:rsidP="00B52054">
            <w:pPr>
              <w:jc w:val="center"/>
              <w:rPr>
                <w:rFonts w:ascii="Verdana" w:eastAsiaTheme="minorHAnsi" w:hAnsi="Verdana"/>
                <w:bCs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Totaal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ba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>ten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C22DCB" w:rsidRDefault="00C22DCB" w:rsidP="00B52054">
            <w:pPr>
              <w:jc w:val="center"/>
              <w:rPr>
                <w:rFonts w:ascii="Verdana" w:eastAsiaTheme="minorHAnsi" w:hAnsi="Verdana"/>
                <w:bCs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Saldo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last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en en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ba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>ten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C22DCB" w:rsidRDefault="00C22DCB" w:rsidP="00B52054">
            <w:pPr>
              <w:jc w:val="center"/>
              <w:rPr>
                <w:rFonts w:ascii="Verdana" w:eastAsiaTheme="minorHAnsi" w:hAnsi="Verdana"/>
                <w:bCs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Totaal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las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>ten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C22DCB" w:rsidRDefault="00C22DCB" w:rsidP="00B52054">
            <w:pPr>
              <w:jc w:val="center"/>
              <w:rPr>
                <w:rFonts w:ascii="Verdana" w:eastAsiaTheme="minorHAnsi" w:hAnsi="Verdana"/>
                <w:bCs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Totaal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ba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>ten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2DCB" w:rsidRPr="00C22DCB" w:rsidRDefault="00C22DCB" w:rsidP="00B52054">
            <w:pPr>
              <w:jc w:val="center"/>
              <w:rPr>
                <w:rFonts w:ascii="Verdana" w:eastAsiaTheme="minorHAnsi" w:hAnsi="Verdana"/>
                <w:bCs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Saldo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las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ten en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ba</w:t>
            </w:r>
            <w:r w:rsidRPr="00C22DCB">
              <w:rPr>
                <w:rFonts w:ascii="Verdana" w:hAnsi="Verdana"/>
                <w:bCs/>
                <w:color w:val="000000"/>
                <w:sz w:val="16"/>
                <w:szCs w:val="16"/>
              </w:rPr>
              <w:t>ten</w:t>
            </w:r>
          </w:p>
        </w:tc>
      </w:tr>
      <w:tr w:rsidR="00D25981" w:rsidRPr="00C22DCB" w:rsidTr="00C22DCB">
        <w:tc>
          <w:tcPr>
            <w:tcW w:w="1623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981" w:rsidRPr="00C22DCB" w:rsidRDefault="00D25981" w:rsidP="00C22DCB">
            <w:pPr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color w:val="000000"/>
                <w:sz w:val="16"/>
                <w:szCs w:val="16"/>
              </w:rPr>
              <w:t>Dienst Uitvoering Onderwijs (DUO)</w:t>
            </w:r>
          </w:p>
        </w:tc>
        <w:tc>
          <w:tcPr>
            <w:tcW w:w="618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C22DCB" w:rsidRDefault="00D25981" w:rsidP="00C22DCB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000000"/>
                <w:sz w:val="16"/>
                <w:szCs w:val="16"/>
              </w:rPr>
              <w:t>245.981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C22DCB" w:rsidRDefault="00D25981" w:rsidP="004448E1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000000"/>
                <w:sz w:val="16"/>
                <w:szCs w:val="16"/>
              </w:rPr>
              <w:t>245.981</w:t>
            </w:r>
          </w:p>
        </w:tc>
        <w:tc>
          <w:tcPr>
            <w:tcW w:w="526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981" w:rsidRPr="00C22DCB" w:rsidRDefault="00D25981" w:rsidP="00C22DCB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C22DCB" w:rsidRDefault="00D25981" w:rsidP="004448E1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000000"/>
                <w:sz w:val="16"/>
                <w:szCs w:val="16"/>
              </w:rPr>
              <w:t>18.000</w:t>
            </w:r>
          </w:p>
        </w:tc>
        <w:tc>
          <w:tcPr>
            <w:tcW w:w="556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C22DCB" w:rsidRDefault="00D25981" w:rsidP="004448E1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000000"/>
                <w:sz w:val="16"/>
                <w:szCs w:val="16"/>
              </w:rPr>
              <w:t>18.000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981" w:rsidRPr="00C22DCB" w:rsidRDefault="00D25981" w:rsidP="00C22DCB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D25981" w:rsidRPr="00C22DCB" w:rsidTr="00C22DCB">
        <w:tc>
          <w:tcPr>
            <w:tcW w:w="1623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981" w:rsidRPr="00C22DCB" w:rsidRDefault="00D25981" w:rsidP="00C22DCB">
            <w:pPr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Totaal 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D25981" w:rsidRDefault="00D25981" w:rsidP="00C22DCB">
            <w:pPr>
              <w:jc w:val="right"/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</w:pPr>
            <w:r w:rsidRPr="00D25981"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  <w:t>245.981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D25981" w:rsidRDefault="00D25981" w:rsidP="004448E1">
            <w:pPr>
              <w:jc w:val="right"/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</w:pPr>
            <w:r w:rsidRPr="00D25981"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  <w:t>245.981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981" w:rsidRPr="00C22DCB" w:rsidRDefault="00D25981" w:rsidP="00C22DCB">
            <w:pPr>
              <w:jc w:val="right"/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D25981" w:rsidRDefault="00D25981" w:rsidP="004448E1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000000"/>
                <w:sz w:val="16"/>
                <w:szCs w:val="16"/>
              </w:rPr>
              <w:t>18.000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5981" w:rsidRPr="00D25981" w:rsidRDefault="00D25981" w:rsidP="004448E1">
            <w:pPr>
              <w:jc w:val="right"/>
              <w:rPr>
                <w:rFonts w:ascii="Verdana" w:eastAsiaTheme="minorHAnsi" w:hAnsi="Verdana"/>
                <w:color w:val="000000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000000"/>
                <w:sz w:val="16"/>
                <w:szCs w:val="16"/>
              </w:rPr>
              <w:t>18.000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981" w:rsidRPr="00C22DCB" w:rsidRDefault="00D25981" w:rsidP="00C22DCB">
            <w:pPr>
              <w:jc w:val="right"/>
              <w:rPr>
                <w:rFonts w:ascii="Verdana" w:eastAsiaTheme="minorHAnsi" w:hAnsi="Verdana"/>
                <w:b/>
                <w:color w:val="000000"/>
                <w:sz w:val="16"/>
                <w:szCs w:val="16"/>
              </w:rPr>
            </w:pPr>
            <w:r w:rsidRPr="00C22DCB">
              <w:rPr>
                <w:rFonts w:ascii="Verdana" w:hAnsi="Verdana"/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173EC1" w:rsidRDefault="00173EC1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  <w:bookmarkStart w:id="0" w:name="_GoBack"/>
      <w:bookmarkEnd w:id="0"/>
    </w:p>
    <w:sectPr w:rsidR="00173EC1" w:rsidSect="005B13E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0C" w:rsidRDefault="008C070C" w:rsidP="00A75A28">
      <w:r>
        <w:separator/>
      </w:r>
    </w:p>
  </w:endnote>
  <w:endnote w:type="continuationSeparator" w:id="0">
    <w:p w:rsidR="008C070C" w:rsidRDefault="008C070C" w:rsidP="00A7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CWTalent">
    <w:altName w:val="Verdan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0C" w:rsidRDefault="008C070C" w:rsidP="00A75A28">
      <w:r>
        <w:separator/>
      </w:r>
    </w:p>
  </w:footnote>
  <w:footnote w:type="continuationSeparator" w:id="0">
    <w:p w:rsidR="008C070C" w:rsidRDefault="008C070C" w:rsidP="00A7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156"/>
    <w:multiLevelType w:val="multilevel"/>
    <w:tmpl w:val="11567D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76B87"/>
    <w:multiLevelType w:val="multilevel"/>
    <w:tmpl w:val="61DA3DAC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80DEE"/>
    <w:multiLevelType w:val="hybridMultilevel"/>
    <w:tmpl w:val="271A93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04158"/>
    <w:multiLevelType w:val="multilevel"/>
    <w:tmpl w:val="29CCE8C0"/>
    <w:lvl w:ilvl="0">
      <w:start w:val="2"/>
      <w:numFmt w:val="low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none"/>
      <w:isLgl/>
      <w:lvlText w:val="a."/>
      <w:lvlJc w:val="left"/>
      <w:pPr>
        <w:tabs>
          <w:tab w:val="num" w:pos="720"/>
        </w:tabs>
        <w:ind w:left="94" w:hanging="9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C4717C2"/>
    <w:multiLevelType w:val="hybridMultilevel"/>
    <w:tmpl w:val="582AD1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44F96"/>
    <w:multiLevelType w:val="hybridMultilevel"/>
    <w:tmpl w:val="C0DEAA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25799C"/>
    <w:multiLevelType w:val="hybridMultilevel"/>
    <w:tmpl w:val="8C66D1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564F03"/>
    <w:multiLevelType w:val="hybridMultilevel"/>
    <w:tmpl w:val="5EEE47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2A6CB2"/>
    <w:multiLevelType w:val="hybridMultilevel"/>
    <w:tmpl w:val="C6342FEA"/>
    <w:lvl w:ilvl="0" w:tplc="A39E8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145468"/>
    <w:multiLevelType w:val="hybridMultilevel"/>
    <w:tmpl w:val="CD7233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93080E"/>
    <w:multiLevelType w:val="multilevel"/>
    <w:tmpl w:val="61DA3DAC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D27F3E"/>
    <w:multiLevelType w:val="multilevel"/>
    <w:tmpl w:val="351E3A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275969"/>
    <w:multiLevelType w:val="hybridMultilevel"/>
    <w:tmpl w:val="CD8AB5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06F63"/>
    <w:multiLevelType w:val="hybridMultilevel"/>
    <w:tmpl w:val="EEEEB8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ED361A"/>
    <w:multiLevelType w:val="hybridMultilevel"/>
    <w:tmpl w:val="623AC8B8"/>
    <w:lvl w:ilvl="0" w:tplc="0413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4C8B42F3"/>
    <w:multiLevelType w:val="hybridMultilevel"/>
    <w:tmpl w:val="627EF1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11E24"/>
    <w:multiLevelType w:val="hybridMultilevel"/>
    <w:tmpl w:val="D60408B4"/>
    <w:lvl w:ilvl="0" w:tplc="0A70B25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910419"/>
    <w:multiLevelType w:val="multilevel"/>
    <w:tmpl w:val="D35A9D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72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40F2B"/>
    <w:multiLevelType w:val="multilevel"/>
    <w:tmpl w:val="04626E2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>
    <w:nsid w:val="5D1F31CC"/>
    <w:multiLevelType w:val="hybridMultilevel"/>
    <w:tmpl w:val="1CF8B7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605C7191"/>
    <w:multiLevelType w:val="hybridMultilevel"/>
    <w:tmpl w:val="177EA8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72C43"/>
    <w:multiLevelType w:val="hybridMultilevel"/>
    <w:tmpl w:val="A658FE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D85877"/>
    <w:multiLevelType w:val="hybridMultilevel"/>
    <w:tmpl w:val="2E18B2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2649C"/>
    <w:multiLevelType w:val="hybridMultilevel"/>
    <w:tmpl w:val="FAFA0F90"/>
    <w:lvl w:ilvl="0" w:tplc="0413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6E394312"/>
    <w:multiLevelType w:val="multilevel"/>
    <w:tmpl w:val="CE16B8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426019"/>
    <w:multiLevelType w:val="hybridMultilevel"/>
    <w:tmpl w:val="D608B3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66FB3"/>
    <w:multiLevelType w:val="hybridMultilevel"/>
    <w:tmpl w:val="FA7865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ED7ADF"/>
    <w:multiLevelType w:val="hybridMultilevel"/>
    <w:tmpl w:val="E60857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8"/>
  </w:num>
  <w:num w:numId="5">
    <w:abstractNumId w:val="0"/>
  </w:num>
  <w:num w:numId="6">
    <w:abstractNumId w:val="20"/>
  </w:num>
  <w:num w:numId="7">
    <w:abstractNumId w:val="11"/>
  </w:num>
  <w:num w:numId="8">
    <w:abstractNumId w:val="6"/>
  </w:num>
  <w:num w:numId="9">
    <w:abstractNumId w:val="19"/>
  </w:num>
  <w:num w:numId="10">
    <w:abstractNumId w:val="1"/>
  </w:num>
  <w:num w:numId="11">
    <w:abstractNumId w:val="17"/>
  </w:num>
  <w:num w:numId="12">
    <w:abstractNumId w:val="10"/>
  </w:num>
  <w:num w:numId="13">
    <w:abstractNumId w:val="2"/>
  </w:num>
  <w:num w:numId="14">
    <w:abstractNumId w:val="24"/>
  </w:num>
  <w:num w:numId="15">
    <w:abstractNumId w:val="7"/>
  </w:num>
  <w:num w:numId="16">
    <w:abstractNumId w:val="15"/>
  </w:num>
  <w:num w:numId="17">
    <w:abstractNumId w:val="22"/>
  </w:num>
  <w:num w:numId="18">
    <w:abstractNumId w:val="13"/>
  </w:num>
  <w:num w:numId="19">
    <w:abstractNumId w:val="8"/>
  </w:num>
  <w:num w:numId="20">
    <w:abstractNumId w:val="4"/>
  </w:num>
  <w:num w:numId="21">
    <w:abstractNumId w:val="25"/>
  </w:num>
  <w:num w:numId="22">
    <w:abstractNumId w:val="5"/>
  </w:num>
  <w:num w:numId="23">
    <w:abstractNumId w:val="26"/>
  </w:num>
  <w:num w:numId="24">
    <w:abstractNumId w:val="9"/>
  </w:num>
  <w:num w:numId="25">
    <w:abstractNumId w:val="23"/>
  </w:num>
  <w:num w:numId="26">
    <w:abstractNumId w:val="14"/>
  </w:num>
  <w:num w:numId="27">
    <w:abstractNumId w:val="16"/>
  </w:num>
  <w:num w:numId="28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7B"/>
    <w:rsid w:val="00014129"/>
    <w:rsid w:val="00045275"/>
    <w:rsid w:val="0004647B"/>
    <w:rsid w:val="000B1FAA"/>
    <w:rsid w:val="000B5C9F"/>
    <w:rsid w:val="000E32C0"/>
    <w:rsid w:val="00100EAA"/>
    <w:rsid w:val="00112321"/>
    <w:rsid w:val="00173EC1"/>
    <w:rsid w:val="00196FEC"/>
    <w:rsid w:val="001E1A13"/>
    <w:rsid w:val="001F1B5D"/>
    <w:rsid w:val="002143BA"/>
    <w:rsid w:val="002C1177"/>
    <w:rsid w:val="002D1BE0"/>
    <w:rsid w:val="00310BFA"/>
    <w:rsid w:val="003371F3"/>
    <w:rsid w:val="003529B5"/>
    <w:rsid w:val="0040400D"/>
    <w:rsid w:val="00423E9D"/>
    <w:rsid w:val="004448E1"/>
    <w:rsid w:val="004650C0"/>
    <w:rsid w:val="004D671A"/>
    <w:rsid w:val="00536777"/>
    <w:rsid w:val="005852E4"/>
    <w:rsid w:val="0059010C"/>
    <w:rsid w:val="005B13E0"/>
    <w:rsid w:val="005B5620"/>
    <w:rsid w:val="0060556F"/>
    <w:rsid w:val="00620209"/>
    <w:rsid w:val="006371FE"/>
    <w:rsid w:val="006532BC"/>
    <w:rsid w:val="00654F2F"/>
    <w:rsid w:val="00686401"/>
    <w:rsid w:val="006C7B0B"/>
    <w:rsid w:val="0070026B"/>
    <w:rsid w:val="007412B9"/>
    <w:rsid w:val="00747C3C"/>
    <w:rsid w:val="00753ADD"/>
    <w:rsid w:val="007B14D8"/>
    <w:rsid w:val="007C572A"/>
    <w:rsid w:val="00812EDD"/>
    <w:rsid w:val="00857D6B"/>
    <w:rsid w:val="008627B2"/>
    <w:rsid w:val="008823DC"/>
    <w:rsid w:val="008922D8"/>
    <w:rsid w:val="008C070C"/>
    <w:rsid w:val="008C51D8"/>
    <w:rsid w:val="008D10B4"/>
    <w:rsid w:val="008E4CA5"/>
    <w:rsid w:val="008F0A0A"/>
    <w:rsid w:val="00913E10"/>
    <w:rsid w:val="0095424A"/>
    <w:rsid w:val="009652B5"/>
    <w:rsid w:val="009D09D6"/>
    <w:rsid w:val="009D49C4"/>
    <w:rsid w:val="009F5098"/>
    <w:rsid w:val="009F5452"/>
    <w:rsid w:val="00A07F2F"/>
    <w:rsid w:val="00A64454"/>
    <w:rsid w:val="00A704D1"/>
    <w:rsid w:val="00A75A28"/>
    <w:rsid w:val="00A86CA4"/>
    <w:rsid w:val="00AA4EFC"/>
    <w:rsid w:val="00AB1FDF"/>
    <w:rsid w:val="00AE5160"/>
    <w:rsid w:val="00AF2642"/>
    <w:rsid w:val="00AF27EE"/>
    <w:rsid w:val="00B05535"/>
    <w:rsid w:val="00B3596F"/>
    <w:rsid w:val="00B37A85"/>
    <w:rsid w:val="00B43F80"/>
    <w:rsid w:val="00B52054"/>
    <w:rsid w:val="00B557EB"/>
    <w:rsid w:val="00BA2CE7"/>
    <w:rsid w:val="00BF509B"/>
    <w:rsid w:val="00BF50B3"/>
    <w:rsid w:val="00C03DBF"/>
    <w:rsid w:val="00C22DCB"/>
    <w:rsid w:val="00C2638C"/>
    <w:rsid w:val="00C602A0"/>
    <w:rsid w:val="00C70DE6"/>
    <w:rsid w:val="00CA2B51"/>
    <w:rsid w:val="00CA7AD7"/>
    <w:rsid w:val="00D25981"/>
    <w:rsid w:val="00D34987"/>
    <w:rsid w:val="00D72A05"/>
    <w:rsid w:val="00D73C02"/>
    <w:rsid w:val="00D912B3"/>
    <w:rsid w:val="00D9163B"/>
    <w:rsid w:val="00D95311"/>
    <w:rsid w:val="00DC4877"/>
    <w:rsid w:val="00E34EE5"/>
    <w:rsid w:val="00E43355"/>
    <w:rsid w:val="00E83D7B"/>
    <w:rsid w:val="00EA2540"/>
    <w:rsid w:val="00EE10A1"/>
    <w:rsid w:val="00EF3F09"/>
    <w:rsid w:val="00F134D8"/>
    <w:rsid w:val="00F35111"/>
    <w:rsid w:val="00F96C73"/>
    <w:rsid w:val="00FA6206"/>
    <w:rsid w:val="00FC1BA5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D7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  <w:spacing w:after="0" w:line="240" w:lineRule="auto"/>
    </w:pPr>
    <w:rPr>
      <w:rFonts w:ascii="OCWTalent" w:hAnsi="OCWTalent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240" w:after="60" w:line="240" w:lineRule="atLeast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240" w:after="60" w:line="240" w:lineRule="atLeast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240" w:after="60" w:line="240" w:lineRule="atLeast"/>
      <w:outlineLvl w:val="2"/>
    </w:pPr>
    <w:rPr>
      <w:rFonts w:ascii="Verdana" w:hAnsi="Verdana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75A28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5A28"/>
    <w:rPr>
      <w:rFonts w:ascii="OCWTalent" w:hAnsi="OCWTalent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5A28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5A28"/>
    <w:rPr>
      <w:rFonts w:ascii="OCWTalent" w:hAnsi="OCWTalent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D49C4"/>
    <w:pPr>
      <w:ind w:left="720"/>
      <w:contextualSpacing/>
    </w:pPr>
  </w:style>
  <w:style w:type="character" w:customStyle="1" w:styleId="bumpedfont20">
    <w:name w:val="bumpedfont20"/>
    <w:basedOn w:val="Standaardalinea-lettertype"/>
    <w:rsid w:val="00812EDD"/>
  </w:style>
  <w:style w:type="character" w:styleId="Hyperlink">
    <w:name w:val="Hyperlink"/>
    <w:basedOn w:val="Standaardalinea-lettertype"/>
    <w:uiPriority w:val="99"/>
    <w:unhideWhenUsed/>
    <w:rsid w:val="001E1A1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448E1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  <w:spacing w:after="0" w:line="240" w:lineRule="auto"/>
    </w:pPr>
    <w:rPr>
      <w:rFonts w:ascii="OCWTalent" w:hAnsi="OCWTalent" w:cs="Times New Roman"/>
      <w:sz w:val="24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D7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  <w:spacing w:after="0" w:line="240" w:lineRule="auto"/>
    </w:pPr>
    <w:rPr>
      <w:rFonts w:ascii="OCWTalent" w:hAnsi="OCWTalent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240" w:after="60" w:line="240" w:lineRule="atLeast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240" w:after="60" w:line="240" w:lineRule="atLeast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240" w:after="60" w:line="240" w:lineRule="atLeast"/>
      <w:outlineLvl w:val="2"/>
    </w:pPr>
    <w:rPr>
      <w:rFonts w:ascii="Verdana" w:hAnsi="Verdana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75A28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5A28"/>
    <w:rPr>
      <w:rFonts w:ascii="OCWTalent" w:hAnsi="OCWTalent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5A28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5A28"/>
    <w:rPr>
      <w:rFonts w:ascii="OCWTalent" w:hAnsi="OCWTalent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D49C4"/>
    <w:pPr>
      <w:ind w:left="720"/>
      <w:contextualSpacing/>
    </w:pPr>
  </w:style>
  <w:style w:type="character" w:customStyle="1" w:styleId="bumpedfont20">
    <w:name w:val="bumpedfont20"/>
    <w:basedOn w:val="Standaardalinea-lettertype"/>
    <w:rsid w:val="00812EDD"/>
  </w:style>
  <w:style w:type="character" w:styleId="Hyperlink">
    <w:name w:val="Hyperlink"/>
    <w:basedOn w:val="Standaardalinea-lettertype"/>
    <w:uiPriority w:val="99"/>
    <w:unhideWhenUsed/>
    <w:rsid w:val="001E1A1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448E1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  <w:spacing w:after="0" w:line="240" w:lineRule="auto"/>
    </w:pPr>
    <w:rPr>
      <w:rFonts w:ascii="OCWTalent" w:hAnsi="OCWTalent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819FB-E59E-4A03-B6A0-27134FFACE55}"/>
</file>

<file path=customXml/itemProps2.xml><?xml version="1.0" encoding="utf-8"?>
<ds:datastoreItem xmlns:ds="http://schemas.openxmlformats.org/officeDocument/2006/customXml" ds:itemID="{FE388CD4-0737-473B-B33F-24A25B47A641}"/>
</file>

<file path=customXml/itemProps3.xml><?xml version="1.0" encoding="utf-8"?>
<ds:datastoreItem xmlns:ds="http://schemas.openxmlformats.org/officeDocument/2006/customXml" ds:itemID="{52D1AC50-0CA3-4C3D-AC4C-A0CEFD34EAB2}"/>
</file>

<file path=customXml/itemProps4.xml><?xml version="1.0" encoding="utf-8"?>
<ds:datastoreItem xmlns:ds="http://schemas.openxmlformats.org/officeDocument/2006/customXml" ds:itemID="{7B0178CD-86A2-4726-9C0F-4A6B4E8A3959}"/>
</file>

<file path=docProps/app.xml><?xml version="1.0" encoding="utf-8"?>
<Properties xmlns="http://schemas.openxmlformats.org/officeDocument/2006/extended-properties" xmlns:vt="http://schemas.openxmlformats.org/officeDocument/2006/docPropsVTypes">
  <Template>3F7317C1</Template>
  <TotalTime>0</TotalTime>
  <Pages>5</Pages>
  <Words>582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Veen, Rob van der</dc:creator>
  <cp:lastModifiedBy>Stefano Tamin</cp:lastModifiedBy>
  <cp:revision>2</cp:revision>
  <dcterms:created xsi:type="dcterms:W3CDTF">2017-06-01T09:12:00Z</dcterms:created>
  <dcterms:modified xsi:type="dcterms:W3CDTF">2017-06-01T09:12:00Z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