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06" w:rsidRDefault="00785A06" w:rsidP="00785A06">
      <w:pPr>
        <w:rPr>
          <w:b/>
        </w:rPr>
      </w:pPr>
      <w:r>
        <w:rPr>
          <w:b/>
        </w:rPr>
        <w:t xml:space="preserve">Memorie van toelichting </w:t>
      </w:r>
      <w:r>
        <w:rPr>
          <w:rFonts w:cs="Arial"/>
          <w:b/>
        </w:rPr>
        <w:t>(Eerste suppletoire begroting)</w:t>
      </w:r>
    </w:p>
    <w:p w:rsidR="00785A06" w:rsidRDefault="00785A06" w:rsidP="00785A06">
      <w:pPr>
        <w:rPr>
          <w:b/>
        </w:rPr>
      </w:pPr>
    </w:p>
    <w:p w:rsidR="00785A06" w:rsidRDefault="00785A06" w:rsidP="00785A06">
      <w:pPr>
        <w:rPr>
          <w:b/>
        </w:rPr>
      </w:pPr>
    </w:p>
    <w:p w:rsidR="00785A06" w:rsidRDefault="00785A06" w:rsidP="00785A06">
      <w:pPr>
        <w:rPr>
          <w:b/>
        </w:rPr>
      </w:pPr>
      <w:r>
        <w:rPr>
          <w:b/>
        </w:rPr>
        <w:t>A. ARTIKELSGEWIJZE TOELICHTING BIJ HET WETSVOORSTEL</w:t>
      </w:r>
    </w:p>
    <w:p w:rsidR="00785A06" w:rsidRDefault="00785A06" w:rsidP="00785A06">
      <w:pPr>
        <w:pStyle w:val="StandaardAfw"/>
        <w:tabs>
          <w:tab w:val="clear" w:pos="2268"/>
          <w:tab w:val="left" w:pos="3402"/>
          <w:tab w:val="right" w:pos="8931"/>
        </w:tabs>
        <w:spacing w:line="216" w:lineRule="auto"/>
        <w:ind w:left="0"/>
      </w:pPr>
    </w:p>
    <w:p w:rsidR="00785A06" w:rsidRDefault="00785A06" w:rsidP="00785A06">
      <w:pPr>
        <w:rPr>
          <w:b/>
        </w:rPr>
      </w:pPr>
      <w:r>
        <w:rPr>
          <w:b/>
        </w:rPr>
        <w:t>Wetsartikel 1 en 2</w:t>
      </w:r>
    </w:p>
    <w:p w:rsidR="00785A06" w:rsidRDefault="00785A06" w:rsidP="00785A06">
      <w:pPr>
        <w:pStyle w:val="StandaardAfw"/>
        <w:tabs>
          <w:tab w:val="clear" w:pos="2268"/>
          <w:tab w:val="left" w:pos="3402"/>
          <w:tab w:val="right" w:pos="8931"/>
        </w:tabs>
        <w:spacing w:line="216" w:lineRule="auto"/>
        <w:ind w:left="0"/>
      </w:pPr>
    </w:p>
    <w:p w:rsidR="00785A06" w:rsidRDefault="00785A06" w:rsidP="00785A06">
      <w:r>
        <w:t>De begrotingsstaten die onderdeel zijn van de Rijksbegroting, worden op grond van artikel 1, derde lid, van de Comptabiliteitswet 2001 elk afzonderlijk bij de wet vastgesteld en derhalve ook gewijzigd. Het onderhavige wetsvoorstel strekt ertoe om voor het jaar 2017</w:t>
      </w:r>
      <w:r w:rsidRPr="00EE37F1">
        <w:rPr>
          <w:rFonts w:cs="Arial"/>
          <w:color w:val="auto"/>
        </w:rPr>
        <w:t xml:space="preserve"> </w:t>
      </w:r>
      <w:r w:rsidRPr="00EE37F1">
        <w:t xml:space="preserve">wijzigingen aan te brengen in de departementale begrotingsstaat van het Ministerie van Algemene Zaken (IIIA), </w:t>
      </w:r>
      <w:r w:rsidRPr="00EE37F1">
        <w:rPr>
          <w:lang w:val="nl-NL"/>
        </w:rPr>
        <w:t xml:space="preserve">de begrotingsstaat van </w:t>
      </w:r>
      <w:r w:rsidRPr="00EE37F1">
        <w:t xml:space="preserve">het Kabinet van de Koning </w:t>
      </w:r>
      <w:r w:rsidRPr="00EE37F1">
        <w:rPr>
          <w:lang w:val="nl-NL"/>
        </w:rPr>
        <w:t xml:space="preserve">(IIIB) </w:t>
      </w:r>
      <w:r w:rsidRPr="00EE37F1">
        <w:t xml:space="preserve">en </w:t>
      </w:r>
      <w:r w:rsidRPr="00EE37F1">
        <w:rPr>
          <w:lang w:val="nl-NL"/>
        </w:rPr>
        <w:t xml:space="preserve">de begrotingsstaat van </w:t>
      </w:r>
      <w:r w:rsidRPr="00EE37F1">
        <w:t>de Commissie van Toezicht betreffende de Inlichtingen- en Veiligheidsdiensten (IIIC)</w:t>
      </w:r>
      <w:r>
        <w:t>.</w:t>
      </w:r>
    </w:p>
    <w:p w:rsidR="00785A06" w:rsidRDefault="00785A06" w:rsidP="00785A06"/>
    <w:p w:rsidR="00785A06" w:rsidRDefault="00785A06" w:rsidP="00785A06">
      <w:r>
        <w:t>De in de begrotingsstaten opgenomen begrotingsartikelen worden in onderdeel B van deze memorie van toelichting toegelicht (de zgn. begrotingstoelichting).</w:t>
      </w:r>
    </w:p>
    <w:p w:rsidR="00785A06" w:rsidRDefault="00785A06" w:rsidP="00785A06"/>
    <w:p w:rsidR="00785A06" w:rsidRDefault="00785A06" w:rsidP="00785A06"/>
    <w:p w:rsidR="00785A06" w:rsidRDefault="00785A06" w:rsidP="00785A06"/>
    <w:p w:rsidR="00785A06" w:rsidRDefault="00785A06" w:rsidP="00785A06">
      <w:r>
        <w:t>De Minister-President,</w:t>
      </w:r>
    </w:p>
    <w:p w:rsidR="00785A06" w:rsidRDefault="00785A06" w:rsidP="00785A06">
      <w:r>
        <w:t>Minister van Algemene Zaken,</w:t>
      </w:r>
    </w:p>
    <w:p w:rsidR="00785A06" w:rsidRDefault="00785A06" w:rsidP="00785A06"/>
    <w:p w:rsidR="00785A06" w:rsidRDefault="00785A06" w:rsidP="00785A06"/>
    <w:p w:rsidR="00785A06" w:rsidRDefault="00785A06" w:rsidP="00785A06"/>
    <w:p w:rsidR="00785A06" w:rsidRDefault="00785A06" w:rsidP="00785A06"/>
    <w:p w:rsidR="00785A06" w:rsidRDefault="00785A06" w:rsidP="00785A06"/>
    <w:p w:rsidR="00785A06" w:rsidRDefault="00785A06" w:rsidP="00785A06">
      <w:r>
        <w:t>Mark Rutte</w:t>
      </w:r>
    </w:p>
    <w:p w:rsidR="00785A06" w:rsidRDefault="00785A06" w:rsidP="00785A06">
      <w:pPr>
        <w:rPr>
          <w:sz w:val="16"/>
        </w:rPr>
      </w:pPr>
    </w:p>
    <w:p w:rsidR="00785A06" w:rsidRDefault="00785A06" w:rsidP="00785A06">
      <w:pPr>
        <w:rPr>
          <w:sz w:val="16"/>
        </w:rPr>
      </w:pPr>
    </w:p>
    <w:p w:rsidR="00785A06" w:rsidRDefault="00785A06" w:rsidP="00785A06">
      <w:pPr>
        <w:rPr>
          <w:b/>
        </w:rPr>
      </w:pPr>
      <w:r>
        <w:rPr>
          <w:sz w:val="16"/>
        </w:rPr>
        <w:br w:type="page"/>
      </w:r>
      <w:r>
        <w:rPr>
          <w:b/>
        </w:rPr>
        <w:lastRenderedPageBreak/>
        <w:t>B. BEGROTINGSTOELICHTING</w:t>
      </w:r>
    </w:p>
    <w:p w:rsidR="00785A06" w:rsidRDefault="00785A06" w:rsidP="00785A06">
      <w:pPr>
        <w:pStyle w:val="Voettekst"/>
        <w:tabs>
          <w:tab w:val="clear" w:pos="4536"/>
          <w:tab w:val="clear" w:pos="9072"/>
        </w:tabs>
      </w:pPr>
    </w:p>
    <w:p w:rsidR="00785A06" w:rsidRDefault="00785A06" w:rsidP="00785A06">
      <w:pPr>
        <w:numPr>
          <w:ilvl w:val="12"/>
          <w:numId w:val="0"/>
        </w:numPr>
      </w:pPr>
      <w:r>
        <w:rPr>
          <w:b/>
        </w:rPr>
        <w:t>1.</w:t>
      </w:r>
      <w:r>
        <w:rPr>
          <w:b/>
        </w:rPr>
        <w:tab/>
        <w:t>LEESWIJZER</w:t>
      </w:r>
    </w:p>
    <w:p w:rsidR="00785A06" w:rsidRDefault="00785A06" w:rsidP="00785A06">
      <w:pPr>
        <w:numPr>
          <w:ilvl w:val="12"/>
          <w:numId w:val="0"/>
        </w:numPr>
      </w:pPr>
      <w:r>
        <w:t xml:space="preserve">In de navolgende paragrafen 2, 3 en 4 worden de voorgestelde mutaties toegelicht, voor het Ministerie van Algemene Zaken, </w:t>
      </w:r>
      <w:r w:rsidRPr="00CD3D74">
        <w:t xml:space="preserve">Kabinet </w:t>
      </w:r>
      <w:r>
        <w:t>van de Koning en de Commissie van T</w:t>
      </w:r>
      <w:r w:rsidRPr="001C3212">
        <w:t>oezicht betreffende de Inlichtingen- en Veiligheidsdiensten</w:t>
      </w:r>
      <w:r>
        <w:t xml:space="preserve">. In paragraaf 2.1 gebeurt dit op het niveau van de begrotingsstaat; paragraaf 2.2 geeft een overzicht op artikel- en artikelonderdeelniveau van artikel 1 ‘Eenheid van het algemeen regeringsbeleid’. </w:t>
      </w:r>
    </w:p>
    <w:p w:rsidR="00785A06" w:rsidRDefault="00785A06" w:rsidP="00785A06">
      <w:pPr>
        <w:numPr>
          <w:ilvl w:val="12"/>
          <w:numId w:val="0"/>
        </w:numPr>
        <w:rPr>
          <w:b/>
        </w:rPr>
      </w:pPr>
    </w:p>
    <w:p w:rsidR="00785A06" w:rsidRPr="00EE097A" w:rsidRDefault="00785A06" w:rsidP="00785A06">
      <w:pPr>
        <w:numPr>
          <w:ilvl w:val="12"/>
          <w:numId w:val="0"/>
        </w:numPr>
        <w:rPr>
          <w:b/>
        </w:rPr>
      </w:pPr>
      <w:r>
        <w:rPr>
          <w:b/>
        </w:rPr>
        <w:t>2.</w:t>
      </w:r>
      <w:r>
        <w:rPr>
          <w:b/>
        </w:rPr>
        <w:tab/>
        <w:t>MINISTERIE VAN ALGEMENE ZAKEN</w:t>
      </w:r>
    </w:p>
    <w:p w:rsidR="00785A06" w:rsidRDefault="00785A06" w:rsidP="00785A06">
      <w:pPr>
        <w:rPr>
          <w:b/>
        </w:rPr>
      </w:pPr>
    </w:p>
    <w:p w:rsidR="00785A06" w:rsidRDefault="00785A06" w:rsidP="00785A06">
      <w:pPr>
        <w:numPr>
          <w:ilvl w:val="12"/>
          <w:numId w:val="0"/>
        </w:numPr>
        <w:rPr>
          <w:b/>
        </w:rPr>
      </w:pPr>
      <w:r>
        <w:rPr>
          <w:b/>
        </w:rPr>
        <w:t>2.1</w:t>
      </w:r>
      <w:r>
        <w:rPr>
          <w:b/>
        </w:rPr>
        <w:tab/>
        <w:t>Suppletoire mutaties</w:t>
      </w:r>
    </w:p>
    <w:p w:rsidR="00785A06" w:rsidRDefault="00785A06" w:rsidP="00785A06">
      <w:r>
        <w:t xml:space="preserve">Overzicht suppletoire uitgavenmutaties voor 2017 </w:t>
      </w:r>
      <w:r w:rsidRPr="001B1D62">
        <w:rPr>
          <w:rFonts w:cs="Arial"/>
          <w:bCs/>
        </w:rPr>
        <w:t>(Eerste suppletoire begroting)</w:t>
      </w:r>
      <w:r w:rsidRPr="00D17FFA">
        <w:rPr>
          <w:rFonts w:cs="Arial"/>
          <w:b/>
          <w:bCs/>
        </w:rPr>
        <w:t xml:space="preserve"> </w:t>
      </w:r>
      <w:r>
        <w:t>(bedragen x € 1.000)</w:t>
      </w:r>
      <w:r w:rsidRPr="00634445">
        <w:t xml:space="preserve"> </w:t>
      </w:r>
    </w:p>
    <w:p w:rsidR="00785A06" w:rsidRDefault="00785A06" w:rsidP="00785A06">
      <w:pPr>
        <w:pStyle w:val="Kop1"/>
        <w:tabs>
          <w:tab w:val="left" w:pos="1134"/>
        </w:tabs>
        <w:ind w:left="0"/>
      </w:pPr>
      <w:r w:rsidRPr="00072748">
        <w:rPr>
          <w:b w:val="0"/>
        </w:rPr>
        <w:tab/>
      </w:r>
    </w:p>
    <w:tbl>
      <w:tblPr>
        <w:tblW w:w="7860" w:type="dxa"/>
        <w:tblInd w:w="55" w:type="dxa"/>
        <w:tblCellMar>
          <w:left w:w="70" w:type="dxa"/>
          <w:right w:w="70" w:type="dxa"/>
        </w:tblCellMar>
        <w:tblLook w:val="04A0" w:firstRow="1" w:lastRow="0" w:firstColumn="1" w:lastColumn="0" w:noHBand="0" w:noVBand="1"/>
      </w:tblPr>
      <w:tblGrid>
        <w:gridCol w:w="280"/>
        <w:gridCol w:w="6580"/>
        <w:gridCol w:w="1000"/>
      </w:tblGrid>
      <w:tr w:rsidR="00785A06" w:rsidRPr="00901658" w:rsidTr="006240B9">
        <w:trPr>
          <w:trHeight w:val="315"/>
        </w:trPr>
        <w:tc>
          <w:tcPr>
            <w:tcW w:w="280" w:type="dxa"/>
            <w:tcBorders>
              <w:top w:val="single" w:sz="8" w:space="0" w:color="auto"/>
              <w:left w:val="nil"/>
              <w:bottom w:val="single" w:sz="8" w:space="0" w:color="auto"/>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 </w:t>
            </w:r>
          </w:p>
        </w:tc>
        <w:tc>
          <w:tcPr>
            <w:tcW w:w="6580" w:type="dxa"/>
            <w:tcBorders>
              <w:top w:val="single" w:sz="8" w:space="0" w:color="auto"/>
              <w:left w:val="nil"/>
              <w:bottom w:val="single" w:sz="8" w:space="0" w:color="auto"/>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uitgaven</w:t>
            </w:r>
          </w:p>
        </w:tc>
      </w:tr>
      <w:tr w:rsidR="00785A06" w:rsidRPr="00901658" w:rsidTr="006240B9">
        <w:trPr>
          <w:trHeight w:val="300"/>
        </w:trPr>
        <w:tc>
          <w:tcPr>
            <w:tcW w:w="280" w:type="dxa"/>
            <w:tcBorders>
              <w:top w:val="nil"/>
              <w:left w:val="nil"/>
              <w:bottom w:val="nil"/>
              <w:right w:val="nil"/>
            </w:tcBorders>
            <w:shd w:val="clear" w:color="auto" w:fill="auto"/>
            <w:noWrap/>
            <w:vAlign w:val="bottom"/>
            <w:hideMark/>
          </w:tcPr>
          <w:p w:rsidR="00785A06" w:rsidRPr="00901658" w:rsidRDefault="00785A06" w:rsidP="006240B9">
            <w:pPr>
              <w:rPr>
                <w:rFonts w:ascii="Calibri" w:hAnsi="Calibri"/>
                <w:sz w:val="22"/>
                <w:szCs w:val="22"/>
                <w:lang w:val="nl-NL"/>
              </w:rPr>
            </w:pP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b/>
                <w:bCs/>
                <w:sz w:val="16"/>
                <w:szCs w:val="16"/>
                <w:lang w:val="nl-NL"/>
              </w:rPr>
            </w:pPr>
            <w:r w:rsidRPr="00901658">
              <w:rPr>
                <w:rFonts w:cs="Arial"/>
                <w:b/>
                <w:bCs/>
                <w:sz w:val="16"/>
                <w:szCs w:val="16"/>
                <w:lang w:val="nl-NL"/>
              </w:rPr>
              <w:t>Vastgestelde begroting 2017</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b/>
                <w:bCs/>
                <w:sz w:val="16"/>
                <w:szCs w:val="16"/>
                <w:lang w:val="nl-NL"/>
              </w:rPr>
            </w:pPr>
            <w:r w:rsidRPr="00901658">
              <w:rPr>
                <w:rFonts w:cs="Arial"/>
                <w:b/>
                <w:bCs/>
                <w:sz w:val="16"/>
                <w:szCs w:val="16"/>
                <w:lang w:val="nl-NL"/>
              </w:rPr>
              <w:t>59.461</w:t>
            </w:r>
          </w:p>
        </w:tc>
      </w:tr>
      <w:tr w:rsidR="00785A06" w:rsidRPr="00901658" w:rsidTr="006240B9">
        <w:trPr>
          <w:trHeight w:val="300"/>
        </w:trPr>
        <w:tc>
          <w:tcPr>
            <w:tcW w:w="280" w:type="dxa"/>
            <w:tcBorders>
              <w:top w:val="nil"/>
              <w:left w:val="nil"/>
              <w:bottom w:val="nil"/>
              <w:right w:val="nil"/>
            </w:tcBorders>
            <w:shd w:val="clear" w:color="auto" w:fill="auto"/>
            <w:noWrap/>
            <w:vAlign w:val="bottom"/>
            <w:hideMark/>
          </w:tcPr>
          <w:p w:rsidR="00785A06" w:rsidRPr="00901658" w:rsidRDefault="00785A06" w:rsidP="006240B9">
            <w:pPr>
              <w:rPr>
                <w:rFonts w:ascii="Calibri" w:hAnsi="Calibri"/>
                <w:sz w:val="22"/>
                <w:szCs w:val="22"/>
                <w:lang w:val="nl-NL"/>
              </w:rPr>
            </w:pP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Suppletoire mutaties:</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center"/>
              <w:rPr>
                <w:rFonts w:cs="Arial"/>
                <w:sz w:val="16"/>
                <w:szCs w:val="16"/>
                <w:lang w:val="nl-NL"/>
              </w:rPr>
            </w:pPr>
          </w:p>
        </w:tc>
      </w:tr>
      <w:tr w:rsidR="00785A06" w:rsidRPr="00901658" w:rsidTr="006240B9">
        <w:trPr>
          <w:trHeight w:val="300"/>
        </w:trPr>
        <w:tc>
          <w:tcPr>
            <w:tcW w:w="28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1</w:t>
            </w: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Eindejaarsmarge 2016</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632</w:t>
            </w:r>
          </w:p>
        </w:tc>
      </w:tr>
      <w:tr w:rsidR="00785A06" w:rsidRPr="00901658" w:rsidTr="006240B9">
        <w:trPr>
          <w:trHeight w:val="300"/>
        </w:trPr>
        <w:tc>
          <w:tcPr>
            <w:tcW w:w="28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2</w:t>
            </w: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 xml:space="preserve">Eindejaarsmarge toedeling naar </w:t>
            </w:r>
            <w:proofErr w:type="spellStart"/>
            <w:r w:rsidRPr="00901658">
              <w:rPr>
                <w:rFonts w:cs="Arial"/>
                <w:sz w:val="16"/>
                <w:szCs w:val="16"/>
                <w:lang w:val="nl-NL"/>
              </w:rPr>
              <w:t>KvdK</w:t>
            </w:r>
            <w:proofErr w:type="spellEnd"/>
            <w:r w:rsidRPr="00901658">
              <w:rPr>
                <w:rFonts w:cs="Arial"/>
                <w:sz w:val="16"/>
                <w:szCs w:val="16"/>
                <w:lang w:val="nl-NL"/>
              </w:rPr>
              <w:t xml:space="preserve"> en CTIVD</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-323</w:t>
            </w:r>
          </w:p>
        </w:tc>
      </w:tr>
      <w:tr w:rsidR="00785A06" w:rsidRPr="00901658" w:rsidTr="006240B9">
        <w:trPr>
          <w:trHeight w:val="300"/>
        </w:trPr>
        <w:tc>
          <w:tcPr>
            <w:tcW w:w="28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3</w:t>
            </w: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Loon -en prijsbijstelling 2017</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1.062</w:t>
            </w:r>
          </w:p>
        </w:tc>
      </w:tr>
      <w:tr w:rsidR="00785A06" w:rsidRPr="00901658" w:rsidTr="006240B9">
        <w:trPr>
          <w:trHeight w:val="300"/>
        </w:trPr>
        <w:tc>
          <w:tcPr>
            <w:tcW w:w="28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4</w:t>
            </w: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 xml:space="preserve">Loon- en prijsbijstelling toedeling naar </w:t>
            </w:r>
            <w:proofErr w:type="spellStart"/>
            <w:r w:rsidRPr="00901658">
              <w:rPr>
                <w:rFonts w:cs="Arial"/>
                <w:sz w:val="16"/>
                <w:szCs w:val="16"/>
                <w:lang w:val="nl-NL"/>
              </w:rPr>
              <w:t>KvdK</w:t>
            </w:r>
            <w:proofErr w:type="spellEnd"/>
            <w:r w:rsidRPr="00901658">
              <w:rPr>
                <w:rFonts w:cs="Arial"/>
                <w:sz w:val="16"/>
                <w:szCs w:val="16"/>
                <w:lang w:val="nl-NL"/>
              </w:rPr>
              <w:t xml:space="preserve"> en CTIVD</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-70</w:t>
            </w:r>
          </w:p>
        </w:tc>
      </w:tr>
      <w:tr w:rsidR="00785A06" w:rsidRPr="00901658" w:rsidTr="006240B9">
        <w:trPr>
          <w:trHeight w:val="300"/>
        </w:trPr>
        <w:tc>
          <w:tcPr>
            <w:tcW w:w="28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5</w:t>
            </w: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Compensatie premiestijging ABP pensioen</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314</w:t>
            </w:r>
          </w:p>
        </w:tc>
      </w:tr>
      <w:tr w:rsidR="00785A06" w:rsidRPr="00901658" w:rsidTr="006240B9">
        <w:trPr>
          <w:trHeight w:val="300"/>
        </w:trPr>
        <w:tc>
          <w:tcPr>
            <w:tcW w:w="28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6</w:t>
            </w: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 xml:space="preserve">Compensatie premiestijging ABP pensioen toedeling naar </w:t>
            </w:r>
            <w:proofErr w:type="spellStart"/>
            <w:r w:rsidRPr="00901658">
              <w:rPr>
                <w:rFonts w:cs="Arial"/>
                <w:sz w:val="16"/>
                <w:szCs w:val="16"/>
                <w:lang w:val="nl-NL"/>
              </w:rPr>
              <w:t>KvdK</w:t>
            </w:r>
            <w:proofErr w:type="spellEnd"/>
            <w:r w:rsidRPr="00901658">
              <w:rPr>
                <w:rFonts w:cs="Arial"/>
                <w:sz w:val="16"/>
                <w:szCs w:val="16"/>
                <w:lang w:val="nl-NL"/>
              </w:rPr>
              <w:t xml:space="preserve"> en CTIVD</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-27</w:t>
            </w:r>
          </w:p>
        </w:tc>
      </w:tr>
      <w:tr w:rsidR="00785A06" w:rsidRPr="00901658" w:rsidTr="006240B9">
        <w:trPr>
          <w:trHeight w:val="300"/>
        </w:trPr>
        <w:tc>
          <w:tcPr>
            <w:tcW w:w="28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7</w:t>
            </w:r>
          </w:p>
        </w:tc>
        <w:tc>
          <w:tcPr>
            <w:tcW w:w="6580" w:type="dxa"/>
            <w:tcBorders>
              <w:top w:val="nil"/>
              <w:left w:val="nil"/>
              <w:bottom w:val="nil"/>
              <w:right w:val="nil"/>
            </w:tcBorders>
            <w:shd w:val="clear" w:color="auto" w:fill="auto"/>
            <w:vAlign w:val="center"/>
            <w:hideMark/>
          </w:tcPr>
          <w:p w:rsidR="00785A06" w:rsidRPr="00901658" w:rsidRDefault="00785A06" w:rsidP="006240B9">
            <w:pPr>
              <w:rPr>
                <w:rFonts w:cs="Arial"/>
                <w:sz w:val="16"/>
                <w:szCs w:val="16"/>
                <w:lang w:val="nl-NL"/>
              </w:rPr>
            </w:pPr>
            <w:r w:rsidRPr="00901658">
              <w:rPr>
                <w:rFonts w:cs="Arial"/>
                <w:sz w:val="16"/>
                <w:szCs w:val="16"/>
                <w:lang w:val="nl-NL"/>
              </w:rPr>
              <w:t>Diverse</w:t>
            </w:r>
            <w:r>
              <w:rPr>
                <w:rFonts w:cs="Arial"/>
                <w:sz w:val="16"/>
                <w:szCs w:val="16"/>
                <w:lang w:val="nl-NL"/>
              </w:rPr>
              <w:t xml:space="preserve"> overboekingen van en naar de </w:t>
            </w:r>
            <w:r w:rsidRPr="00901658">
              <w:rPr>
                <w:rFonts w:cs="Arial"/>
                <w:sz w:val="16"/>
                <w:szCs w:val="16"/>
                <w:lang w:val="nl-NL"/>
              </w:rPr>
              <w:t>begroting</w:t>
            </w:r>
            <w:r>
              <w:rPr>
                <w:rFonts w:cs="Arial"/>
                <w:sz w:val="16"/>
                <w:szCs w:val="16"/>
                <w:lang w:val="nl-NL"/>
              </w:rPr>
              <w:t xml:space="preserve"> van AZ</w:t>
            </w:r>
          </w:p>
        </w:tc>
        <w:tc>
          <w:tcPr>
            <w:tcW w:w="1000" w:type="dxa"/>
            <w:tcBorders>
              <w:top w:val="nil"/>
              <w:left w:val="nil"/>
              <w:bottom w:val="nil"/>
              <w:right w:val="nil"/>
            </w:tcBorders>
            <w:shd w:val="clear" w:color="auto" w:fill="auto"/>
            <w:vAlign w:val="center"/>
            <w:hideMark/>
          </w:tcPr>
          <w:p w:rsidR="00785A06" w:rsidRPr="00901658" w:rsidRDefault="00785A06" w:rsidP="006240B9">
            <w:pPr>
              <w:jc w:val="right"/>
              <w:rPr>
                <w:rFonts w:cs="Arial"/>
                <w:sz w:val="16"/>
                <w:szCs w:val="16"/>
                <w:lang w:val="nl-NL"/>
              </w:rPr>
            </w:pPr>
            <w:r w:rsidRPr="00901658">
              <w:rPr>
                <w:rFonts w:cs="Arial"/>
                <w:sz w:val="16"/>
                <w:szCs w:val="16"/>
                <w:lang w:val="nl-NL"/>
              </w:rPr>
              <w:t>-1.930</w:t>
            </w:r>
          </w:p>
        </w:tc>
      </w:tr>
      <w:tr w:rsidR="00785A06" w:rsidRPr="00901658" w:rsidTr="006240B9">
        <w:trPr>
          <w:trHeight w:val="315"/>
        </w:trPr>
        <w:tc>
          <w:tcPr>
            <w:tcW w:w="280" w:type="dxa"/>
            <w:tcBorders>
              <w:top w:val="nil"/>
              <w:left w:val="nil"/>
              <w:bottom w:val="single" w:sz="8" w:space="0" w:color="auto"/>
              <w:right w:val="nil"/>
            </w:tcBorders>
            <w:shd w:val="clear" w:color="auto" w:fill="auto"/>
            <w:vAlign w:val="center"/>
            <w:hideMark/>
          </w:tcPr>
          <w:p w:rsidR="00785A06" w:rsidRPr="00901658" w:rsidRDefault="00785A06" w:rsidP="006240B9">
            <w:pPr>
              <w:rPr>
                <w:rFonts w:cs="Arial"/>
                <w:b/>
                <w:bCs/>
                <w:sz w:val="16"/>
                <w:szCs w:val="16"/>
                <w:lang w:val="nl-NL"/>
              </w:rPr>
            </w:pPr>
            <w:r w:rsidRPr="00901658">
              <w:rPr>
                <w:rFonts w:cs="Arial"/>
                <w:b/>
                <w:bCs/>
                <w:sz w:val="16"/>
                <w:szCs w:val="16"/>
                <w:lang w:val="nl-NL"/>
              </w:rPr>
              <w:t> </w:t>
            </w:r>
          </w:p>
        </w:tc>
        <w:tc>
          <w:tcPr>
            <w:tcW w:w="6580" w:type="dxa"/>
            <w:tcBorders>
              <w:top w:val="nil"/>
              <w:left w:val="nil"/>
              <w:bottom w:val="single" w:sz="8" w:space="0" w:color="auto"/>
              <w:right w:val="nil"/>
            </w:tcBorders>
            <w:shd w:val="clear" w:color="auto" w:fill="auto"/>
            <w:vAlign w:val="center"/>
            <w:hideMark/>
          </w:tcPr>
          <w:p w:rsidR="00785A06" w:rsidRPr="00901658" w:rsidRDefault="00785A06" w:rsidP="006240B9">
            <w:pPr>
              <w:rPr>
                <w:rFonts w:cs="Arial"/>
                <w:b/>
                <w:bCs/>
                <w:sz w:val="16"/>
                <w:szCs w:val="16"/>
                <w:lang w:val="nl-NL"/>
              </w:rPr>
            </w:pPr>
            <w:r w:rsidRPr="00901658">
              <w:rPr>
                <w:rFonts w:cs="Arial"/>
                <w:b/>
                <w:bCs/>
                <w:sz w:val="16"/>
                <w:szCs w:val="16"/>
                <w:lang w:val="nl-NL"/>
              </w:rPr>
              <w:t>Stand 1e suppletoire begroting 2017</w:t>
            </w:r>
          </w:p>
        </w:tc>
        <w:tc>
          <w:tcPr>
            <w:tcW w:w="1000" w:type="dxa"/>
            <w:tcBorders>
              <w:top w:val="nil"/>
              <w:left w:val="nil"/>
              <w:bottom w:val="single" w:sz="8" w:space="0" w:color="auto"/>
              <w:right w:val="nil"/>
            </w:tcBorders>
            <w:shd w:val="clear" w:color="auto" w:fill="auto"/>
            <w:vAlign w:val="center"/>
            <w:hideMark/>
          </w:tcPr>
          <w:p w:rsidR="00785A06" w:rsidRPr="00901658" w:rsidRDefault="00785A06" w:rsidP="006240B9">
            <w:pPr>
              <w:jc w:val="right"/>
              <w:rPr>
                <w:rFonts w:cs="Arial"/>
                <w:b/>
                <w:bCs/>
                <w:sz w:val="16"/>
                <w:szCs w:val="16"/>
                <w:lang w:val="nl-NL"/>
              </w:rPr>
            </w:pPr>
            <w:r w:rsidRPr="00901658">
              <w:rPr>
                <w:rFonts w:cs="Arial"/>
                <w:b/>
                <w:bCs/>
                <w:sz w:val="16"/>
                <w:szCs w:val="16"/>
                <w:lang w:val="nl-NL"/>
              </w:rPr>
              <w:t>59.119</w:t>
            </w:r>
          </w:p>
        </w:tc>
      </w:tr>
    </w:tbl>
    <w:p w:rsidR="00785A06" w:rsidRDefault="00785A06" w:rsidP="00785A06">
      <w:pPr>
        <w:rPr>
          <w:lang w:val="nl-NL"/>
        </w:rPr>
      </w:pPr>
    </w:p>
    <w:p w:rsidR="00785A06" w:rsidRPr="00D94D91" w:rsidRDefault="00785A06" w:rsidP="00785A06">
      <w:pPr>
        <w:rPr>
          <w:lang w:val="nl-NL"/>
        </w:rPr>
      </w:pPr>
    </w:p>
    <w:p w:rsidR="00785A06" w:rsidRPr="00671509" w:rsidRDefault="00785A06" w:rsidP="00785A06">
      <w:pPr>
        <w:pStyle w:val="Kop1"/>
        <w:tabs>
          <w:tab w:val="left" w:pos="1134"/>
        </w:tabs>
        <w:ind w:left="0"/>
        <w:rPr>
          <w:b w:val="0"/>
          <w:u w:val="single"/>
        </w:rPr>
      </w:pPr>
      <w:r>
        <w:rPr>
          <w:b w:val="0"/>
        </w:rPr>
        <w:tab/>
      </w:r>
      <w:r w:rsidRPr="001B141B">
        <w:rPr>
          <w:b w:val="0"/>
          <w:u w:val="single"/>
        </w:rPr>
        <w:t>Toelichting</w:t>
      </w:r>
    </w:p>
    <w:p w:rsidR="00785A06" w:rsidRPr="004202DF" w:rsidRDefault="00785A06" w:rsidP="00785A06">
      <w:pPr>
        <w:spacing w:line="240" w:lineRule="exact"/>
        <w:rPr>
          <w:rFonts w:cs="Arial"/>
        </w:rPr>
      </w:pPr>
      <w:r>
        <w:rPr>
          <w:color w:val="auto"/>
        </w:rPr>
        <w:t>1</w:t>
      </w:r>
      <w:r w:rsidRPr="00446803">
        <w:rPr>
          <w:color w:val="auto"/>
        </w:rPr>
        <w:t xml:space="preserve">) </w:t>
      </w:r>
      <w:r w:rsidRPr="004202DF">
        <w:rPr>
          <w:rFonts w:cs="Arial"/>
        </w:rPr>
        <w:t>Dit betreft de toevoeging van de eindejaarsmarge 2016 aan de begroting van Algemene Zaken.</w:t>
      </w:r>
    </w:p>
    <w:p w:rsidR="00785A06" w:rsidRDefault="00785A06" w:rsidP="00785A06">
      <w:pPr>
        <w:pStyle w:val="Plattetekstinspringen2"/>
        <w:ind w:left="0"/>
        <w:rPr>
          <w:color w:val="auto"/>
        </w:rPr>
      </w:pPr>
    </w:p>
    <w:p w:rsidR="00785A06" w:rsidRDefault="00785A06" w:rsidP="00785A06">
      <w:pPr>
        <w:pStyle w:val="Plattetekstinspringen2"/>
        <w:ind w:left="0"/>
        <w:rPr>
          <w:color w:val="auto"/>
        </w:rPr>
      </w:pPr>
      <w:r>
        <w:rPr>
          <w:color w:val="auto"/>
        </w:rPr>
        <w:t>2) Dit betreft de toedeling van de eindejaarsmarge naar het Kabinet van de Koning en de</w:t>
      </w:r>
      <w:r w:rsidRPr="001B141B">
        <w:rPr>
          <w:color w:val="auto"/>
        </w:rPr>
        <w:t xml:space="preserve"> Commissie van Toezicht betreffende de Inlichtingen- en Veiligheidsdiensten</w:t>
      </w:r>
      <w:r>
        <w:rPr>
          <w:color w:val="auto"/>
        </w:rPr>
        <w:t>.</w:t>
      </w:r>
    </w:p>
    <w:p w:rsidR="00785A06" w:rsidRDefault="00785A06" w:rsidP="00785A06">
      <w:pPr>
        <w:pStyle w:val="Plattetekstinspringen2"/>
        <w:ind w:left="0"/>
        <w:rPr>
          <w:color w:val="auto"/>
        </w:rPr>
      </w:pPr>
    </w:p>
    <w:p w:rsidR="00785A06" w:rsidRPr="00046F8A" w:rsidRDefault="00785A06" w:rsidP="00785A06">
      <w:pPr>
        <w:rPr>
          <w:color w:val="auto"/>
        </w:rPr>
      </w:pPr>
      <w:r w:rsidRPr="00046F8A">
        <w:rPr>
          <w:color w:val="auto"/>
        </w:rPr>
        <w:t xml:space="preserve">3) </w:t>
      </w:r>
      <w:r w:rsidRPr="004202DF">
        <w:rPr>
          <w:rFonts w:cs="Arial"/>
        </w:rPr>
        <w:t>Vanuit de aanvullende posten arbeidsvoorwaarden en prijsbijstelling is budget overgeheveld naar de begroting van Algemene Zaken. De loonbijstelling bestaat uit een vergoeding voor de contractloonontwikkeling en de ontwikkeling in sociale werkgeverslasten en de prijsbijstelling bestaat uit een vergoeding voor de prijsstijgingen</w:t>
      </w:r>
      <w:r w:rsidRPr="00046F8A">
        <w:rPr>
          <w:color w:val="auto"/>
        </w:rPr>
        <w:t>.</w:t>
      </w:r>
    </w:p>
    <w:p w:rsidR="00785A06" w:rsidRDefault="00785A06" w:rsidP="00785A06">
      <w:pPr>
        <w:pStyle w:val="Plattetekstinspringen2"/>
        <w:ind w:left="0"/>
        <w:rPr>
          <w:color w:val="auto"/>
        </w:rPr>
      </w:pPr>
    </w:p>
    <w:p w:rsidR="00785A06" w:rsidRDefault="00785A06" w:rsidP="00785A06">
      <w:pPr>
        <w:pStyle w:val="Plattetekstinspringen2"/>
        <w:ind w:left="0"/>
        <w:rPr>
          <w:color w:val="auto"/>
        </w:rPr>
      </w:pPr>
      <w:r>
        <w:rPr>
          <w:color w:val="auto"/>
        </w:rPr>
        <w:t>4) Dit betreft de toedeling van de</w:t>
      </w:r>
      <w:r w:rsidRPr="006D7A9D">
        <w:rPr>
          <w:rFonts w:cs="Arial"/>
          <w:sz w:val="16"/>
          <w:szCs w:val="16"/>
          <w:lang w:val="nl-NL"/>
        </w:rPr>
        <w:t xml:space="preserve"> </w:t>
      </w:r>
      <w:r w:rsidRPr="006D7A9D">
        <w:rPr>
          <w:color w:val="auto"/>
          <w:lang w:val="nl-NL"/>
        </w:rPr>
        <w:t>loon- en prijsbijstelling</w:t>
      </w:r>
      <w:r>
        <w:rPr>
          <w:color w:val="auto"/>
          <w:lang w:val="nl-NL"/>
        </w:rPr>
        <w:t xml:space="preserve"> </w:t>
      </w:r>
      <w:r>
        <w:rPr>
          <w:color w:val="auto"/>
        </w:rPr>
        <w:t>naar het Kabinet van de Koning en de</w:t>
      </w:r>
      <w:r w:rsidRPr="001B141B">
        <w:rPr>
          <w:color w:val="auto"/>
        </w:rPr>
        <w:t xml:space="preserve"> Commissie van Toezicht betreffende de Inlichtingen- en Veiligheidsdiensten</w:t>
      </w:r>
      <w:r>
        <w:rPr>
          <w:color w:val="auto"/>
        </w:rPr>
        <w:t>.</w:t>
      </w:r>
    </w:p>
    <w:p w:rsidR="00785A06" w:rsidRDefault="00785A06" w:rsidP="00785A06">
      <w:pPr>
        <w:pStyle w:val="Plattetekstinspringen2"/>
        <w:ind w:left="0"/>
        <w:rPr>
          <w:color w:val="auto"/>
        </w:rPr>
      </w:pPr>
    </w:p>
    <w:p w:rsidR="00785A06" w:rsidRPr="00FC310C" w:rsidRDefault="00785A06" w:rsidP="00785A06">
      <w:pPr>
        <w:rPr>
          <w:color w:val="auto"/>
          <w:lang w:val="nl-NL"/>
        </w:rPr>
      </w:pPr>
      <w:r>
        <w:rPr>
          <w:color w:val="auto"/>
        </w:rPr>
        <w:t xml:space="preserve">5) </w:t>
      </w:r>
      <w:r w:rsidRPr="004202DF">
        <w:rPr>
          <w:rFonts w:cs="Arial"/>
        </w:rPr>
        <w:t>Per 1 januari 2017 heeft het ABP de pensioenpremie verhoogd. Ter compensatie van de pensioenpremiestijging is € 342 miljoen aan de loonruimte 2017 toegevoegd. Deze middelen worden vanuit de aanvullende post overgemaakt naar de departementale begrotingen. Het aandeel voor de begroting van Algemene Zaken betreft € 314.000</w:t>
      </w:r>
      <w:r>
        <w:rPr>
          <w:color w:val="auto"/>
          <w:lang w:val="nl-NL"/>
        </w:rPr>
        <w:t>.</w:t>
      </w:r>
    </w:p>
    <w:p w:rsidR="00785A06" w:rsidRDefault="00785A06" w:rsidP="00785A06">
      <w:pPr>
        <w:pStyle w:val="Plattetekstinspringen2"/>
        <w:ind w:left="0"/>
        <w:rPr>
          <w:color w:val="auto"/>
        </w:rPr>
      </w:pPr>
    </w:p>
    <w:p w:rsidR="00785A06" w:rsidRDefault="00785A06" w:rsidP="00785A06">
      <w:pPr>
        <w:pStyle w:val="Plattetekstinspringen2"/>
        <w:ind w:left="0"/>
        <w:rPr>
          <w:color w:val="auto"/>
        </w:rPr>
      </w:pPr>
      <w:r>
        <w:rPr>
          <w:color w:val="auto"/>
        </w:rPr>
        <w:t xml:space="preserve">6) Dit betreft de toedeling van compensatie van de premiestijging van het </w:t>
      </w:r>
      <w:r w:rsidRPr="00B04924">
        <w:rPr>
          <w:color w:val="auto"/>
          <w:lang w:val="nl-NL"/>
        </w:rPr>
        <w:t>ABP</w:t>
      </w:r>
      <w:r>
        <w:rPr>
          <w:color w:val="auto"/>
        </w:rPr>
        <w:t xml:space="preserve"> pensioen naar het Kabinet van de Koning en de</w:t>
      </w:r>
      <w:r w:rsidRPr="001B141B">
        <w:rPr>
          <w:color w:val="auto"/>
        </w:rPr>
        <w:t xml:space="preserve"> Commissie van Toezicht betreffende de Inlichtingen- en Veiligheidsdiensten</w:t>
      </w:r>
      <w:r>
        <w:rPr>
          <w:color w:val="auto"/>
        </w:rPr>
        <w:t>.</w:t>
      </w:r>
    </w:p>
    <w:p w:rsidR="00785A06" w:rsidRDefault="00785A06" w:rsidP="00785A06">
      <w:pPr>
        <w:pStyle w:val="Plattetekstinspringen2"/>
        <w:ind w:left="0"/>
        <w:rPr>
          <w:color w:val="auto"/>
        </w:rPr>
      </w:pPr>
    </w:p>
    <w:p w:rsidR="00785A06" w:rsidRDefault="00785A06" w:rsidP="00785A06">
      <w:pPr>
        <w:pStyle w:val="Plattetekstinspringen2"/>
        <w:ind w:left="0"/>
        <w:rPr>
          <w:color w:val="auto"/>
        </w:rPr>
      </w:pPr>
      <w:r>
        <w:rPr>
          <w:color w:val="auto"/>
        </w:rPr>
        <w:t>7) Dit zijn diverse overboekingen van en naar de begroting van AZ. De omvangrijkste overboeking betreft de overboeking van € 2.057.000 naar het ministerie van Financiën in het kader van C</w:t>
      </w:r>
      <w:r w:rsidRPr="00D129FB">
        <w:rPr>
          <w:color w:val="auto"/>
        </w:rPr>
        <w:t>ategoriemanageme</w:t>
      </w:r>
      <w:r>
        <w:rPr>
          <w:color w:val="auto"/>
        </w:rPr>
        <w:t>nt vakliteratuur en abonnementen.</w:t>
      </w:r>
    </w:p>
    <w:p w:rsidR="00785A06" w:rsidRDefault="00785A06" w:rsidP="00785A06">
      <w:pPr>
        <w:pStyle w:val="Plattetekstinspringen2"/>
        <w:ind w:left="0"/>
        <w:rPr>
          <w:color w:val="auto"/>
        </w:rPr>
      </w:pPr>
    </w:p>
    <w:p w:rsidR="00785A06" w:rsidRDefault="00785A06" w:rsidP="00785A06">
      <w:pPr>
        <w:pStyle w:val="Plattetekstinspringen2"/>
        <w:ind w:left="0"/>
      </w:pPr>
      <w:r>
        <w:lastRenderedPageBreak/>
        <w:t xml:space="preserve">Overzicht suppletoire ontvangstenmutaties voor 2017 </w:t>
      </w:r>
      <w:r w:rsidRPr="001B1D62">
        <w:rPr>
          <w:rFonts w:cs="Arial"/>
          <w:bCs/>
        </w:rPr>
        <w:t>(Eerste suppletoire begroting)</w:t>
      </w:r>
      <w:r w:rsidRPr="00D17FFA">
        <w:rPr>
          <w:rFonts w:cs="Arial"/>
          <w:b/>
          <w:bCs/>
        </w:rPr>
        <w:t xml:space="preserve"> </w:t>
      </w:r>
      <w:r>
        <w:t>(bedragen x € 1.000)</w:t>
      </w:r>
    </w:p>
    <w:p w:rsidR="00785A06" w:rsidRDefault="00785A06" w:rsidP="00785A06">
      <w:pPr>
        <w:pStyle w:val="Plattetekstinspringen2"/>
        <w:ind w:left="0"/>
      </w:pPr>
    </w:p>
    <w:tbl>
      <w:tblPr>
        <w:tblW w:w="7900" w:type="dxa"/>
        <w:tblInd w:w="55" w:type="dxa"/>
        <w:tblCellMar>
          <w:left w:w="70" w:type="dxa"/>
          <w:right w:w="70" w:type="dxa"/>
        </w:tblCellMar>
        <w:tblLook w:val="04A0" w:firstRow="1" w:lastRow="0" w:firstColumn="1" w:lastColumn="0" w:noHBand="0" w:noVBand="1"/>
      </w:tblPr>
      <w:tblGrid>
        <w:gridCol w:w="280"/>
        <w:gridCol w:w="6608"/>
        <w:gridCol w:w="1012"/>
      </w:tblGrid>
      <w:tr w:rsidR="00785A06" w:rsidRPr="009E5790" w:rsidTr="006240B9">
        <w:trPr>
          <w:trHeight w:val="315"/>
        </w:trPr>
        <w:tc>
          <w:tcPr>
            <w:tcW w:w="280" w:type="dxa"/>
            <w:tcBorders>
              <w:top w:val="single" w:sz="8" w:space="0" w:color="auto"/>
              <w:left w:val="nil"/>
              <w:bottom w:val="single" w:sz="8" w:space="0" w:color="auto"/>
              <w:right w:val="nil"/>
            </w:tcBorders>
            <w:shd w:val="clear" w:color="auto" w:fill="auto"/>
            <w:vAlign w:val="center"/>
            <w:hideMark/>
          </w:tcPr>
          <w:p w:rsidR="00785A06" w:rsidRPr="009E5790" w:rsidRDefault="00785A06" w:rsidP="006240B9">
            <w:pPr>
              <w:rPr>
                <w:rFonts w:cs="Arial"/>
                <w:sz w:val="16"/>
                <w:szCs w:val="16"/>
                <w:lang w:val="nl-NL"/>
              </w:rPr>
            </w:pPr>
            <w:r w:rsidRPr="009E5790">
              <w:rPr>
                <w:rFonts w:cs="Arial"/>
                <w:sz w:val="16"/>
                <w:szCs w:val="16"/>
                <w:lang w:val="nl-NL"/>
              </w:rPr>
              <w:t> </w:t>
            </w:r>
          </w:p>
        </w:tc>
        <w:tc>
          <w:tcPr>
            <w:tcW w:w="6620" w:type="dxa"/>
            <w:tcBorders>
              <w:top w:val="single" w:sz="8" w:space="0" w:color="auto"/>
              <w:left w:val="nil"/>
              <w:bottom w:val="single" w:sz="8" w:space="0" w:color="auto"/>
              <w:right w:val="nil"/>
            </w:tcBorders>
            <w:shd w:val="clear" w:color="auto" w:fill="auto"/>
            <w:vAlign w:val="center"/>
            <w:hideMark/>
          </w:tcPr>
          <w:p w:rsidR="00785A06" w:rsidRPr="009E5790" w:rsidRDefault="00785A06" w:rsidP="006240B9">
            <w:pPr>
              <w:rPr>
                <w:rFonts w:cs="Arial"/>
                <w:sz w:val="16"/>
                <w:szCs w:val="16"/>
                <w:lang w:val="nl-NL"/>
              </w:rPr>
            </w:pPr>
            <w:r w:rsidRPr="009E5790">
              <w:rPr>
                <w:rFonts w:cs="Arial"/>
                <w:sz w:val="16"/>
                <w:szCs w:val="16"/>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785A06" w:rsidRPr="009E5790" w:rsidRDefault="00785A06" w:rsidP="006240B9">
            <w:pPr>
              <w:jc w:val="right"/>
              <w:rPr>
                <w:rFonts w:cs="Arial"/>
                <w:sz w:val="16"/>
                <w:szCs w:val="16"/>
                <w:lang w:val="nl-NL"/>
              </w:rPr>
            </w:pPr>
            <w:r w:rsidRPr="009E5790">
              <w:rPr>
                <w:rFonts w:cs="Arial"/>
                <w:sz w:val="16"/>
                <w:szCs w:val="16"/>
                <w:lang w:val="nl-NL"/>
              </w:rPr>
              <w:t>ontvangsten</w:t>
            </w:r>
          </w:p>
        </w:tc>
      </w:tr>
      <w:tr w:rsidR="00785A06" w:rsidRPr="009E5790" w:rsidTr="006240B9">
        <w:trPr>
          <w:trHeight w:val="300"/>
        </w:trPr>
        <w:tc>
          <w:tcPr>
            <w:tcW w:w="280" w:type="dxa"/>
            <w:tcBorders>
              <w:top w:val="nil"/>
              <w:left w:val="nil"/>
              <w:bottom w:val="nil"/>
              <w:right w:val="nil"/>
            </w:tcBorders>
            <w:shd w:val="clear" w:color="auto" w:fill="auto"/>
            <w:noWrap/>
            <w:vAlign w:val="bottom"/>
            <w:hideMark/>
          </w:tcPr>
          <w:p w:rsidR="00785A06" w:rsidRPr="009E5790"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9E5790" w:rsidRDefault="00785A06" w:rsidP="006240B9">
            <w:pPr>
              <w:rPr>
                <w:rFonts w:cs="Arial"/>
                <w:b/>
                <w:bCs/>
                <w:sz w:val="16"/>
                <w:szCs w:val="16"/>
                <w:lang w:val="nl-NL"/>
              </w:rPr>
            </w:pPr>
            <w:r w:rsidRPr="009E5790">
              <w:rPr>
                <w:rFonts w:cs="Arial"/>
                <w:b/>
                <w:bCs/>
                <w:sz w:val="16"/>
                <w:szCs w:val="16"/>
                <w:lang w:val="nl-NL"/>
              </w:rPr>
              <w:t>Vastgestelde begroting 2017</w:t>
            </w:r>
          </w:p>
        </w:tc>
        <w:tc>
          <w:tcPr>
            <w:tcW w:w="1000" w:type="dxa"/>
            <w:tcBorders>
              <w:top w:val="nil"/>
              <w:left w:val="nil"/>
              <w:bottom w:val="nil"/>
              <w:right w:val="nil"/>
            </w:tcBorders>
            <w:shd w:val="clear" w:color="auto" w:fill="auto"/>
            <w:vAlign w:val="center"/>
            <w:hideMark/>
          </w:tcPr>
          <w:p w:rsidR="00785A06" w:rsidRPr="009E5790" w:rsidRDefault="00785A06" w:rsidP="006240B9">
            <w:pPr>
              <w:jc w:val="right"/>
              <w:rPr>
                <w:rFonts w:cs="Arial"/>
                <w:b/>
                <w:bCs/>
                <w:sz w:val="16"/>
                <w:szCs w:val="16"/>
                <w:lang w:val="nl-NL"/>
              </w:rPr>
            </w:pPr>
            <w:r w:rsidRPr="009E5790">
              <w:rPr>
                <w:rFonts w:cs="Arial"/>
                <w:b/>
                <w:bCs/>
                <w:sz w:val="16"/>
                <w:szCs w:val="16"/>
                <w:lang w:val="nl-NL"/>
              </w:rPr>
              <w:t>4.365</w:t>
            </w:r>
          </w:p>
        </w:tc>
      </w:tr>
      <w:tr w:rsidR="00785A06" w:rsidRPr="009E5790" w:rsidTr="006240B9">
        <w:trPr>
          <w:trHeight w:val="300"/>
        </w:trPr>
        <w:tc>
          <w:tcPr>
            <w:tcW w:w="280" w:type="dxa"/>
            <w:tcBorders>
              <w:top w:val="nil"/>
              <w:left w:val="nil"/>
              <w:bottom w:val="nil"/>
              <w:right w:val="nil"/>
            </w:tcBorders>
            <w:shd w:val="clear" w:color="auto" w:fill="auto"/>
            <w:noWrap/>
            <w:vAlign w:val="bottom"/>
            <w:hideMark/>
          </w:tcPr>
          <w:p w:rsidR="00785A06" w:rsidRPr="009E5790"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9E5790" w:rsidRDefault="00785A06" w:rsidP="006240B9">
            <w:pPr>
              <w:rPr>
                <w:rFonts w:cs="Arial"/>
                <w:sz w:val="16"/>
                <w:szCs w:val="16"/>
                <w:lang w:val="nl-NL"/>
              </w:rPr>
            </w:pPr>
            <w:r w:rsidRPr="009E5790">
              <w:rPr>
                <w:rFonts w:cs="Arial"/>
                <w:sz w:val="16"/>
                <w:szCs w:val="16"/>
                <w:lang w:val="nl-NL"/>
              </w:rPr>
              <w:t xml:space="preserve">Suppletoire mutatie: </w:t>
            </w:r>
          </w:p>
        </w:tc>
        <w:tc>
          <w:tcPr>
            <w:tcW w:w="1000" w:type="dxa"/>
            <w:tcBorders>
              <w:top w:val="nil"/>
              <w:left w:val="nil"/>
              <w:bottom w:val="nil"/>
              <w:right w:val="nil"/>
            </w:tcBorders>
            <w:shd w:val="clear" w:color="auto" w:fill="auto"/>
            <w:vAlign w:val="center"/>
            <w:hideMark/>
          </w:tcPr>
          <w:p w:rsidR="00785A06" w:rsidRPr="009E5790" w:rsidRDefault="00785A06" w:rsidP="006240B9">
            <w:pPr>
              <w:jc w:val="right"/>
              <w:rPr>
                <w:rFonts w:cs="Arial"/>
                <w:sz w:val="16"/>
                <w:szCs w:val="16"/>
                <w:lang w:val="nl-NL"/>
              </w:rPr>
            </w:pPr>
          </w:p>
        </w:tc>
      </w:tr>
      <w:tr w:rsidR="00785A06" w:rsidRPr="009E5790" w:rsidTr="006240B9">
        <w:trPr>
          <w:trHeight w:val="300"/>
        </w:trPr>
        <w:tc>
          <w:tcPr>
            <w:tcW w:w="280" w:type="dxa"/>
            <w:tcBorders>
              <w:top w:val="nil"/>
              <w:left w:val="nil"/>
              <w:bottom w:val="nil"/>
              <w:right w:val="nil"/>
            </w:tcBorders>
            <w:shd w:val="clear" w:color="auto" w:fill="auto"/>
            <w:vAlign w:val="center"/>
            <w:hideMark/>
          </w:tcPr>
          <w:p w:rsidR="00785A06" w:rsidRPr="009E5790" w:rsidRDefault="00785A06" w:rsidP="006240B9">
            <w:pPr>
              <w:jc w:val="right"/>
              <w:rPr>
                <w:rFonts w:cs="Arial"/>
                <w:sz w:val="16"/>
                <w:szCs w:val="16"/>
                <w:lang w:val="nl-NL"/>
              </w:rPr>
            </w:pPr>
            <w:r w:rsidRPr="009E5790">
              <w:rPr>
                <w:rFonts w:cs="Arial"/>
                <w:sz w:val="16"/>
                <w:szCs w:val="16"/>
                <w:lang w:val="nl-NL"/>
              </w:rPr>
              <w:t>1</w:t>
            </w:r>
          </w:p>
        </w:tc>
        <w:tc>
          <w:tcPr>
            <w:tcW w:w="6620" w:type="dxa"/>
            <w:tcBorders>
              <w:top w:val="nil"/>
              <w:left w:val="nil"/>
              <w:bottom w:val="nil"/>
              <w:right w:val="nil"/>
            </w:tcBorders>
            <w:shd w:val="clear" w:color="auto" w:fill="auto"/>
            <w:vAlign w:val="center"/>
            <w:hideMark/>
          </w:tcPr>
          <w:p w:rsidR="00785A06" w:rsidRPr="009E5790" w:rsidRDefault="00785A06" w:rsidP="006240B9">
            <w:pPr>
              <w:rPr>
                <w:rFonts w:cs="Arial"/>
                <w:sz w:val="16"/>
                <w:szCs w:val="16"/>
                <w:lang w:val="nl-NL"/>
              </w:rPr>
            </w:pPr>
            <w:r w:rsidRPr="009E5790">
              <w:rPr>
                <w:rFonts w:cs="Arial"/>
                <w:sz w:val="16"/>
                <w:szCs w:val="16"/>
                <w:lang w:val="nl-NL"/>
              </w:rPr>
              <w:t>Ontvangsten a</w:t>
            </w:r>
            <w:r>
              <w:rPr>
                <w:rFonts w:cs="Arial"/>
                <w:sz w:val="16"/>
                <w:szCs w:val="16"/>
                <w:lang w:val="nl-NL"/>
              </w:rPr>
              <w:t xml:space="preserve">ls gevolg van </w:t>
            </w:r>
            <w:r w:rsidRPr="009E5790">
              <w:rPr>
                <w:rFonts w:cs="Arial"/>
                <w:sz w:val="16"/>
                <w:szCs w:val="16"/>
                <w:lang w:val="nl-NL"/>
              </w:rPr>
              <w:t xml:space="preserve">doorbelasting aandeel CKH loon- en prijsbijstelling </w:t>
            </w:r>
            <w:r>
              <w:rPr>
                <w:rFonts w:cs="Arial"/>
                <w:sz w:val="16"/>
                <w:szCs w:val="16"/>
                <w:lang w:val="nl-NL"/>
              </w:rPr>
              <w:t>2017</w:t>
            </w:r>
          </w:p>
        </w:tc>
        <w:tc>
          <w:tcPr>
            <w:tcW w:w="1000" w:type="dxa"/>
            <w:tcBorders>
              <w:top w:val="nil"/>
              <w:left w:val="nil"/>
              <w:bottom w:val="nil"/>
              <w:right w:val="nil"/>
            </w:tcBorders>
            <w:shd w:val="clear" w:color="auto" w:fill="auto"/>
            <w:vAlign w:val="center"/>
            <w:hideMark/>
          </w:tcPr>
          <w:p w:rsidR="00785A06" w:rsidRPr="009E5790" w:rsidRDefault="00785A06" w:rsidP="006240B9">
            <w:pPr>
              <w:jc w:val="right"/>
              <w:rPr>
                <w:rFonts w:cs="Arial"/>
                <w:sz w:val="16"/>
                <w:szCs w:val="16"/>
                <w:lang w:val="nl-NL"/>
              </w:rPr>
            </w:pPr>
            <w:r w:rsidRPr="009E5790">
              <w:rPr>
                <w:rFonts w:cs="Arial"/>
                <w:sz w:val="16"/>
                <w:szCs w:val="16"/>
                <w:lang w:val="nl-NL"/>
              </w:rPr>
              <w:t>27</w:t>
            </w:r>
          </w:p>
        </w:tc>
      </w:tr>
      <w:tr w:rsidR="00785A06" w:rsidRPr="009E5790" w:rsidTr="006240B9">
        <w:trPr>
          <w:trHeight w:val="450"/>
        </w:trPr>
        <w:tc>
          <w:tcPr>
            <w:tcW w:w="280" w:type="dxa"/>
            <w:tcBorders>
              <w:top w:val="nil"/>
              <w:left w:val="nil"/>
              <w:bottom w:val="nil"/>
              <w:right w:val="nil"/>
            </w:tcBorders>
            <w:shd w:val="clear" w:color="auto" w:fill="auto"/>
            <w:vAlign w:val="center"/>
            <w:hideMark/>
          </w:tcPr>
          <w:p w:rsidR="00785A06" w:rsidRPr="009E5790" w:rsidRDefault="00785A06" w:rsidP="006240B9">
            <w:pPr>
              <w:jc w:val="right"/>
              <w:rPr>
                <w:rFonts w:cs="Arial"/>
                <w:sz w:val="16"/>
                <w:szCs w:val="16"/>
                <w:lang w:val="nl-NL"/>
              </w:rPr>
            </w:pPr>
            <w:r w:rsidRPr="009E5790">
              <w:rPr>
                <w:rFonts w:cs="Arial"/>
                <w:sz w:val="16"/>
                <w:szCs w:val="16"/>
                <w:lang w:val="nl-NL"/>
              </w:rPr>
              <w:t>2</w:t>
            </w:r>
          </w:p>
        </w:tc>
        <w:tc>
          <w:tcPr>
            <w:tcW w:w="6620" w:type="dxa"/>
            <w:tcBorders>
              <w:top w:val="nil"/>
              <w:left w:val="nil"/>
              <w:bottom w:val="nil"/>
              <w:right w:val="nil"/>
            </w:tcBorders>
            <w:shd w:val="clear" w:color="auto" w:fill="auto"/>
            <w:vAlign w:val="center"/>
            <w:hideMark/>
          </w:tcPr>
          <w:p w:rsidR="00785A06" w:rsidRPr="009E5790" w:rsidRDefault="00785A06" w:rsidP="006240B9">
            <w:pPr>
              <w:rPr>
                <w:rFonts w:cs="Arial"/>
                <w:sz w:val="16"/>
                <w:szCs w:val="16"/>
                <w:lang w:val="nl-NL"/>
              </w:rPr>
            </w:pPr>
            <w:r w:rsidRPr="009E5790">
              <w:rPr>
                <w:rFonts w:cs="Arial"/>
                <w:sz w:val="16"/>
                <w:szCs w:val="16"/>
                <w:lang w:val="nl-NL"/>
              </w:rPr>
              <w:t>Ontvangsten a</w:t>
            </w:r>
            <w:r>
              <w:rPr>
                <w:rFonts w:cs="Arial"/>
                <w:sz w:val="16"/>
                <w:szCs w:val="16"/>
                <w:lang w:val="nl-NL"/>
              </w:rPr>
              <w:t>ls gevolg van</w:t>
            </w:r>
            <w:r w:rsidRPr="009E5790">
              <w:rPr>
                <w:rFonts w:cs="Arial"/>
                <w:sz w:val="16"/>
                <w:szCs w:val="16"/>
                <w:lang w:val="nl-NL"/>
              </w:rPr>
              <w:t xml:space="preserve"> doorbelasting aandeel CKH compensatie premiestijging ABP pensioen</w:t>
            </w:r>
          </w:p>
        </w:tc>
        <w:tc>
          <w:tcPr>
            <w:tcW w:w="1000" w:type="dxa"/>
            <w:tcBorders>
              <w:top w:val="nil"/>
              <w:left w:val="nil"/>
              <w:bottom w:val="nil"/>
              <w:right w:val="nil"/>
            </w:tcBorders>
            <w:shd w:val="clear" w:color="auto" w:fill="auto"/>
            <w:vAlign w:val="center"/>
            <w:hideMark/>
          </w:tcPr>
          <w:p w:rsidR="00785A06" w:rsidRPr="009E5790" w:rsidRDefault="00785A06" w:rsidP="006240B9">
            <w:pPr>
              <w:jc w:val="right"/>
              <w:rPr>
                <w:rFonts w:cs="Arial"/>
                <w:sz w:val="16"/>
                <w:szCs w:val="16"/>
                <w:lang w:val="nl-NL"/>
              </w:rPr>
            </w:pPr>
            <w:r w:rsidRPr="009E5790">
              <w:rPr>
                <w:rFonts w:cs="Arial"/>
                <w:sz w:val="16"/>
                <w:szCs w:val="16"/>
                <w:lang w:val="nl-NL"/>
              </w:rPr>
              <w:t>10</w:t>
            </w:r>
          </w:p>
        </w:tc>
      </w:tr>
      <w:tr w:rsidR="00785A06" w:rsidRPr="009E5790" w:rsidTr="006240B9">
        <w:trPr>
          <w:trHeight w:val="315"/>
        </w:trPr>
        <w:tc>
          <w:tcPr>
            <w:tcW w:w="280" w:type="dxa"/>
            <w:tcBorders>
              <w:top w:val="nil"/>
              <w:left w:val="nil"/>
              <w:bottom w:val="single" w:sz="8" w:space="0" w:color="auto"/>
              <w:right w:val="nil"/>
            </w:tcBorders>
            <w:shd w:val="clear" w:color="auto" w:fill="auto"/>
            <w:noWrap/>
            <w:vAlign w:val="bottom"/>
            <w:hideMark/>
          </w:tcPr>
          <w:p w:rsidR="00785A06" w:rsidRPr="009E5790" w:rsidRDefault="00785A06" w:rsidP="006240B9">
            <w:pPr>
              <w:rPr>
                <w:rFonts w:ascii="Calibri" w:hAnsi="Calibri"/>
                <w:sz w:val="22"/>
                <w:szCs w:val="22"/>
                <w:lang w:val="nl-NL"/>
              </w:rPr>
            </w:pPr>
            <w:r w:rsidRPr="009E5790">
              <w:rPr>
                <w:rFonts w:ascii="Calibri" w:hAnsi="Calibri"/>
                <w:sz w:val="22"/>
                <w:szCs w:val="22"/>
                <w:lang w:val="nl-NL"/>
              </w:rPr>
              <w:t> </w:t>
            </w:r>
          </w:p>
        </w:tc>
        <w:tc>
          <w:tcPr>
            <w:tcW w:w="6620" w:type="dxa"/>
            <w:tcBorders>
              <w:top w:val="nil"/>
              <w:left w:val="nil"/>
              <w:bottom w:val="single" w:sz="8" w:space="0" w:color="auto"/>
              <w:right w:val="nil"/>
            </w:tcBorders>
            <w:shd w:val="clear" w:color="auto" w:fill="auto"/>
            <w:vAlign w:val="center"/>
            <w:hideMark/>
          </w:tcPr>
          <w:p w:rsidR="00785A06" w:rsidRPr="009E5790" w:rsidRDefault="00785A06" w:rsidP="006240B9">
            <w:pPr>
              <w:rPr>
                <w:rFonts w:cs="Arial"/>
                <w:b/>
                <w:bCs/>
                <w:sz w:val="16"/>
                <w:szCs w:val="16"/>
                <w:lang w:val="nl-NL"/>
              </w:rPr>
            </w:pPr>
            <w:r w:rsidRPr="009E5790">
              <w:rPr>
                <w:rFonts w:cs="Arial"/>
                <w:b/>
                <w:bCs/>
                <w:sz w:val="16"/>
                <w:szCs w:val="16"/>
                <w:lang w:val="nl-NL"/>
              </w:rPr>
              <w:t>Stand 1e suppletoire begroting 2017</w:t>
            </w:r>
          </w:p>
        </w:tc>
        <w:tc>
          <w:tcPr>
            <w:tcW w:w="1000" w:type="dxa"/>
            <w:tcBorders>
              <w:top w:val="nil"/>
              <w:left w:val="nil"/>
              <w:bottom w:val="single" w:sz="8" w:space="0" w:color="auto"/>
              <w:right w:val="nil"/>
            </w:tcBorders>
            <w:shd w:val="clear" w:color="auto" w:fill="auto"/>
            <w:vAlign w:val="center"/>
            <w:hideMark/>
          </w:tcPr>
          <w:p w:rsidR="00785A06" w:rsidRPr="009E5790" w:rsidRDefault="00785A06" w:rsidP="006240B9">
            <w:pPr>
              <w:jc w:val="right"/>
              <w:rPr>
                <w:rFonts w:cs="Arial"/>
                <w:b/>
                <w:bCs/>
                <w:sz w:val="16"/>
                <w:szCs w:val="16"/>
                <w:lang w:val="nl-NL"/>
              </w:rPr>
            </w:pPr>
            <w:r w:rsidRPr="009E5790">
              <w:rPr>
                <w:rFonts w:cs="Arial"/>
                <w:b/>
                <w:bCs/>
                <w:sz w:val="16"/>
                <w:szCs w:val="16"/>
                <w:lang w:val="nl-NL"/>
              </w:rPr>
              <w:t>4.402</w:t>
            </w:r>
          </w:p>
        </w:tc>
      </w:tr>
    </w:tbl>
    <w:p w:rsidR="00785A06" w:rsidRDefault="00785A06" w:rsidP="00785A06">
      <w:pPr>
        <w:pStyle w:val="Plattetekstinspringen2"/>
        <w:ind w:left="0"/>
      </w:pPr>
    </w:p>
    <w:p w:rsidR="00785A06" w:rsidRDefault="00785A06" w:rsidP="00785A06">
      <w:pPr>
        <w:pStyle w:val="Plattetekstinspringen2"/>
        <w:tabs>
          <w:tab w:val="left" w:pos="567"/>
        </w:tabs>
        <w:ind w:left="0"/>
        <w:rPr>
          <w:u w:val="single"/>
        </w:rPr>
      </w:pPr>
      <w:r w:rsidRPr="008B72A9">
        <w:rPr>
          <w:u w:val="single"/>
        </w:rPr>
        <w:t>Toelichting</w:t>
      </w:r>
    </w:p>
    <w:p w:rsidR="00785A06" w:rsidRDefault="00785A06" w:rsidP="00785A06">
      <w:pPr>
        <w:pStyle w:val="Plattetekstinspringen2"/>
        <w:tabs>
          <w:tab w:val="left" w:pos="567"/>
        </w:tabs>
        <w:ind w:left="0"/>
      </w:pPr>
    </w:p>
    <w:p w:rsidR="00785A06" w:rsidRDefault="00785A06" w:rsidP="00785A06">
      <w:pPr>
        <w:pStyle w:val="Plattetekstinspringen2"/>
        <w:ind w:left="0"/>
        <w:rPr>
          <w:color w:val="auto"/>
        </w:rPr>
      </w:pPr>
      <w:r>
        <w:rPr>
          <w:color w:val="auto"/>
        </w:rPr>
        <w:t>1</w:t>
      </w:r>
      <w:r w:rsidRPr="00446803">
        <w:rPr>
          <w:color w:val="auto"/>
        </w:rPr>
        <w:t>)</w:t>
      </w:r>
      <w:r w:rsidRPr="00692F4A">
        <w:rPr>
          <w:color w:val="auto"/>
        </w:rPr>
        <w:t xml:space="preserve"> </w:t>
      </w:r>
      <w:r w:rsidRPr="00BB1C9D">
        <w:rPr>
          <w:color w:val="auto"/>
        </w:rPr>
        <w:t xml:space="preserve">Dit betreft een technische </w:t>
      </w:r>
      <w:r w:rsidRPr="00BB1C9D">
        <w:t>ontvangsten</w:t>
      </w:r>
      <w:r w:rsidRPr="00BB1C9D">
        <w:rPr>
          <w:color w:val="auto"/>
        </w:rPr>
        <w:t xml:space="preserve">mutatie </w:t>
      </w:r>
      <w:r w:rsidRPr="00BB1C9D">
        <w:t>als gevolg</w:t>
      </w:r>
      <w:r w:rsidRPr="00BB1C9D">
        <w:rPr>
          <w:color w:val="auto"/>
        </w:rPr>
        <w:t xml:space="preserve"> van de doorbelasting </w:t>
      </w:r>
      <w:r w:rsidRPr="00BB1C9D">
        <w:t>van</w:t>
      </w:r>
      <w:r>
        <w:t xml:space="preserve"> de</w:t>
      </w:r>
      <w:r w:rsidRPr="009E5790">
        <w:rPr>
          <w:color w:val="auto"/>
          <w:lang w:val="nl-NL"/>
        </w:rPr>
        <w:t xml:space="preserve"> </w:t>
      </w:r>
      <w:r w:rsidRPr="006D7A9D">
        <w:rPr>
          <w:color w:val="auto"/>
          <w:lang w:val="nl-NL"/>
        </w:rPr>
        <w:t>loon- en prijsbijstelling</w:t>
      </w:r>
      <w:r>
        <w:rPr>
          <w:color w:val="auto"/>
          <w:lang w:val="nl-NL"/>
        </w:rPr>
        <w:t xml:space="preserve"> </w:t>
      </w:r>
      <w:r>
        <w:t>voor de Rijksvoorlichtingsdienst</w:t>
      </w:r>
      <w:r w:rsidRPr="00BB1C9D">
        <w:t xml:space="preserve"> naar</w:t>
      </w:r>
      <w:r w:rsidRPr="00BB1C9D">
        <w:rPr>
          <w:color w:val="auto"/>
        </w:rPr>
        <w:t xml:space="preserve"> de begroting </w:t>
      </w:r>
      <w:r>
        <w:rPr>
          <w:color w:val="auto"/>
        </w:rPr>
        <w:t xml:space="preserve">van </w:t>
      </w:r>
      <w:r w:rsidRPr="00BB1C9D">
        <w:rPr>
          <w:color w:val="auto"/>
        </w:rPr>
        <w:t>de Koning</w:t>
      </w:r>
      <w:r>
        <w:rPr>
          <w:color w:val="auto"/>
        </w:rPr>
        <w:t>.</w:t>
      </w:r>
    </w:p>
    <w:p w:rsidR="00785A06" w:rsidRPr="009403FC" w:rsidRDefault="00785A06" w:rsidP="00785A06">
      <w:pPr>
        <w:pStyle w:val="Plattetekstinspringen2"/>
        <w:ind w:left="0"/>
        <w:rPr>
          <w:lang w:val="nl-NL"/>
        </w:rPr>
      </w:pPr>
    </w:p>
    <w:p w:rsidR="00785A06" w:rsidRDefault="00785A06" w:rsidP="00785A06">
      <w:pPr>
        <w:pStyle w:val="Plattetekstinspringen2"/>
        <w:ind w:left="0"/>
        <w:rPr>
          <w:color w:val="auto"/>
        </w:rPr>
      </w:pPr>
      <w:r w:rsidRPr="00BB1C9D">
        <w:rPr>
          <w:color w:val="auto"/>
        </w:rPr>
        <w:t>3)</w:t>
      </w:r>
      <w:r>
        <w:rPr>
          <w:color w:val="auto"/>
        </w:rPr>
        <w:t xml:space="preserve"> </w:t>
      </w:r>
      <w:r w:rsidRPr="009403FC">
        <w:rPr>
          <w:lang w:val="nl-NL"/>
        </w:rPr>
        <w:t xml:space="preserve">Dit betreft een technische ontvangstenmutatie als gevolg van de doorbelasting van het </w:t>
      </w:r>
      <w:r w:rsidRPr="001B141B">
        <w:rPr>
          <w:lang w:val="nl-NL"/>
        </w:rPr>
        <w:t xml:space="preserve">aandeel </w:t>
      </w:r>
      <w:r>
        <w:rPr>
          <w:lang w:val="nl-NL"/>
        </w:rPr>
        <w:t xml:space="preserve">van de </w:t>
      </w:r>
      <w:r>
        <w:t>de Rijksvoorlichtingsdienst</w:t>
      </w:r>
      <w:r w:rsidRPr="00BB1C9D">
        <w:t xml:space="preserve"> </w:t>
      </w:r>
      <w:r>
        <w:t xml:space="preserve">in de </w:t>
      </w:r>
      <w:r w:rsidRPr="001B141B">
        <w:rPr>
          <w:lang w:val="nl-NL"/>
        </w:rPr>
        <w:t>compensatie</w:t>
      </w:r>
      <w:r>
        <w:rPr>
          <w:lang w:val="nl-NL"/>
        </w:rPr>
        <w:t xml:space="preserve"> van de</w:t>
      </w:r>
      <w:r w:rsidRPr="001B141B">
        <w:rPr>
          <w:lang w:val="nl-NL"/>
        </w:rPr>
        <w:t xml:space="preserve"> </w:t>
      </w:r>
      <w:r>
        <w:rPr>
          <w:lang w:val="nl-NL"/>
        </w:rPr>
        <w:t>premiestijging van het ABP pensioen.</w:t>
      </w:r>
    </w:p>
    <w:p w:rsidR="00785A06" w:rsidRDefault="00785A06" w:rsidP="00785A06">
      <w:pPr>
        <w:pStyle w:val="Plattetekstinspringen2"/>
        <w:ind w:left="0"/>
        <w:rPr>
          <w:lang w:val="nl-NL"/>
        </w:rPr>
      </w:pPr>
    </w:p>
    <w:p w:rsidR="00785A06" w:rsidRDefault="00785A06" w:rsidP="00785A06">
      <w:pPr>
        <w:pStyle w:val="Plattetekstinspringen2"/>
        <w:ind w:left="0"/>
        <w:rPr>
          <w:lang w:val="nl-NL"/>
        </w:rPr>
      </w:pPr>
    </w:p>
    <w:p w:rsidR="00785A06" w:rsidRDefault="00785A06" w:rsidP="00785A06">
      <w:pPr>
        <w:rPr>
          <w:b/>
        </w:rPr>
      </w:pPr>
      <w:r>
        <w:rPr>
          <w:b/>
        </w:rPr>
        <w:br w:type="page"/>
      </w:r>
    </w:p>
    <w:p w:rsidR="00785A06" w:rsidRDefault="00785A06" w:rsidP="00785A06">
      <w:pPr>
        <w:pStyle w:val="Plattetekstinspringen2"/>
        <w:tabs>
          <w:tab w:val="left" w:pos="567"/>
        </w:tabs>
        <w:ind w:left="-426"/>
        <w:rPr>
          <w:b/>
        </w:rPr>
      </w:pPr>
      <w:r>
        <w:rPr>
          <w:b/>
        </w:rPr>
        <w:lastRenderedPageBreak/>
        <w:t>2.2</w:t>
      </w:r>
      <w:r>
        <w:rPr>
          <w:b/>
        </w:rPr>
        <w:tab/>
        <w:t>Beleidsartikel ‘Eenheid van het algemeen regeringsbeleid’</w:t>
      </w:r>
    </w:p>
    <w:p w:rsidR="00785A06" w:rsidRDefault="00785A06" w:rsidP="00785A06">
      <w:pPr>
        <w:pStyle w:val="Plattetekstinspringen2"/>
        <w:tabs>
          <w:tab w:val="left" w:pos="567"/>
        </w:tabs>
        <w:ind w:left="0"/>
        <w:rPr>
          <w:b/>
        </w:rPr>
      </w:pPr>
    </w:p>
    <w:p w:rsidR="00785A06" w:rsidRPr="00B26840" w:rsidRDefault="00785A06" w:rsidP="00785A06">
      <w:pPr>
        <w:pStyle w:val="Plattetekstinspringen2"/>
        <w:tabs>
          <w:tab w:val="left" w:pos="1134"/>
        </w:tabs>
        <w:ind w:left="0"/>
      </w:pPr>
    </w:p>
    <w:p w:rsidR="00785A06" w:rsidRDefault="00785A06" w:rsidP="00785A06">
      <w:pPr>
        <w:pStyle w:val="Kop1"/>
        <w:tabs>
          <w:tab w:val="clear" w:pos="2268"/>
          <w:tab w:val="left" w:pos="-426"/>
        </w:tabs>
        <w:ind w:left="-453"/>
        <w:rPr>
          <w:b w:val="0"/>
        </w:rPr>
      </w:pPr>
      <w:r w:rsidRPr="00B26840">
        <w:rPr>
          <w:b w:val="0"/>
        </w:rPr>
        <w:tab/>
        <w:t>Budgettaire gevolgen van beleid, Eenheid van het algemeen regeringsbeleid. (Eerste suppletoire begroting) (Bedragen x € 1.000)</w:t>
      </w:r>
    </w:p>
    <w:p w:rsidR="00785A06" w:rsidRDefault="00785A06" w:rsidP="00785A06">
      <w:pPr>
        <w:rPr>
          <w:b/>
        </w:rPr>
      </w:pPr>
    </w:p>
    <w:tbl>
      <w:tblPr>
        <w:tblW w:w="10320" w:type="dxa"/>
        <w:tblInd w:w="-1182" w:type="dxa"/>
        <w:tblCellMar>
          <w:left w:w="70" w:type="dxa"/>
          <w:right w:w="70" w:type="dxa"/>
        </w:tblCellMar>
        <w:tblLook w:val="04A0" w:firstRow="1" w:lastRow="0" w:firstColumn="1" w:lastColumn="0" w:noHBand="0" w:noVBand="1"/>
      </w:tblPr>
      <w:tblGrid>
        <w:gridCol w:w="1782"/>
        <w:gridCol w:w="1460"/>
        <w:gridCol w:w="1260"/>
        <w:gridCol w:w="1100"/>
        <w:gridCol w:w="1120"/>
        <w:gridCol w:w="923"/>
        <w:gridCol w:w="665"/>
        <w:gridCol w:w="665"/>
        <w:gridCol w:w="665"/>
        <w:gridCol w:w="680"/>
      </w:tblGrid>
      <w:tr w:rsidR="00785A06" w:rsidRPr="006D2C32" w:rsidTr="006240B9">
        <w:trPr>
          <w:trHeight w:val="300"/>
        </w:trPr>
        <w:tc>
          <w:tcPr>
            <w:tcW w:w="1782"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rPr>
                <w:rFonts w:cs="Arial"/>
                <w:b/>
                <w:bCs/>
                <w:color w:val="auto"/>
                <w:sz w:val="16"/>
                <w:szCs w:val="16"/>
                <w:lang w:val="nl-NL"/>
              </w:rPr>
            </w:pPr>
          </w:p>
        </w:tc>
        <w:tc>
          <w:tcPr>
            <w:tcW w:w="1460"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Ontwerpbegroting 2017 (1)</w:t>
            </w:r>
          </w:p>
        </w:tc>
        <w:tc>
          <w:tcPr>
            <w:tcW w:w="1260"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 xml:space="preserve">Mutaties via </w:t>
            </w:r>
            <w:proofErr w:type="spellStart"/>
            <w:r w:rsidRPr="006D2C32">
              <w:rPr>
                <w:rFonts w:cs="Arial"/>
                <w:color w:val="auto"/>
                <w:sz w:val="16"/>
                <w:szCs w:val="16"/>
                <w:lang w:val="nl-NL"/>
              </w:rPr>
              <w:t>NvW</w:t>
            </w:r>
            <w:proofErr w:type="spellEnd"/>
            <w:r w:rsidRPr="006D2C32">
              <w:rPr>
                <w:rFonts w:cs="Arial"/>
                <w:color w:val="auto"/>
                <w:sz w:val="16"/>
                <w:szCs w:val="16"/>
                <w:lang w:val="nl-NL"/>
              </w:rPr>
              <w:t xml:space="preserve">, </w:t>
            </w:r>
            <w:r w:rsidRPr="006D2C32">
              <w:rPr>
                <w:rFonts w:cs="Arial"/>
                <w:color w:val="auto"/>
                <w:sz w:val="16"/>
                <w:szCs w:val="16"/>
                <w:lang w:val="nl-NL"/>
              </w:rPr>
              <w:br/>
              <w:t xml:space="preserve">ISB, motie en </w:t>
            </w:r>
            <w:r w:rsidRPr="006D2C32">
              <w:rPr>
                <w:rFonts w:cs="Arial"/>
                <w:color w:val="auto"/>
                <w:sz w:val="16"/>
                <w:szCs w:val="16"/>
                <w:lang w:val="nl-NL"/>
              </w:rPr>
              <w:br/>
              <w:t>amendementen (2)</w:t>
            </w:r>
          </w:p>
        </w:tc>
        <w:tc>
          <w:tcPr>
            <w:tcW w:w="1100"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Vastgestelde begroting 2017 (3=1+2)</w:t>
            </w:r>
          </w:p>
        </w:tc>
        <w:tc>
          <w:tcPr>
            <w:tcW w:w="1120"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 xml:space="preserve"> Mutaties 1e suppletoire begroting (4)</w:t>
            </w:r>
          </w:p>
        </w:tc>
        <w:tc>
          <w:tcPr>
            <w:tcW w:w="923"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 xml:space="preserve"> Stand 1e suppletoire begroting (5 = 3+4)</w:t>
            </w:r>
          </w:p>
        </w:tc>
        <w:tc>
          <w:tcPr>
            <w:tcW w:w="665"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Mutatie 2018</w:t>
            </w:r>
          </w:p>
        </w:tc>
        <w:tc>
          <w:tcPr>
            <w:tcW w:w="665"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Mutatie 2019</w:t>
            </w:r>
          </w:p>
        </w:tc>
        <w:tc>
          <w:tcPr>
            <w:tcW w:w="665"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Mutatie 2020</w:t>
            </w:r>
          </w:p>
        </w:tc>
        <w:tc>
          <w:tcPr>
            <w:tcW w:w="680" w:type="dxa"/>
            <w:vMerge w:val="restart"/>
            <w:tcBorders>
              <w:top w:val="nil"/>
              <w:left w:val="nil"/>
              <w:bottom w:val="single" w:sz="8" w:space="0" w:color="000000"/>
              <w:right w:val="nil"/>
            </w:tcBorders>
            <w:shd w:val="clear" w:color="auto" w:fill="auto"/>
            <w:vAlign w:val="center"/>
            <w:hideMark/>
          </w:tcPr>
          <w:p w:rsidR="00785A06" w:rsidRPr="006D2C32" w:rsidRDefault="00785A06" w:rsidP="006240B9">
            <w:pPr>
              <w:jc w:val="right"/>
              <w:rPr>
                <w:rFonts w:cs="Arial"/>
                <w:color w:val="auto"/>
                <w:sz w:val="16"/>
                <w:szCs w:val="16"/>
                <w:lang w:val="nl-NL"/>
              </w:rPr>
            </w:pPr>
            <w:r w:rsidRPr="006D2C32">
              <w:rPr>
                <w:rFonts w:cs="Arial"/>
                <w:color w:val="auto"/>
                <w:sz w:val="16"/>
                <w:szCs w:val="16"/>
                <w:lang w:val="nl-NL"/>
              </w:rPr>
              <w:t>Mutatie 2021</w:t>
            </w:r>
          </w:p>
        </w:tc>
      </w:tr>
      <w:tr w:rsidR="00785A06" w:rsidRPr="006D2C32" w:rsidTr="006240B9">
        <w:trPr>
          <w:trHeight w:val="1080"/>
        </w:trPr>
        <w:tc>
          <w:tcPr>
            <w:tcW w:w="1782" w:type="dxa"/>
            <w:vMerge/>
            <w:tcBorders>
              <w:top w:val="nil"/>
              <w:left w:val="nil"/>
              <w:bottom w:val="single" w:sz="8" w:space="0" w:color="000000"/>
              <w:right w:val="nil"/>
            </w:tcBorders>
            <w:vAlign w:val="center"/>
            <w:hideMark/>
          </w:tcPr>
          <w:p w:rsidR="00785A06" w:rsidRPr="006D2C32" w:rsidRDefault="00785A06" w:rsidP="006240B9">
            <w:pPr>
              <w:rPr>
                <w:rFonts w:cs="Arial"/>
                <w:b/>
                <w:bCs/>
                <w:color w:val="auto"/>
                <w:sz w:val="16"/>
                <w:szCs w:val="16"/>
                <w:lang w:val="nl-NL"/>
              </w:rPr>
            </w:pPr>
          </w:p>
        </w:tc>
        <w:tc>
          <w:tcPr>
            <w:tcW w:w="1460"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1260"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1100"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1120"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923"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665"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665"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665"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c>
          <w:tcPr>
            <w:tcW w:w="680" w:type="dxa"/>
            <w:vMerge/>
            <w:tcBorders>
              <w:top w:val="nil"/>
              <w:left w:val="nil"/>
              <w:bottom w:val="single" w:sz="8" w:space="0" w:color="000000"/>
              <w:right w:val="nil"/>
            </w:tcBorders>
            <w:vAlign w:val="center"/>
            <w:hideMark/>
          </w:tcPr>
          <w:p w:rsidR="00785A06" w:rsidRPr="006D2C32" w:rsidRDefault="00785A06" w:rsidP="006240B9">
            <w:pPr>
              <w:rPr>
                <w:rFonts w:cs="Arial"/>
                <w:color w:val="auto"/>
                <w:sz w:val="16"/>
                <w:szCs w:val="16"/>
                <w:lang w:val="nl-NL"/>
              </w:rPr>
            </w:pP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b/>
                <w:bCs/>
                <w:sz w:val="16"/>
                <w:szCs w:val="16"/>
                <w:lang w:val="nl-NL"/>
              </w:rPr>
            </w:pPr>
            <w:r w:rsidRPr="006D2C32">
              <w:rPr>
                <w:rFonts w:cs="Arial"/>
                <w:b/>
                <w:bCs/>
                <w:sz w:val="16"/>
                <w:szCs w:val="16"/>
                <w:lang w:val="nl-NL"/>
              </w:rPr>
              <w:t>Verplichtingen</w:t>
            </w:r>
          </w:p>
        </w:tc>
        <w:tc>
          <w:tcPr>
            <w:tcW w:w="14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59.461</w:t>
            </w:r>
          </w:p>
        </w:tc>
        <w:tc>
          <w:tcPr>
            <w:tcW w:w="12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0</w:t>
            </w:r>
          </w:p>
        </w:tc>
        <w:tc>
          <w:tcPr>
            <w:tcW w:w="110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59.461</w:t>
            </w:r>
          </w:p>
        </w:tc>
        <w:tc>
          <w:tcPr>
            <w:tcW w:w="112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-342</w:t>
            </w: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59.119</w:t>
            </w: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-671</w:t>
            </w: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-652</w:t>
            </w: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-652</w:t>
            </w:r>
          </w:p>
        </w:tc>
        <w:tc>
          <w:tcPr>
            <w:tcW w:w="68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-628</w:t>
            </w: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p>
        </w:tc>
        <w:tc>
          <w:tcPr>
            <w:tcW w:w="14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12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110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112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8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b/>
                <w:bCs/>
                <w:sz w:val="16"/>
                <w:szCs w:val="16"/>
                <w:lang w:val="nl-NL"/>
              </w:rPr>
            </w:pPr>
            <w:r w:rsidRPr="006D2C32">
              <w:rPr>
                <w:rFonts w:cs="Arial"/>
                <w:b/>
                <w:bCs/>
                <w:sz w:val="16"/>
                <w:szCs w:val="16"/>
                <w:lang w:val="nl-NL"/>
              </w:rPr>
              <w:t>Uitgaven</w:t>
            </w:r>
          </w:p>
        </w:tc>
        <w:tc>
          <w:tcPr>
            <w:tcW w:w="14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59.461</w:t>
            </w:r>
          </w:p>
        </w:tc>
        <w:tc>
          <w:tcPr>
            <w:tcW w:w="12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0</w:t>
            </w:r>
          </w:p>
        </w:tc>
        <w:tc>
          <w:tcPr>
            <w:tcW w:w="110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59.461</w:t>
            </w:r>
          </w:p>
        </w:tc>
        <w:tc>
          <w:tcPr>
            <w:tcW w:w="112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-342</w:t>
            </w: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59.119</w:t>
            </w: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-671</w:t>
            </w: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-652</w:t>
            </w: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-652</w:t>
            </w:r>
          </w:p>
        </w:tc>
        <w:tc>
          <w:tcPr>
            <w:tcW w:w="68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-628</w:t>
            </w: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p>
        </w:tc>
        <w:tc>
          <w:tcPr>
            <w:tcW w:w="14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126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1100"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112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80"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r>
      <w:tr w:rsidR="00785A06" w:rsidRPr="006D2C32" w:rsidTr="006240B9">
        <w:trPr>
          <w:trHeight w:val="1125"/>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r w:rsidRPr="006D2C32">
              <w:rPr>
                <w:rFonts w:cs="Arial"/>
                <w:sz w:val="16"/>
                <w:szCs w:val="16"/>
                <w:lang w:val="nl-NL"/>
              </w:rPr>
              <w:t>Coördinatie van het algemeen communicatie- en regeringsbeleid (RVD)  apparaatsuitgaven</w:t>
            </w:r>
          </w:p>
        </w:tc>
        <w:tc>
          <w:tcPr>
            <w:tcW w:w="14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4.271</w:t>
            </w:r>
          </w:p>
        </w:tc>
        <w:tc>
          <w:tcPr>
            <w:tcW w:w="12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110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4.271</w:t>
            </w:r>
          </w:p>
        </w:tc>
        <w:tc>
          <w:tcPr>
            <w:tcW w:w="112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-2.094</w:t>
            </w:r>
          </w:p>
        </w:tc>
        <w:tc>
          <w:tcPr>
            <w:tcW w:w="923"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2.177</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-2.064</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-2.064</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-2.064</w:t>
            </w:r>
          </w:p>
        </w:tc>
        <w:tc>
          <w:tcPr>
            <w:tcW w:w="68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-2.064</w:t>
            </w: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p>
        </w:tc>
        <w:tc>
          <w:tcPr>
            <w:tcW w:w="146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126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110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112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68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r>
      <w:tr w:rsidR="00785A06" w:rsidRPr="006D2C32" w:rsidTr="006240B9">
        <w:trPr>
          <w:trHeight w:val="1125"/>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r w:rsidRPr="006D2C32">
              <w:rPr>
                <w:rFonts w:cs="Arial"/>
                <w:sz w:val="16"/>
                <w:szCs w:val="16"/>
                <w:lang w:val="nl-NL"/>
              </w:rPr>
              <w:t>Bijdrage aan de lange termijn beleidsontwikkeling (WRR) apparaatsuitgaven</w:t>
            </w:r>
          </w:p>
        </w:tc>
        <w:tc>
          <w:tcPr>
            <w:tcW w:w="14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594</w:t>
            </w:r>
          </w:p>
        </w:tc>
        <w:tc>
          <w:tcPr>
            <w:tcW w:w="12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110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594</w:t>
            </w:r>
          </w:p>
        </w:tc>
        <w:tc>
          <w:tcPr>
            <w:tcW w:w="112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923"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594</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68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p>
        </w:tc>
        <w:tc>
          <w:tcPr>
            <w:tcW w:w="146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126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110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112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c>
          <w:tcPr>
            <w:tcW w:w="680" w:type="dxa"/>
            <w:tcBorders>
              <w:top w:val="nil"/>
              <w:left w:val="nil"/>
              <w:bottom w:val="nil"/>
              <w:right w:val="nil"/>
            </w:tcBorders>
            <w:shd w:val="clear" w:color="auto" w:fill="auto"/>
            <w:noWrap/>
            <w:vAlign w:val="bottom"/>
            <w:hideMark/>
          </w:tcPr>
          <w:p w:rsidR="00785A06" w:rsidRPr="006D2C32" w:rsidRDefault="00785A06" w:rsidP="006240B9">
            <w:pPr>
              <w:rPr>
                <w:rFonts w:cs="Arial"/>
                <w:sz w:val="16"/>
                <w:szCs w:val="16"/>
                <w:lang w:val="nl-NL"/>
              </w:rPr>
            </w:pP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r w:rsidRPr="006D2C32">
              <w:rPr>
                <w:rFonts w:cs="Arial"/>
                <w:sz w:val="16"/>
                <w:szCs w:val="16"/>
                <w:lang w:val="nl-NL"/>
              </w:rPr>
              <w:t>Apparaatsuitgaven</w:t>
            </w:r>
          </w:p>
        </w:tc>
        <w:tc>
          <w:tcPr>
            <w:tcW w:w="14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32.010</w:t>
            </w:r>
          </w:p>
        </w:tc>
        <w:tc>
          <w:tcPr>
            <w:tcW w:w="12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110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32.010</w:t>
            </w:r>
          </w:p>
        </w:tc>
        <w:tc>
          <w:tcPr>
            <w:tcW w:w="112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1.009</w:t>
            </w:r>
          </w:p>
        </w:tc>
        <w:tc>
          <w:tcPr>
            <w:tcW w:w="923"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33.019</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680</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699</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699</w:t>
            </w:r>
          </w:p>
        </w:tc>
        <w:tc>
          <w:tcPr>
            <w:tcW w:w="68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724</w:t>
            </w: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b/>
                <w:bCs/>
                <w:sz w:val="16"/>
                <w:szCs w:val="16"/>
                <w:lang w:val="nl-NL"/>
              </w:rPr>
            </w:pPr>
          </w:p>
        </w:tc>
        <w:tc>
          <w:tcPr>
            <w:tcW w:w="146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126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110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112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68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r>
      <w:tr w:rsidR="00785A06" w:rsidRPr="006D2C32" w:rsidTr="006240B9">
        <w:trPr>
          <w:trHeight w:val="525"/>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b/>
                <w:bCs/>
                <w:sz w:val="16"/>
                <w:szCs w:val="16"/>
                <w:lang w:val="nl-NL"/>
              </w:rPr>
            </w:pPr>
            <w:r w:rsidRPr="006D2C32">
              <w:rPr>
                <w:rFonts w:cs="Arial"/>
                <w:b/>
                <w:bCs/>
                <w:sz w:val="16"/>
                <w:szCs w:val="16"/>
                <w:lang w:val="nl-NL"/>
              </w:rPr>
              <w:t>Bijdrage agentschap</w:t>
            </w:r>
          </w:p>
        </w:tc>
        <w:tc>
          <w:tcPr>
            <w:tcW w:w="146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126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110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112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b/>
                <w:bCs/>
                <w:sz w:val="16"/>
                <w:szCs w:val="16"/>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665"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c>
          <w:tcPr>
            <w:tcW w:w="680" w:type="dxa"/>
            <w:tcBorders>
              <w:top w:val="nil"/>
              <w:left w:val="nil"/>
              <w:bottom w:val="nil"/>
              <w:right w:val="nil"/>
            </w:tcBorders>
            <w:shd w:val="clear" w:color="auto" w:fill="auto"/>
            <w:noWrap/>
            <w:vAlign w:val="bottom"/>
            <w:hideMark/>
          </w:tcPr>
          <w:p w:rsidR="00785A06" w:rsidRPr="006D2C32" w:rsidRDefault="00785A06" w:rsidP="006240B9">
            <w:pPr>
              <w:rPr>
                <w:rFonts w:ascii="Calibri" w:hAnsi="Calibri"/>
                <w:sz w:val="22"/>
                <w:szCs w:val="22"/>
                <w:lang w:val="nl-NL"/>
              </w:rPr>
            </w:pPr>
          </w:p>
        </w:tc>
      </w:tr>
      <w:tr w:rsidR="00785A06" w:rsidRPr="006D2C32" w:rsidTr="006240B9">
        <w:trPr>
          <w:trHeight w:val="555"/>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r w:rsidRPr="006D2C32">
              <w:rPr>
                <w:rFonts w:cs="Arial"/>
                <w:sz w:val="16"/>
                <w:szCs w:val="16"/>
                <w:lang w:val="nl-NL"/>
              </w:rPr>
              <w:t>Dienst Publiek en Communicatie</w:t>
            </w:r>
          </w:p>
        </w:tc>
        <w:tc>
          <w:tcPr>
            <w:tcW w:w="14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22.586</w:t>
            </w:r>
          </w:p>
        </w:tc>
        <w:tc>
          <w:tcPr>
            <w:tcW w:w="126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0</w:t>
            </w:r>
          </w:p>
        </w:tc>
        <w:tc>
          <w:tcPr>
            <w:tcW w:w="110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22.586</w:t>
            </w:r>
          </w:p>
        </w:tc>
        <w:tc>
          <w:tcPr>
            <w:tcW w:w="112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743</w:t>
            </w:r>
          </w:p>
        </w:tc>
        <w:tc>
          <w:tcPr>
            <w:tcW w:w="923"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23.329</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713</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713</w:t>
            </w:r>
          </w:p>
        </w:tc>
        <w:tc>
          <w:tcPr>
            <w:tcW w:w="665"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713</w:t>
            </w:r>
          </w:p>
        </w:tc>
        <w:tc>
          <w:tcPr>
            <w:tcW w:w="680" w:type="dxa"/>
            <w:tcBorders>
              <w:top w:val="nil"/>
              <w:left w:val="nil"/>
              <w:bottom w:val="nil"/>
              <w:right w:val="nil"/>
            </w:tcBorders>
            <w:shd w:val="clear" w:color="auto" w:fill="auto"/>
            <w:noWrap/>
            <w:vAlign w:val="bottom"/>
            <w:hideMark/>
          </w:tcPr>
          <w:p w:rsidR="00785A06" w:rsidRPr="006D2C32" w:rsidRDefault="00785A06" w:rsidP="006240B9">
            <w:pPr>
              <w:jc w:val="right"/>
              <w:rPr>
                <w:rFonts w:cs="Arial"/>
                <w:sz w:val="16"/>
                <w:szCs w:val="16"/>
                <w:lang w:val="nl-NL"/>
              </w:rPr>
            </w:pPr>
            <w:r w:rsidRPr="006D2C32">
              <w:rPr>
                <w:rFonts w:cs="Arial"/>
                <w:sz w:val="16"/>
                <w:szCs w:val="16"/>
                <w:lang w:val="nl-NL"/>
              </w:rPr>
              <w:t>712</w:t>
            </w:r>
          </w:p>
        </w:tc>
      </w:tr>
      <w:tr w:rsidR="00785A06" w:rsidRPr="006D2C32" w:rsidTr="006240B9">
        <w:trPr>
          <w:trHeight w:val="300"/>
        </w:trPr>
        <w:tc>
          <w:tcPr>
            <w:tcW w:w="1782" w:type="dxa"/>
            <w:tcBorders>
              <w:top w:val="nil"/>
              <w:left w:val="nil"/>
              <w:bottom w:val="nil"/>
              <w:right w:val="nil"/>
            </w:tcBorders>
            <w:shd w:val="clear" w:color="auto" w:fill="auto"/>
            <w:vAlign w:val="center"/>
            <w:hideMark/>
          </w:tcPr>
          <w:p w:rsidR="00785A06" w:rsidRPr="006D2C32" w:rsidRDefault="00785A06" w:rsidP="006240B9">
            <w:pPr>
              <w:rPr>
                <w:rFonts w:cs="Arial"/>
                <w:sz w:val="16"/>
                <w:szCs w:val="16"/>
                <w:lang w:val="nl-NL"/>
              </w:rPr>
            </w:pPr>
          </w:p>
        </w:tc>
        <w:tc>
          <w:tcPr>
            <w:tcW w:w="1460"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1260"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1100"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1120"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923"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665"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c>
          <w:tcPr>
            <w:tcW w:w="680" w:type="dxa"/>
            <w:tcBorders>
              <w:top w:val="nil"/>
              <w:left w:val="nil"/>
              <w:bottom w:val="nil"/>
              <w:right w:val="nil"/>
            </w:tcBorders>
            <w:shd w:val="clear" w:color="auto" w:fill="auto"/>
            <w:vAlign w:val="center"/>
            <w:hideMark/>
          </w:tcPr>
          <w:p w:rsidR="00785A06" w:rsidRPr="006D2C32" w:rsidRDefault="00785A06" w:rsidP="006240B9">
            <w:pPr>
              <w:jc w:val="right"/>
              <w:rPr>
                <w:rFonts w:cs="Arial"/>
                <w:sz w:val="16"/>
                <w:szCs w:val="16"/>
                <w:lang w:val="nl-NL"/>
              </w:rPr>
            </w:pPr>
          </w:p>
        </w:tc>
      </w:tr>
      <w:tr w:rsidR="00785A06" w:rsidRPr="006D2C32" w:rsidTr="006240B9">
        <w:trPr>
          <w:trHeight w:val="315"/>
        </w:trPr>
        <w:tc>
          <w:tcPr>
            <w:tcW w:w="1782" w:type="dxa"/>
            <w:tcBorders>
              <w:top w:val="nil"/>
              <w:left w:val="nil"/>
              <w:bottom w:val="single" w:sz="8" w:space="0" w:color="auto"/>
              <w:right w:val="nil"/>
            </w:tcBorders>
            <w:shd w:val="clear" w:color="auto" w:fill="auto"/>
            <w:vAlign w:val="center"/>
            <w:hideMark/>
          </w:tcPr>
          <w:p w:rsidR="00785A06" w:rsidRPr="006D2C32" w:rsidRDefault="00785A06" w:rsidP="006240B9">
            <w:pPr>
              <w:rPr>
                <w:rFonts w:cs="Arial"/>
                <w:b/>
                <w:bCs/>
                <w:sz w:val="16"/>
                <w:szCs w:val="16"/>
                <w:lang w:val="nl-NL"/>
              </w:rPr>
            </w:pPr>
            <w:r w:rsidRPr="006D2C32">
              <w:rPr>
                <w:rFonts w:cs="Arial"/>
                <w:b/>
                <w:bCs/>
                <w:sz w:val="16"/>
                <w:szCs w:val="16"/>
                <w:lang w:val="nl-NL"/>
              </w:rPr>
              <w:t>Ontvangsten</w:t>
            </w:r>
          </w:p>
        </w:tc>
        <w:tc>
          <w:tcPr>
            <w:tcW w:w="1460"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4.365</w:t>
            </w:r>
          </w:p>
        </w:tc>
        <w:tc>
          <w:tcPr>
            <w:tcW w:w="1260"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0</w:t>
            </w:r>
          </w:p>
        </w:tc>
        <w:tc>
          <w:tcPr>
            <w:tcW w:w="1100"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4.365</w:t>
            </w:r>
          </w:p>
        </w:tc>
        <w:tc>
          <w:tcPr>
            <w:tcW w:w="1120"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37</w:t>
            </w:r>
          </w:p>
        </w:tc>
        <w:tc>
          <w:tcPr>
            <w:tcW w:w="923"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4.402</w:t>
            </w:r>
          </w:p>
        </w:tc>
        <w:tc>
          <w:tcPr>
            <w:tcW w:w="665"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37</w:t>
            </w:r>
          </w:p>
        </w:tc>
        <w:tc>
          <w:tcPr>
            <w:tcW w:w="665"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37</w:t>
            </w:r>
          </w:p>
        </w:tc>
        <w:tc>
          <w:tcPr>
            <w:tcW w:w="665"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37</w:t>
            </w:r>
          </w:p>
        </w:tc>
        <w:tc>
          <w:tcPr>
            <w:tcW w:w="680" w:type="dxa"/>
            <w:tcBorders>
              <w:top w:val="nil"/>
              <w:left w:val="nil"/>
              <w:bottom w:val="single" w:sz="8" w:space="0" w:color="auto"/>
              <w:right w:val="nil"/>
            </w:tcBorders>
            <w:shd w:val="clear" w:color="auto" w:fill="auto"/>
            <w:vAlign w:val="center"/>
            <w:hideMark/>
          </w:tcPr>
          <w:p w:rsidR="00785A06" w:rsidRPr="006D2C32" w:rsidRDefault="00785A06" w:rsidP="006240B9">
            <w:pPr>
              <w:jc w:val="right"/>
              <w:rPr>
                <w:rFonts w:cs="Arial"/>
                <w:b/>
                <w:bCs/>
                <w:sz w:val="16"/>
                <w:szCs w:val="16"/>
                <w:lang w:val="nl-NL"/>
              </w:rPr>
            </w:pPr>
            <w:r w:rsidRPr="006D2C32">
              <w:rPr>
                <w:rFonts w:cs="Arial"/>
                <w:b/>
                <w:bCs/>
                <w:sz w:val="16"/>
                <w:szCs w:val="16"/>
                <w:lang w:val="nl-NL"/>
              </w:rPr>
              <w:t>37</w:t>
            </w:r>
          </w:p>
        </w:tc>
      </w:tr>
    </w:tbl>
    <w:p w:rsidR="00785A06" w:rsidRDefault="00785A06" w:rsidP="00785A06">
      <w:pPr>
        <w:numPr>
          <w:ilvl w:val="12"/>
          <w:numId w:val="0"/>
        </w:numPr>
        <w:rPr>
          <w:b/>
        </w:rPr>
      </w:pPr>
    </w:p>
    <w:p w:rsidR="00785A06" w:rsidRDefault="00785A06" w:rsidP="00785A06">
      <w:pPr>
        <w:numPr>
          <w:ilvl w:val="12"/>
          <w:numId w:val="0"/>
        </w:numPr>
        <w:rPr>
          <w:b/>
        </w:rPr>
      </w:pPr>
    </w:p>
    <w:p w:rsidR="00785A06" w:rsidRPr="00671509" w:rsidRDefault="00785A06" w:rsidP="00785A06">
      <w:pPr>
        <w:pStyle w:val="Voettekst"/>
        <w:tabs>
          <w:tab w:val="clear" w:pos="4536"/>
          <w:tab w:val="clear" w:pos="9072"/>
        </w:tabs>
        <w:rPr>
          <w:u w:val="single"/>
        </w:rPr>
      </w:pPr>
      <w:r w:rsidRPr="00671509">
        <w:rPr>
          <w:u w:val="single"/>
        </w:rPr>
        <w:t xml:space="preserve">Toelichting </w:t>
      </w:r>
    </w:p>
    <w:p w:rsidR="00785A06" w:rsidRPr="00544A14" w:rsidRDefault="00785A06" w:rsidP="00785A06">
      <w:pPr>
        <w:pStyle w:val="Voettekst"/>
        <w:tabs>
          <w:tab w:val="clear" w:pos="4536"/>
          <w:tab w:val="clear" w:pos="9072"/>
        </w:tabs>
        <w:rPr>
          <w:highlight w:val="yellow"/>
        </w:rPr>
      </w:pPr>
    </w:p>
    <w:p w:rsidR="00785A06" w:rsidRPr="007B0507" w:rsidRDefault="00785A06" w:rsidP="00785A06">
      <w:pPr>
        <w:numPr>
          <w:ilvl w:val="12"/>
          <w:numId w:val="0"/>
        </w:numPr>
      </w:pPr>
      <w:r>
        <w:t>Zie toelichting bij Overzicht suppletoire uitgavenmutaties voor 2017.</w:t>
      </w:r>
    </w:p>
    <w:p w:rsidR="00785A06" w:rsidRPr="00EE097A" w:rsidRDefault="00785A06" w:rsidP="00785A06">
      <w:pPr>
        <w:numPr>
          <w:ilvl w:val="12"/>
          <w:numId w:val="0"/>
        </w:numPr>
        <w:rPr>
          <w:b/>
        </w:rPr>
      </w:pPr>
      <w:r>
        <w:rPr>
          <w:b/>
        </w:rPr>
        <w:br w:type="page"/>
      </w:r>
      <w:r>
        <w:rPr>
          <w:b/>
        </w:rPr>
        <w:lastRenderedPageBreak/>
        <w:t>3</w:t>
      </w:r>
      <w:r>
        <w:rPr>
          <w:b/>
        </w:rPr>
        <w:tab/>
      </w:r>
      <w:r w:rsidRPr="00EC0AC3">
        <w:rPr>
          <w:b/>
        </w:rPr>
        <w:t>KABINET VAN DE KONING</w:t>
      </w:r>
      <w:r>
        <w:rPr>
          <w:b/>
        </w:rPr>
        <w:t xml:space="preserve"> </w:t>
      </w:r>
    </w:p>
    <w:p w:rsidR="00785A06" w:rsidRDefault="00785A06" w:rsidP="00785A06">
      <w:pPr>
        <w:numPr>
          <w:ilvl w:val="12"/>
          <w:numId w:val="0"/>
        </w:numPr>
      </w:pPr>
    </w:p>
    <w:p w:rsidR="00785A06" w:rsidRDefault="00785A06" w:rsidP="00785A06">
      <w:pPr>
        <w:numPr>
          <w:ilvl w:val="12"/>
          <w:numId w:val="0"/>
        </w:numPr>
        <w:rPr>
          <w:b/>
        </w:rPr>
      </w:pPr>
      <w:r>
        <w:rPr>
          <w:b/>
        </w:rPr>
        <w:t>3.1</w:t>
      </w:r>
      <w:r>
        <w:rPr>
          <w:b/>
        </w:rPr>
        <w:tab/>
        <w:t>Suppletoire mutaties</w:t>
      </w:r>
    </w:p>
    <w:p w:rsidR="00785A06" w:rsidRDefault="00785A06" w:rsidP="00785A06">
      <w:pPr>
        <w:numPr>
          <w:ilvl w:val="12"/>
          <w:numId w:val="0"/>
        </w:numPr>
      </w:pPr>
    </w:p>
    <w:p w:rsidR="00785A06" w:rsidRDefault="00785A06" w:rsidP="00785A06">
      <w:r>
        <w:t xml:space="preserve">Overzicht suppletoire uitgavenmutaties voor 2017 </w:t>
      </w:r>
      <w:r w:rsidRPr="001B1D62">
        <w:rPr>
          <w:rFonts w:cs="Arial"/>
          <w:bCs/>
        </w:rPr>
        <w:t>(Eerste suppletoire begroting)</w:t>
      </w:r>
      <w:r w:rsidRPr="00D17FFA">
        <w:rPr>
          <w:rFonts w:cs="Arial"/>
          <w:b/>
          <w:bCs/>
        </w:rPr>
        <w:t xml:space="preserve"> </w:t>
      </w:r>
      <w:r>
        <w:t>(bedragen x € 1.000)</w:t>
      </w:r>
      <w:r w:rsidRPr="00634445">
        <w:t xml:space="preserve"> </w:t>
      </w:r>
    </w:p>
    <w:p w:rsidR="00785A06" w:rsidRDefault="00785A06" w:rsidP="00785A06"/>
    <w:tbl>
      <w:tblPr>
        <w:tblW w:w="7900" w:type="dxa"/>
        <w:tblInd w:w="55" w:type="dxa"/>
        <w:tblCellMar>
          <w:left w:w="70" w:type="dxa"/>
          <w:right w:w="70" w:type="dxa"/>
        </w:tblCellMar>
        <w:tblLook w:val="04A0" w:firstRow="1" w:lastRow="0" w:firstColumn="1" w:lastColumn="0" w:noHBand="0" w:noVBand="1"/>
      </w:tblPr>
      <w:tblGrid>
        <w:gridCol w:w="280"/>
        <w:gridCol w:w="6620"/>
        <w:gridCol w:w="1000"/>
      </w:tblGrid>
      <w:tr w:rsidR="00785A06" w:rsidRPr="000F3DE8" w:rsidTr="006240B9">
        <w:trPr>
          <w:trHeight w:val="315"/>
        </w:trPr>
        <w:tc>
          <w:tcPr>
            <w:tcW w:w="280" w:type="dxa"/>
            <w:tcBorders>
              <w:top w:val="single" w:sz="8" w:space="0" w:color="auto"/>
              <w:left w:val="nil"/>
              <w:bottom w:val="single" w:sz="8" w:space="0" w:color="auto"/>
              <w:right w:val="nil"/>
            </w:tcBorders>
            <w:shd w:val="clear" w:color="auto" w:fill="auto"/>
            <w:vAlign w:val="center"/>
            <w:hideMark/>
          </w:tcPr>
          <w:p w:rsidR="00785A06" w:rsidRPr="000F3DE8" w:rsidRDefault="00785A06" w:rsidP="006240B9">
            <w:pPr>
              <w:rPr>
                <w:rFonts w:cs="Arial"/>
                <w:sz w:val="16"/>
                <w:szCs w:val="16"/>
                <w:lang w:val="nl-NL"/>
              </w:rPr>
            </w:pPr>
            <w:r w:rsidRPr="000F3DE8">
              <w:rPr>
                <w:rFonts w:cs="Arial"/>
                <w:sz w:val="16"/>
                <w:szCs w:val="16"/>
                <w:lang w:val="nl-NL"/>
              </w:rPr>
              <w:t> </w:t>
            </w:r>
          </w:p>
        </w:tc>
        <w:tc>
          <w:tcPr>
            <w:tcW w:w="6620" w:type="dxa"/>
            <w:tcBorders>
              <w:top w:val="single" w:sz="8" w:space="0" w:color="auto"/>
              <w:left w:val="nil"/>
              <w:bottom w:val="single" w:sz="8" w:space="0" w:color="auto"/>
              <w:right w:val="nil"/>
            </w:tcBorders>
            <w:shd w:val="clear" w:color="auto" w:fill="auto"/>
            <w:vAlign w:val="center"/>
            <w:hideMark/>
          </w:tcPr>
          <w:p w:rsidR="00785A06" w:rsidRPr="000F3DE8" w:rsidRDefault="00785A06" w:rsidP="006240B9">
            <w:pPr>
              <w:rPr>
                <w:rFonts w:cs="Arial"/>
                <w:sz w:val="16"/>
                <w:szCs w:val="16"/>
                <w:lang w:val="nl-NL"/>
              </w:rPr>
            </w:pPr>
            <w:r w:rsidRPr="000F3DE8">
              <w:rPr>
                <w:rFonts w:cs="Arial"/>
                <w:sz w:val="16"/>
                <w:szCs w:val="16"/>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785A06" w:rsidRPr="000F3DE8" w:rsidRDefault="00785A06" w:rsidP="006240B9">
            <w:pPr>
              <w:jc w:val="right"/>
              <w:rPr>
                <w:rFonts w:cs="Arial"/>
                <w:sz w:val="16"/>
                <w:szCs w:val="16"/>
                <w:lang w:val="nl-NL"/>
              </w:rPr>
            </w:pPr>
            <w:r w:rsidRPr="000F3DE8">
              <w:rPr>
                <w:rFonts w:cs="Arial"/>
                <w:sz w:val="16"/>
                <w:szCs w:val="16"/>
                <w:lang w:val="nl-NL"/>
              </w:rPr>
              <w:t>uitgaven</w:t>
            </w:r>
          </w:p>
        </w:tc>
      </w:tr>
      <w:tr w:rsidR="00785A06" w:rsidRPr="000F3DE8" w:rsidTr="006240B9">
        <w:trPr>
          <w:trHeight w:val="300"/>
        </w:trPr>
        <w:tc>
          <w:tcPr>
            <w:tcW w:w="280" w:type="dxa"/>
            <w:tcBorders>
              <w:top w:val="nil"/>
              <w:left w:val="nil"/>
              <w:bottom w:val="nil"/>
              <w:right w:val="nil"/>
            </w:tcBorders>
            <w:shd w:val="clear" w:color="auto" w:fill="auto"/>
            <w:noWrap/>
            <w:vAlign w:val="bottom"/>
            <w:hideMark/>
          </w:tcPr>
          <w:p w:rsidR="00785A06" w:rsidRPr="000F3DE8"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0F3DE8" w:rsidRDefault="00785A06" w:rsidP="006240B9">
            <w:pPr>
              <w:rPr>
                <w:rFonts w:cs="Arial"/>
                <w:b/>
                <w:bCs/>
                <w:sz w:val="16"/>
                <w:szCs w:val="16"/>
                <w:lang w:val="nl-NL"/>
              </w:rPr>
            </w:pPr>
            <w:r w:rsidRPr="000F3DE8">
              <w:rPr>
                <w:rFonts w:cs="Arial"/>
                <w:b/>
                <w:bCs/>
                <w:sz w:val="16"/>
                <w:szCs w:val="16"/>
                <w:lang w:val="nl-NL"/>
              </w:rPr>
              <w:t>Vastgestelde begroting 2017</w:t>
            </w:r>
          </w:p>
        </w:tc>
        <w:tc>
          <w:tcPr>
            <w:tcW w:w="1000" w:type="dxa"/>
            <w:tcBorders>
              <w:top w:val="nil"/>
              <w:left w:val="nil"/>
              <w:bottom w:val="nil"/>
              <w:right w:val="nil"/>
            </w:tcBorders>
            <w:shd w:val="clear" w:color="auto" w:fill="auto"/>
            <w:vAlign w:val="center"/>
            <w:hideMark/>
          </w:tcPr>
          <w:p w:rsidR="00785A06" w:rsidRPr="000F3DE8" w:rsidRDefault="00785A06" w:rsidP="006240B9">
            <w:pPr>
              <w:jc w:val="right"/>
              <w:rPr>
                <w:rFonts w:cs="Arial"/>
                <w:b/>
                <w:bCs/>
                <w:sz w:val="16"/>
                <w:szCs w:val="16"/>
                <w:lang w:val="nl-NL"/>
              </w:rPr>
            </w:pPr>
            <w:r w:rsidRPr="000F3DE8">
              <w:rPr>
                <w:rFonts w:cs="Arial"/>
                <w:b/>
                <w:bCs/>
                <w:sz w:val="16"/>
                <w:szCs w:val="16"/>
                <w:lang w:val="nl-NL"/>
              </w:rPr>
              <w:t>2.390</w:t>
            </w:r>
          </w:p>
        </w:tc>
      </w:tr>
      <w:tr w:rsidR="00785A06" w:rsidRPr="000F3DE8" w:rsidTr="006240B9">
        <w:trPr>
          <w:trHeight w:val="300"/>
        </w:trPr>
        <w:tc>
          <w:tcPr>
            <w:tcW w:w="280" w:type="dxa"/>
            <w:tcBorders>
              <w:top w:val="nil"/>
              <w:left w:val="nil"/>
              <w:bottom w:val="nil"/>
              <w:right w:val="nil"/>
            </w:tcBorders>
            <w:shd w:val="clear" w:color="auto" w:fill="auto"/>
            <w:noWrap/>
            <w:vAlign w:val="bottom"/>
            <w:hideMark/>
          </w:tcPr>
          <w:p w:rsidR="00785A06" w:rsidRPr="000F3DE8"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0F3DE8" w:rsidRDefault="00785A06" w:rsidP="006240B9">
            <w:pPr>
              <w:rPr>
                <w:rFonts w:cs="Arial"/>
                <w:sz w:val="16"/>
                <w:szCs w:val="16"/>
                <w:lang w:val="nl-NL"/>
              </w:rPr>
            </w:pPr>
            <w:r w:rsidRPr="000F3DE8">
              <w:rPr>
                <w:rFonts w:cs="Arial"/>
                <w:sz w:val="16"/>
                <w:szCs w:val="16"/>
                <w:lang w:val="nl-NL"/>
              </w:rPr>
              <w:t>Suppletoire mutaties:</w:t>
            </w:r>
          </w:p>
        </w:tc>
        <w:tc>
          <w:tcPr>
            <w:tcW w:w="1000" w:type="dxa"/>
            <w:tcBorders>
              <w:top w:val="nil"/>
              <w:left w:val="nil"/>
              <w:bottom w:val="nil"/>
              <w:right w:val="nil"/>
            </w:tcBorders>
            <w:shd w:val="clear" w:color="auto" w:fill="auto"/>
            <w:vAlign w:val="center"/>
            <w:hideMark/>
          </w:tcPr>
          <w:p w:rsidR="00785A06" w:rsidRPr="000F3DE8" w:rsidRDefault="00785A06" w:rsidP="006240B9">
            <w:pPr>
              <w:jc w:val="center"/>
              <w:rPr>
                <w:rFonts w:cs="Arial"/>
                <w:sz w:val="16"/>
                <w:szCs w:val="16"/>
                <w:lang w:val="nl-NL"/>
              </w:rPr>
            </w:pPr>
          </w:p>
        </w:tc>
      </w:tr>
      <w:tr w:rsidR="00785A06" w:rsidRPr="000F3DE8" w:rsidTr="006240B9">
        <w:trPr>
          <w:trHeight w:val="300"/>
        </w:trPr>
        <w:tc>
          <w:tcPr>
            <w:tcW w:w="280" w:type="dxa"/>
            <w:tcBorders>
              <w:top w:val="nil"/>
              <w:left w:val="nil"/>
              <w:bottom w:val="nil"/>
              <w:right w:val="nil"/>
            </w:tcBorders>
            <w:shd w:val="clear" w:color="auto" w:fill="auto"/>
            <w:vAlign w:val="center"/>
            <w:hideMark/>
          </w:tcPr>
          <w:p w:rsidR="00785A06" w:rsidRPr="000F3DE8" w:rsidRDefault="00785A06" w:rsidP="006240B9">
            <w:pPr>
              <w:jc w:val="right"/>
              <w:rPr>
                <w:rFonts w:cs="Arial"/>
                <w:sz w:val="16"/>
                <w:szCs w:val="16"/>
                <w:lang w:val="nl-NL"/>
              </w:rPr>
            </w:pPr>
            <w:r w:rsidRPr="000F3DE8">
              <w:rPr>
                <w:rFonts w:cs="Arial"/>
                <w:sz w:val="16"/>
                <w:szCs w:val="16"/>
                <w:lang w:val="nl-NL"/>
              </w:rPr>
              <w:t>1</w:t>
            </w:r>
          </w:p>
        </w:tc>
        <w:tc>
          <w:tcPr>
            <w:tcW w:w="6620" w:type="dxa"/>
            <w:tcBorders>
              <w:top w:val="nil"/>
              <w:left w:val="nil"/>
              <w:bottom w:val="nil"/>
              <w:right w:val="nil"/>
            </w:tcBorders>
            <w:shd w:val="clear" w:color="auto" w:fill="auto"/>
            <w:vAlign w:val="center"/>
            <w:hideMark/>
          </w:tcPr>
          <w:p w:rsidR="00785A06" w:rsidRPr="000F3DE8" w:rsidRDefault="00785A06" w:rsidP="006240B9">
            <w:pPr>
              <w:rPr>
                <w:rFonts w:cs="Arial"/>
                <w:sz w:val="16"/>
                <w:szCs w:val="16"/>
                <w:lang w:val="nl-NL"/>
              </w:rPr>
            </w:pPr>
            <w:r w:rsidRPr="000F3DE8">
              <w:rPr>
                <w:rFonts w:cs="Arial"/>
                <w:sz w:val="16"/>
                <w:szCs w:val="16"/>
                <w:lang w:val="nl-NL"/>
              </w:rPr>
              <w:t>Eindejaarsmarge 2016</w:t>
            </w:r>
          </w:p>
        </w:tc>
        <w:tc>
          <w:tcPr>
            <w:tcW w:w="1000" w:type="dxa"/>
            <w:tcBorders>
              <w:top w:val="nil"/>
              <w:left w:val="nil"/>
              <w:bottom w:val="nil"/>
              <w:right w:val="nil"/>
            </w:tcBorders>
            <w:shd w:val="clear" w:color="auto" w:fill="auto"/>
            <w:vAlign w:val="center"/>
            <w:hideMark/>
          </w:tcPr>
          <w:p w:rsidR="00785A06" w:rsidRPr="000F3DE8" w:rsidRDefault="00785A06" w:rsidP="006240B9">
            <w:pPr>
              <w:jc w:val="right"/>
              <w:rPr>
                <w:rFonts w:cs="Arial"/>
                <w:sz w:val="16"/>
                <w:szCs w:val="16"/>
                <w:lang w:val="nl-NL"/>
              </w:rPr>
            </w:pPr>
            <w:r w:rsidRPr="000F3DE8">
              <w:rPr>
                <w:rFonts w:cs="Arial"/>
                <w:sz w:val="16"/>
                <w:szCs w:val="16"/>
                <w:lang w:val="nl-NL"/>
              </w:rPr>
              <w:t>23</w:t>
            </w:r>
          </w:p>
        </w:tc>
      </w:tr>
      <w:tr w:rsidR="00785A06" w:rsidRPr="000F3DE8" w:rsidTr="006240B9">
        <w:trPr>
          <w:trHeight w:val="300"/>
        </w:trPr>
        <w:tc>
          <w:tcPr>
            <w:tcW w:w="280" w:type="dxa"/>
            <w:tcBorders>
              <w:top w:val="nil"/>
              <w:left w:val="nil"/>
              <w:bottom w:val="nil"/>
              <w:right w:val="nil"/>
            </w:tcBorders>
            <w:shd w:val="clear" w:color="auto" w:fill="auto"/>
            <w:vAlign w:val="center"/>
            <w:hideMark/>
          </w:tcPr>
          <w:p w:rsidR="00785A06" w:rsidRPr="000F3DE8" w:rsidRDefault="00785A06" w:rsidP="006240B9">
            <w:pPr>
              <w:jc w:val="right"/>
              <w:rPr>
                <w:rFonts w:cs="Arial"/>
                <w:sz w:val="16"/>
                <w:szCs w:val="16"/>
                <w:lang w:val="nl-NL"/>
              </w:rPr>
            </w:pPr>
            <w:r w:rsidRPr="000F3DE8">
              <w:rPr>
                <w:rFonts w:cs="Arial"/>
                <w:sz w:val="16"/>
                <w:szCs w:val="16"/>
                <w:lang w:val="nl-NL"/>
              </w:rPr>
              <w:t>2</w:t>
            </w:r>
          </w:p>
        </w:tc>
        <w:tc>
          <w:tcPr>
            <w:tcW w:w="6620" w:type="dxa"/>
            <w:tcBorders>
              <w:top w:val="nil"/>
              <w:left w:val="nil"/>
              <w:bottom w:val="nil"/>
              <w:right w:val="nil"/>
            </w:tcBorders>
            <w:shd w:val="clear" w:color="auto" w:fill="auto"/>
            <w:vAlign w:val="center"/>
            <w:hideMark/>
          </w:tcPr>
          <w:p w:rsidR="00785A06" w:rsidRPr="000F3DE8" w:rsidRDefault="00785A06" w:rsidP="006240B9">
            <w:pPr>
              <w:rPr>
                <w:rFonts w:cs="Arial"/>
                <w:sz w:val="16"/>
                <w:szCs w:val="16"/>
                <w:lang w:val="nl-NL"/>
              </w:rPr>
            </w:pPr>
            <w:r w:rsidRPr="000F3DE8">
              <w:rPr>
                <w:rFonts w:cs="Arial"/>
                <w:sz w:val="16"/>
                <w:szCs w:val="16"/>
                <w:lang w:val="nl-NL"/>
              </w:rPr>
              <w:t>Loon -en prijsbijstelling 2017</w:t>
            </w:r>
          </w:p>
        </w:tc>
        <w:tc>
          <w:tcPr>
            <w:tcW w:w="1000" w:type="dxa"/>
            <w:tcBorders>
              <w:top w:val="nil"/>
              <w:left w:val="nil"/>
              <w:bottom w:val="nil"/>
              <w:right w:val="nil"/>
            </w:tcBorders>
            <w:shd w:val="clear" w:color="auto" w:fill="auto"/>
            <w:vAlign w:val="center"/>
            <w:hideMark/>
          </w:tcPr>
          <w:p w:rsidR="00785A06" w:rsidRPr="000F3DE8" w:rsidRDefault="00785A06" w:rsidP="006240B9">
            <w:pPr>
              <w:jc w:val="right"/>
              <w:rPr>
                <w:rFonts w:cs="Arial"/>
                <w:sz w:val="16"/>
                <w:szCs w:val="16"/>
                <w:lang w:val="nl-NL"/>
              </w:rPr>
            </w:pPr>
            <w:r w:rsidRPr="000F3DE8">
              <w:rPr>
                <w:rFonts w:cs="Arial"/>
                <w:sz w:val="16"/>
                <w:szCs w:val="16"/>
                <w:lang w:val="nl-NL"/>
              </w:rPr>
              <w:t>42</w:t>
            </w:r>
          </w:p>
        </w:tc>
      </w:tr>
      <w:tr w:rsidR="00785A06" w:rsidRPr="000F3DE8" w:rsidTr="006240B9">
        <w:trPr>
          <w:trHeight w:val="300"/>
        </w:trPr>
        <w:tc>
          <w:tcPr>
            <w:tcW w:w="280" w:type="dxa"/>
            <w:tcBorders>
              <w:top w:val="nil"/>
              <w:left w:val="nil"/>
              <w:bottom w:val="nil"/>
              <w:right w:val="nil"/>
            </w:tcBorders>
            <w:shd w:val="clear" w:color="auto" w:fill="auto"/>
            <w:vAlign w:val="center"/>
            <w:hideMark/>
          </w:tcPr>
          <w:p w:rsidR="00785A06" w:rsidRPr="000F3DE8" w:rsidRDefault="00785A06" w:rsidP="006240B9">
            <w:pPr>
              <w:jc w:val="right"/>
              <w:rPr>
                <w:rFonts w:cs="Arial"/>
                <w:sz w:val="16"/>
                <w:szCs w:val="16"/>
                <w:lang w:val="nl-NL"/>
              </w:rPr>
            </w:pPr>
            <w:r w:rsidRPr="000F3DE8">
              <w:rPr>
                <w:rFonts w:cs="Arial"/>
                <w:sz w:val="16"/>
                <w:szCs w:val="16"/>
                <w:lang w:val="nl-NL"/>
              </w:rPr>
              <w:t>3</w:t>
            </w:r>
          </w:p>
        </w:tc>
        <w:tc>
          <w:tcPr>
            <w:tcW w:w="6620" w:type="dxa"/>
            <w:tcBorders>
              <w:top w:val="nil"/>
              <w:left w:val="nil"/>
              <w:bottom w:val="nil"/>
              <w:right w:val="nil"/>
            </w:tcBorders>
            <w:shd w:val="clear" w:color="auto" w:fill="auto"/>
            <w:vAlign w:val="center"/>
            <w:hideMark/>
          </w:tcPr>
          <w:p w:rsidR="00785A06" w:rsidRPr="000F3DE8" w:rsidRDefault="00785A06" w:rsidP="006240B9">
            <w:pPr>
              <w:rPr>
                <w:rFonts w:cs="Arial"/>
                <w:sz w:val="16"/>
                <w:szCs w:val="16"/>
                <w:lang w:val="nl-NL"/>
              </w:rPr>
            </w:pPr>
            <w:r w:rsidRPr="000F3DE8">
              <w:rPr>
                <w:rFonts w:cs="Arial"/>
                <w:sz w:val="16"/>
                <w:szCs w:val="16"/>
                <w:lang w:val="nl-NL"/>
              </w:rPr>
              <w:t>Compensatie premiestijging ABP pensioen</w:t>
            </w:r>
          </w:p>
        </w:tc>
        <w:tc>
          <w:tcPr>
            <w:tcW w:w="1000" w:type="dxa"/>
            <w:tcBorders>
              <w:top w:val="nil"/>
              <w:left w:val="nil"/>
              <w:bottom w:val="nil"/>
              <w:right w:val="nil"/>
            </w:tcBorders>
            <w:shd w:val="clear" w:color="auto" w:fill="auto"/>
            <w:vAlign w:val="center"/>
            <w:hideMark/>
          </w:tcPr>
          <w:p w:rsidR="00785A06" w:rsidRPr="000F3DE8" w:rsidRDefault="00785A06" w:rsidP="006240B9">
            <w:pPr>
              <w:jc w:val="right"/>
              <w:rPr>
                <w:rFonts w:cs="Arial"/>
                <w:sz w:val="16"/>
                <w:szCs w:val="16"/>
                <w:lang w:val="nl-NL"/>
              </w:rPr>
            </w:pPr>
            <w:r w:rsidRPr="000F3DE8">
              <w:rPr>
                <w:rFonts w:cs="Arial"/>
                <w:sz w:val="16"/>
                <w:szCs w:val="16"/>
                <w:lang w:val="nl-NL"/>
              </w:rPr>
              <w:t>17</w:t>
            </w:r>
          </w:p>
        </w:tc>
      </w:tr>
      <w:tr w:rsidR="00785A06" w:rsidRPr="000F3DE8" w:rsidTr="006240B9">
        <w:trPr>
          <w:trHeight w:val="315"/>
        </w:trPr>
        <w:tc>
          <w:tcPr>
            <w:tcW w:w="280" w:type="dxa"/>
            <w:tcBorders>
              <w:top w:val="nil"/>
              <w:left w:val="nil"/>
              <w:bottom w:val="single" w:sz="8" w:space="0" w:color="auto"/>
              <w:right w:val="nil"/>
            </w:tcBorders>
            <w:shd w:val="clear" w:color="auto" w:fill="auto"/>
            <w:noWrap/>
            <w:vAlign w:val="bottom"/>
            <w:hideMark/>
          </w:tcPr>
          <w:p w:rsidR="00785A06" w:rsidRPr="000F3DE8" w:rsidRDefault="00785A06" w:rsidP="006240B9">
            <w:pPr>
              <w:rPr>
                <w:rFonts w:ascii="Calibri" w:hAnsi="Calibri"/>
                <w:sz w:val="22"/>
                <w:szCs w:val="22"/>
                <w:lang w:val="nl-NL"/>
              </w:rPr>
            </w:pPr>
            <w:r w:rsidRPr="000F3DE8">
              <w:rPr>
                <w:rFonts w:ascii="Calibri" w:hAnsi="Calibri"/>
                <w:sz w:val="22"/>
                <w:szCs w:val="22"/>
                <w:lang w:val="nl-NL"/>
              </w:rPr>
              <w:t> </w:t>
            </w:r>
          </w:p>
        </w:tc>
        <w:tc>
          <w:tcPr>
            <w:tcW w:w="6620" w:type="dxa"/>
            <w:tcBorders>
              <w:top w:val="nil"/>
              <w:left w:val="nil"/>
              <w:bottom w:val="single" w:sz="8" w:space="0" w:color="auto"/>
              <w:right w:val="nil"/>
            </w:tcBorders>
            <w:shd w:val="clear" w:color="auto" w:fill="auto"/>
            <w:vAlign w:val="center"/>
            <w:hideMark/>
          </w:tcPr>
          <w:p w:rsidR="00785A06" w:rsidRPr="000F3DE8" w:rsidRDefault="00785A06" w:rsidP="006240B9">
            <w:pPr>
              <w:rPr>
                <w:rFonts w:cs="Arial"/>
                <w:b/>
                <w:bCs/>
                <w:sz w:val="16"/>
                <w:szCs w:val="16"/>
                <w:lang w:val="nl-NL"/>
              </w:rPr>
            </w:pPr>
            <w:r w:rsidRPr="000F3DE8">
              <w:rPr>
                <w:rFonts w:cs="Arial"/>
                <w:b/>
                <w:bCs/>
                <w:sz w:val="16"/>
                <w:szCs w:val="16"/>
                <w:lang w:val="nl-NL"/>
              </w:rPr>
              <w:t>Stand 1e suppletoire begroting 2017</w:t>
            </w:r>
          </w:p>
        </w:tc>
        <w:tc>
          <w:tcPr>
            <w:tcW w:w="1000" w:type="dxa"/>
            <w:tcBorders>
              <w:top w:val="nil"/>
              <w:left w:val="nil"/>
              <w:bottom w:val="single" w:sz="8" w:space="0" w:color="auto"/>
              <w:right w:val="nil"/>
            </w:tcBorders>
            <w:shd w:val="clear" w:color="auto" w:fill="auto"/>
            <w:vAlign w:val="center"/>
            <w:hideMark/>
          </w:tcPr>
          <w:p w:rsidR="00785A06" w:rsidRPr="000F3DE8" w:rsidRDefault="00785A06" w:rsidP="006240B9">
            <w:pPr>
              <w:jc w:val="right"/>
              <w:rPr>
                <w:rFonts w:cs="Arial"/>
                <w:b/>
                <w:bCs/>
                <w:sz w:val="16"/>
                <w:szCs w:val="16"/>
                <w:lang w:val="nl-NL"/>
              </w:rPr>
            </w:pPr>
            <w:r w:rsidRPr="000F3DE8">
              <w:rPr>
                <w:rFonts w:cs="Arial"/>
                <w:b/>
                <w:bCs/>
                <w:sz w:val="16"/>
                <w:szCs w:val="16"/>
                <w:lang w:val="nl-NL"/>
              </w:rPr>
              <w:t>2.472</w:t>
            </w:r>
          </w:p>
        </w:tc>
      </w:tr>
    </w:tbl>
    <w:p w:rsidR="00785A06" w:rsidRDefault="00785A06" w:rsidP="00785A06"/>
    <w:p w:rsidR="00785A06" w:rsidRPr="00E76CA7" w:rsidRDefault="00785A06" w:rsidP="00785A06">
      <w:pPr>
        <w:rPr>
          <w:u w:val="single"/>
        </w:rPr>
      </w:pPr>
      <w:r w:rsidRPr="00E76CA7">
        <w:rPr>
          <w:u w:val="single"/>
        </w:rPr>
        <w:t>Toelichting</w:t>
      </w:r>
    </w:p>
    <w:p w:rsidR="00785A06" w:rsidRPr="00711B3F" w:rsidRDefault="00785A06" w:rsidP="00785A06">
      <w:pPr>
        <w:rPr>
          <w:highlight w:val="yellow"/>
        </w:rPr>
      </w:pPr>
    </w:p>
    <w:p w:rsidR="00785A06" w:rsidRDefault="00785A06" w:rsidP="00785A06">
      <w:r>
        <w:t xml:space="preserve">1) </w:t>
      </w:r>
      <w:r w:rsidRPr="004202DF">
        <w:rPr>
          <w:rFonts w:cs="Arial"/>
        </w:rPr>
        <w:t xml:space="preserve">Dit betreft de toevoeging van de eindejaarsmarge 2016 aan </w:t>
      </w:r>
      <w:r>
        <w:rPr>
          <w:rFonts w:cs="Arial"/>
        </w:rPr>
        <w:t>het</w:t>
      </w:r>
      <w:r w:rsidRPr="006E3E90">
        <w:t xml:space="preserve"> </w:t>
      </w:r>
      <w:r>
        <w:t>Kabinet van de Koning.</w:t>
      </w:r>
    </w:p>
    <w:p w:rsidR="00785A06" w:rsidRDefault="00785A06" w:rsidP="00785A06"/>
    <w:p w:rsidR="00785A06" w:rsidRDefault="00785A06" w:rsidP="00785A06">
      <w:pPr>
        <w:pStyle w:val="Plattetekstinspringen2"/>
        <w:ind w:left="0"/>
        <w:rPr>
          <w:color w:val="auto"/>
        </w:rPr>
      </w:pPr>
      <w:r>
        <w:rPr>
          <w:color w:val="auto"/>
        </w:rPr>
        <w:t>2)</w:t>
      </w:r>
      <w:r w:rsidRPr="006E3E90">
        <w:rPr>
          <w:rFonts w:cs="Arial"/>
        </w:rPr>
        <w:t xml:space="preserve"> </w:t>
      </w:r>
      <w:r w:rsidRPr="004202DF">
        <w:rPr>
          <w:rFonts w:cs="Arial"/>
        </w:rPr>
        <w:t>Vanuit de aanvullende posten arbeidsvoorwaarden en prijsbijstelling is budget overgeheveld naar de begroting van Algemene Zaken. De loonbijstelling bestaat uit een vergoeding voor de contractloonontwikkeling en de ontwikkeling in sociale werkgeverslasten en de prijsbijstelling bestaat uit een vergoeding voor de prijsstijgingen</w:t>
      </w:r>
      <w:r>
        <w:rPr>
          <w:color w:val="auto"/>
        </w:rPr>
        <w:t>.</w:t>
      </w:r>
    </w:p>
    <w:p w:rsidR="00785A06" w:rsidRDefault="00785A06" w:rsidP="00785A06">
      <w:pPr>
        <w:pStyle w:val="Plattetekstinspringen2"/>
        <w:ind w:left="0"/>
        <w:rPr>
          <w:color w:val="auto"/>
        </w:rPr>
      </w:pPr>
    </w:p>
    <w:p w:rsidR="00785A06" w:rsidRDefault="00785A06" w:rsidP="00785A06">
      <w:pPr>
        <w:pStyle w:val="Plattetekstinspringen2"/>
        <w:ind w:left="0"/>
        <w:rPr>
          <w:color w:val="auto"/>
        </w:rPr>
      </w:pPr>
      <w:r>
        <w:rPr>
          <w:color w:val="auto"/>
        </w:rPr>
        <w:t xml:space="preserve">3) </w:t>
      </w:r>
      <w:r w:rsidRPr="004202DF">
        <w:rPr>
          <w:rFonts w:cs="Arial"/>
        </w:rPr>
        <w:t xml:space="preserve">Per 1 januari 2017 heeft het ABP de pensioenpremie verhoogd. Ter compensatie van de pensioenpremiestijging is € 342 miljoen aan de loonruimte 2017 toegevoegd. Deze middelen worden vanuit de aanvullende post overgemaakt naar de departementale begrotingen. Het aandeel voor </w:t>
      </w:r>
      <w:r>
        <w:rPr>
          <w:rFonts w:cs="Arial"/>
        </w:rPr>
        <w:t>het</w:t>
      </w:r>
      <w:r w:rsidRPr="006E3E90">
        <w:t xml:space="preserve"> </w:t>
      </w:r>
      <w:r>
        <w:t>Kabinet van de Koning</w:t>
      </w:r>
      <w:r w:rsidRPr="004202DF">
        <w:rPr>
          <w:rFonts w:cs="Arial"/>
        </w:rPr>
        <w:t xml:space="preserve"> </w:t>
      </w:r>
      <w:r>
        <w:rPr>
          <w:rFonts w:cs="Arial"/>
        </w:rPr>
        <w:t>betreft € 17</w:t>
      </w:r>
      <w:r w:rsidRPr="004202DF">
        <w:rPr>
          <w:rFonts w:cs="Arial"/>
        </w:rPr>
        <w:t>.000</w:t>
      </w:r>
      <w:r w:rsidRPr="00215C00">
        <w:rPr>
          <w:color w:val="auto"/>
        </w:rPr>
        <w:t>.</w:t>
      </w:r>
    </w:p>
    <w:p w:rsidR="00785A06" w:rsidRDefault="00785A06" w:rsidP="00785A06"/>
    <w:p w:rsidR="00785A06" w:rsidRDefault="00785A06" w:rsidP="00785A06"/>
    <w:p w:rsidR="00785A06" w:rsidRDefault="00785A06" w:rsidP="00785A06"/>
    <w:p w:rsidR="00785A06" w:rsidRDefault="00785A06" w:rsidP="00785A06">
      <w:r>
        <w:t xml:space="preserve">Overzicht suppletoire ontvangstenmutaties voor 2017 </w:t>
      </w:r>
      <w:r w:rsidRPr="001B1D62">
        <w:rPr>
          <w:rFonts w:cs="Arial"/>
          <w:bCs/>
        </w:rPr>
        <w:t>(Eerste suppletoire begroting)</w:t>
      </w:r>
      <w:r w:rsidRPr="00D17FFA">
        <w:rPr>
          <w:rFonts w:cs="Arial"/>
          <w:b/>
          <w:bCs/>
        </w:rPr>
        <w:t xml:space="preserve"> </w:t>
      </w:r>
      <w:r>
        <w:t>(bedragen x € 1.000)</w:t>
      </w:r>
      <w:r w:rsidRPr="00634445">
        <w:t xml:space="preserve"> </w:t>
      </w:r>
    </w:p>
    <w:p w:rsidR="00785A06" w:rsidRPr="00DD4E59" w:rsidRDefault="00785A06" w:rsidP="00785A06"/>
    <w:tbl>
      <w:tblPr>
        <w:tblW w:w="7900" w:type="dxa"/>
        <w:tblInd w:w="55" w:type="dxa"/>
        <w:tblCellMar>
          <w:left w:w="70" w:type="dxa"/>
          <w:right w:w="70" w:type="dxa"/>
        </w:tblCellMar>
        <w:tblLook w:val="04A0" w:firstRow="1" w:lastRow="0" w:firstColumn="1" w:lastColumn="0" w:noHBand="0" w:noVBand="1"/>
      </w:tblPr>
      <w:tblGrid>
        <w:gridCol w:w="280"/>
        <w:gridCol w:w="6608"/>
        <w:gridCol w:w="1012"/>
      </w:tblGrid>
      <w:tr w:rsidR="00785A06" w:rsidRPr="00D256F7" w:rsidTr="006240B9">
        <w:trPr>
          <w:trHeight w:val="315"/>
        </w:trPr>
        <w:tc>
          <w:tcPr>
            <w:tcW w:w="280" w:type="dxa"/>
            <w:tcBorders>
              <w:top w:val="single" w:sz="8" w:space="0" w:color="auto"/>
              <w:left w:val="nil"/>
              <w:bottom w:val="single" w:sz="8" w:space="0" w:color="auto"/>
              <w:right w:val="nil"/>
            </w:tcBorders>
            <w:shd w:val="clear" w:color="auto" w:fill="auto"/>
            <w:vAlign w:val="center"/>
            <w:hideMark/>
          </w:tcPr>
          <w:p w:rsidR="00785A06" w:rsidRPr="00D256F7" w:rsidRDefault="00785A06" w:rsidP="006240B9">
            <w:pPr>
              <w:rPr>
                <w:rFonts w:cs="Arial"/>
                <w:sz w:val="16"/>
                <w:szCs w:val="16"/>
                <w:lang w:val="nl-NL"/>
              </w:rPr>
            </w:pPr>
            <w:r w:rsidRPr="00D256F7">
              <w:rPr>
                <w:rFonts w:cs="Arial"/>
                <w:sz w:val="16"/>
                <w:szCs w:val="16"/>
                <w:lang w:val="nl-NL"/>
              </w:rPr>
              <w:t> </w:t>
            </w:r>
          </w:p>
        </w:tc>
        <w:tc>
          <w:tcPr>
            <w:tcW w:w="6620" w:type="dxa"/>
            <w:tcBorders>
              <w:top w:val="single" w:sz="8" w:space="0" w:color="auto"/>
              <w:left w:val="nil"/>
              <w:bottom w:val="single" w:sz="8" w:space="0" w:color="auto"/>
              <w:right w:val="nil"/>
            </w:tcBorders>
            <w:shd w:val="clear" w:color="auto" w:fill="auto"/>
            <w:vAlign w:val="center"/>
            <w:hideMark/>
          </w:tcPr>
          <w:p w:rsidR="00785A06" w:rsidRPr="00D256F7" w:rsidRDefault="00785A06" w:rsidP="006240B9">
            <w:pPr>
              <w:rPr>
                <w:rFonts w:cs="Arial"/>
                <w:sz w:val="16"/>
                <w:szCs w:val="16"/>
                <w:lang w:val="nl-NL"/>
              </w:rPr>
            </w:pPr>
            <w:r w:rsidRPr="00D256F7">
              <w:rPr>
                <w:rFonts w:cs="Arial"/>
                <w:sz w:val="16"/>
                <w:szCs w:val="16"/>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785A06" w:rsidRPr="00D256F7" w:rsidRDefault="00785A06" w:rsidP="006240B9">
            <w:pPr>
              <w:jc w:val="right"/>
              <w:rPr>
                <w:rFonts w:cs="Arial"/>
                <w:sz w:val="16"/>
                <w:szCs w:val="16"/>
                <w:lang w:val="nl-NL"/>
              </w:rPr>
            </w:pPr>
            <w:r w:rsidRPr="00D256F7">
              <w:rPr>
                <w:rFonts w:cs="Arial"/>
                <w:sz w:val="16"/>
                <w:szCs w:val="16"/>
                <w:lang w:val="nl-NL"/>
              </w:rPr>
              <w:t>ontvangsten</w:t>
            </w:r>
          </w:p>
        </w:tc>
      </w:tr>
      <w:tr w:rsidR="00785A06" w:rsidRPr="00D256F7" w:rsidTr="006240B9">
        <w:trPr>
          <w:trHeight w:val="300"/>
        </w:trPr>
        <w:tc>
          <w:tcPr>
            <w:tcW w:w="280" w:type="dxa"/>
            <w:tcBorders>
              <w:top w:val="nil"/>
              <w:left w:val="nil"/>
              <w:bottom w:val="nil"/>
              <w:right w:val="nil"/>
            </w:tcBorders>
            <w:shd w:val="clear" w:color="auto" w:fill="auto"/>
            <w:noWrap/>
            <w:vAlign w:val="bottom"/>
            <w:hideMark/>
          </w:tcPr>
          <w:p w:rsidR="00785A06" w:rsidRPr="00D256F7"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D256F7" w:rsidRDefault="00785A06" w:rsidP="006240B9">
            <w:pPr>
              <w:rPr>
                <w:rFonts w:cs="Arial"/>
                <w:b/>
                <w:bCs/>
                <w:sz w:val="16"/>
                <w:szCs w:val="16"/>
                <w:lang w:val="nl-NL"/>
              </w:rPr>
            </w:pPr>
            <w:r w:rsidRPr="00D256F7">
              <w:rPr>
                <w:rFonts w:cs="Arial"/>
                <w:b/>
                <w:bCs/>
                <w:sz w:val="16"/>
                <w:szCs w:val="16"/>
                <w:lang w:val="nl-NL"/>
              </w:rPr>
              <w:t>Vastgestelde begroting 2017</w:t>
            </w:r>
          </w:p>
        </w:tc>
        <w:tc>
          <w:tcPr>
            <w:tcW w:w="1000" w:type="dxa"/>
            <w:tcBorders>
              <w:top w:val="nil"/>
              <w:left w:val="nil"/>
              <w:bottom w:val="nil"/>
              <w:right w:val="nil"/>
            </w:tcBorders>
            <w:shd w:val="clear" w:color="auto" w:fill="auto"/>
            <w:vAlign w:val="center"/>
            <w:hideMark/>
          </w:tcPr>
          <w:p w:rsidR="00785A06" w:rsidRPr="00D256F7" w:rsidRDefault="00785A06" w:rsidP="006240B9">
            <w:pPr>
              <w:jc w:val="right"/>
              <w:rPr>
                <w:rFonts w:cs="Arial"/>
                <w:b/>
                <w:bCs/>
                <w:sz w:val="16"/>
                <w:szCs w:val="16"/>
                <w:lang w:val="nl-NL"/>
              </w:rPr>
            </w:pPr>
            <w:r w:rsidRPr="00D256F7">
              <w:rPr>
                <w:rFonts w:cs="Arial"/>
                <w:b/>
                <w:bCs/>
                <w:sz w:val="16"/>
                <w:szCs w:val="16"/>
                <w:lang w:val="nl-NL"/>
              </w:rPr>
              <w:t>2.390</w:t>
            </w:r>
          </w:p>
        </w:tc>
      </w:tr>
      <w:tr w:rsidR="00785A06" w:rsidRPr="00D256F7" w:rsidTr="006240B9">
        <w:trPr>
          <w:trHeight w:val="300"/>
        </w:trPr>
        <w:tc>
          <w:tcPr>
            <w:tcW w:w="280" w:type="dxa"/>
            <w:tcBorders>
              <w:top w:val="nil"/>
              <w:left w:val="nil"/>
              <w:bottom w:val="nil"/>
              <w:right w:val="nil"/>
            </w:tcBorders>
            <w:shd w:val="clear" w:color="auto" w:fill="auto"/>
            <w:noWrap/>
            <w:vAlign w:val="bottom"/>
            <w:hideMark/>
          </w:tcPr>
          <w:p w:rsidR="00785A06" w:rsidRPr="00D256F7"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D256F7" w:rsidRDefault="00785A06" w:rsidP="006240B9">
            <w:pPr>
              <w:rPr>
                <w:rFonts w:cs="Arial"/>
                <w:sz w:val="16"/>
                <w:szCs w:val="16"/>
                <w:lang w:val="nl-NL"/>
              </w:rPr>
            </w:pPr>
            <w:r w:rsidRPr="00D256F7">
              <w:rPr>
                <w:rFonts w:cs="Arial"/>
                <w:sz w:val="16"/>
                <w:szCs w:val="16"/>
                <w:lang w:val="nl-NL"/>
              </w:rPr>
              <w:t>Suppletoire mutaties:</w:t>
            </w:r>
          </w:p>
        </w:tc>
        <w:tc>
          <w:tcPr>
            <w:tcW w:w="1000" w:type="dxa"/>
            <w:tcBorders>
              <w:top w:val="nil"/>
              <w:left w:val="nil"/>
              <w:bottom w:val="nil"/>
              <w:right w:val="nil"/>
            </w:tcBorders>
            <w:shd w:val="clear" w:color="auto" w:fill="auto"/>
            <w:vAlign w:val="center"/>
            <w:hideMark/>
          </w:tcPr>
          <w:p w:rsidR="00785A06" w:rsidRPr="00D256F7" w:rsidRDefault="00785A06" w:rsidP="006240B9">
            <w:pPr>
              <w:jc w:val="center"/>
              <w:rPr>
                <w:rFonts w:cs="Arial"/>
                <w:sz w:val="16"/>
                <w:szCs w:val="16"/>
                <w:lang w:val="nl-NL"/>
              </w:rPr>
            </w:pPr>
          </w:p>
        </w:tc>
      </w:tr>
      <w:tr w:rsidR="00785A06" w:rsidRPr="00D256F7" w:rsidTr="006240B9">
        <w:trPr>
          <w:trHeight w:val="300"/>
        </w:trPr>
        <w:tc>
          <w:tcPr>
            <w:tcW w:w="280" w:type="dxa"/>
            <w:tcBorders>
              <w:top w:val="nil"/>
              <w:left w:val="nil"/>
              <w:bottom w:val="nil"/>
              <w:right w:val="nil"/>
            </w:tcBorders>
            <w:shd w:val="clear" w:color="auto" w:fill="auto"/>
            <w:vAlign w:val="center"/>
            <w:hideMark/>
          </w:tcPr>
          <w:p w:rsidR="00785A06" w:rsidRPr="00D256F7" w:rsidRDefault="00785A06" w:rsidP="006240B9">
            <w:pPr>
              <w:jc w:val="right"/>
              <w:rPr>
                <w:rFonts w:cs="Arial"/>
                <w:sz w:val="16"/>
                <w:szCs w:val="16"/>
                <w:lang w:val="nl-NL"/>
              </w:rPr>
            </w:pPr>
            <w:r w:rsidRPr="00D256F7">
              <w:rPr>
                <w:rFonts w:cs="Arial"/>
                <w:sz w:val="16"/>
                <w:szCs w:val="16"/>
                <w:lang w:val="nl-NL"/>
              </w:rPr>
              <w:t>1</w:t>
            </w:r>
          </w:p>
        </w:tc>
        <w:tc>
          <w:tcPr>
            <w:tcW w:w="6620" w:type="dxa"/>
            <w:tcBorders>
              <w:top w:val="nil"/>
              <w:left w:val="nil"/>
              <w:bottom w:val="nil"/>
              <w:right w:val="nil"/>
            </w:tcBorders>
            <w:shd w:val="clear" w:color="auto" w:fill="auto"/>
            <w:vAlign w:val="center"/>
            <w:hideMark/>
          </w:tcPr>
          <w:p w:rsidR="00785A06" w:rsidRPr="00D256F7" w:rsidRDefault="00785A06" w:rsidP="006240B9">
            <w:pPr>
              <w:rPr>
                <w:rFonts w:cs="Arial"/>
                <w:sz w:val="16"/>
                <w:szCs w:val="16"/>
                <w:lang w:val="nl-NL"/>
              </w:rPr>
            </w:pPr>
            <w:r w:rsidRPr="00D256F7">
              <w:rPr>
                <w:rFonts w:cs="Arial"/>
                <w:sz w:val="16"/>
                <w:szCs w:val="16"/>
                <w:lang w:val="nl-NL"/>
              </w:rPr>
              <w:t>Eindejaarsmarge 2016</w:t>
            </w:r>
          </w:p>
        </w:tc>
        <w:tc>
          <w:tcPr>
            <w:tcW w:w="1000" w:type="dxa"/>
            <w:tcBorders>
              <w:top w:val="nil"/>
              <w:left w:val="nil"/>
              <w:bottom w:val="nil"/>
              <w:right w:val="nil"/>
            </w:tcBorders>
            <w:shd w:val="clear" w:color="auto" w:fill="auto"/>
            <w:vAlign w:val="center"/>
            <w:hideMark/>
          </w:tcPr>
          <w:p w:rsidR="00785A06" w:rsidRPr="00D256F7" w:rsidRDefault="00785A06" w:rsidP="006240B9">
            <w:pPr>
              <w:jc w:val="right"/>
              <w:rPr>
                <w:rFonts w:cs="Arial"/>
                <w:sz w:val="16"/>
                <w:szCs w:val="16"/>
                <w:lang w:val="nl-NL"/>
              </w:rPr>
            </w:pPr>
            <w:r w:rsidRPr="00D256F7">
              <w:rPr>
                <w:rFonts w:cs="Arial"/>
                <w:sz w:val="16"/>
                <w:szCs w:val="16"/>
                <w:lang w:val="nl-NL"/>
              </w:rPr>
              <w:t>23</w:t>
            </w:r>
          </w:p>
        </w:tc>
      </w:tr>
      <w:tr w:rsidR="00785A06" w:rsidRPr="00D256F7" w:rsidTr="006240B9">
        <w:trPr>
          <w:trHeight w:val="300"/>
        </w:trPr>
        <w:tc>
          <w:tcPr>
            <w:tcW w:w="280" w:type="dxa"/>
            <w:tcBorders>
              <w:top w:val="nil"/>
              <w:left w:val="nil"/>
              <w:bottom w:val="nil"/>
              <w:right w:val="nil"/>
            </w:tcBorders>
            <w:shd w:val="clear" w:color="auto" w:fill="auto"/>
            <w:vAlign w:val="center"/>
            <w:hideMark/>
          </w:tcPr>
          <w:p w:rsidR="00785A06" w:rsidRPr="00D256F7" w:rsidRDefault="00785A06" w:rsidP="006240B9">
            <w:pPr>
              <w:jc w:val="right"/>
              <w:rPr>
                <w:rFonts w:cs="Arial"/>
                <w:sz w:val="16"/>
                <w:szCs w:val="16"/>
                <w:lang w:val="nl-NL"/>
              </w:rPr>
            </w:pPr>
            <w:r w:rsidRPr="00D256F7">
              <w:rPr>
                <w:rFonts w:cs="Arial"/>
                <w:sz w:val="16"/>
                <w:szCs w:val="16"/>
                <w:lang w:val="nl-NL"/>
              </w:rPr>
              <w:t>2</w:t>
            </w:r>
          </w:p>
        </w:tc>
        <w:tc>
          <w:tcPr>
            <w:tcW w:w="6620" w:type="dxa"/>
            <w:tcBorders>
              <w:top w:val="nil"/>
              <w:left w:val="nil"/>
              <w:bottom w:val="nil"/>
              <w:right w:val="nil"/>
            </w:tcBorders>
            <w:shd w:val="clear" w:color="auto" w:fill="auto"/>
            <w:vAlign w:val="center"/>
            <w:hideMark/>
          </w:tcPr>
          <w:p w:rsidR="00785A06" w:rsidRPr="00D256F7" w:rsidRDefault="00785A06" w:rsidP="006240B9">
            <w:pPr>
              <w:rPr>
                <w:rFonts w:cs="Arial"/>
                <w:sz w:val="16"/>
                <w:szCs w:val="16"/>
                <w:lang w:val="nl-NL"/>
              </w:rPr>
            </w:pPr>
            <w:r w:rsidRPr="00D256F7">
              <w:rPr>
                <w:rFonts w:cs="Arial"/>
                <w:sz w:val="16"/>
                <w:szCs w:val="16"/>
                <w:lang w:val="nl-NL"/>
              </w:rPr>
              <w:t>Loon -en prijsbijstelling 2017</w:t>
            </w:r>
          </w:p>
        </w:tc>
        <w:tc>
          <w:tcPr>
            <w:tcW w:w="1000" w:type="dxa"/>
            <w:tcBorders>
              <w:top w:val="nil"/>
              <w:left w:val="nil"/>
              <w:bottom w:val="nil"/>
              <w:right w:val="nil"/>
            </w:tcBorders>
            <w:shd w:val="clear" w:color="auto" w:fill="auto"/>
            <w:vAlign w:val="center"/>
            <w:hideMark/>
          </w:tcPr>
          <w:p w:rsidR="00785A06" w:rsidRPr="00D256F7" w:rsidRDefault="00785A06" w:rsidP="006240B9">
            <w:pPr>
              <w:jc w:val="right"/>
              <w:rPr>
                <w:rFonts w:cs="Arial"/>
                <w:sz w:val="16"/>
                <w:szCs w:val="16"/>
                <w:lang w:val="nl-NL"/>
              </w:rPr>
            </w:pPr>
            <w:r w:rsidRPr="00D256F7">
              <w:rPr>
                <w:rFonts w:cs="Arial"/>
                <w:sz w:val="16"/>
                <w:szCs w:val="16"/>
                <w:lang w:val="nl-NL"/>
              </w:rPr>
              <w:t>42</w:t>
            </w:r>
          </w:p>
        </w:tc>
      </w:tr>
      <w:tr w:rsidR="00785A06" w:rsidRPr="00D256F7" w:rsidTr="006240B9">
        <w:trPr>
          <w:trHeight w:val="300"/>
        </w:trPr>
        <w:tc>
          <w:tcPr>
            <w:tcW w:w="280" w:type="dxa"/>
            <w:tcBorders>
              <w:top w:val="nil"/>
              <w:left w:val="nil"/>
              <w:bottom w:val="nil"/>
              <w:right w:val="nil"/>
            </w:tcBorders>
            <w:shd w:val="clear" w:color="auto" w:fill="auto"/>
            <w:vAlign w:val="center"/>
            <w:hideMark/>
          </w:tcPr>
          <w:p w:rsidR="00785A06" w:rsidRPr="00D256F7" w:rsidRDefault="00785A06" w:rsidP="006240B9">
            <w:pPr>
              <w:jc w:val="right"/>
              <w:rPr>
                <w:rFonts w:cs="Arial"/>
                <w:sz w:val="16"/>
                <w:szCs w:val="16"/>
                <w:lang w:val="nl-NL"/>
              </w:rPr>
            </w:pPr>
            <w:r w:rsidRPr="00D256F7">
              <w:rPr>
                <w:rFonts w:cs="Arial"/>
                <w:sz w:val="16"/>
                <w:szCs w:val="16"/>
                <w:lang w:val="nl-NL"/>
              </w:rPr>
              <w:t>3</w:t>
            </w:r>
          </w:p>
        </w:tc>
        <w:tc>
          <w:tcPr>
            <w:tcW w:w="6620" w:type="dxa"/>
            <w:tcBorders>
              <w:top w:val="nil"/>
              <w:left w:val="nil"/>
              <w:bottom w:val="nil"/>
              <w:right w:val="nil"/>
            </w:tcBorders>
            <w:shd w:val="clear" w:color="auto" w:fill="auto"/>
            <w:vAlign w:val="center"/>
            <w:hideMark/>
          </w:tcPr>
          <w:p w:rsidR="00785A06" w:rsidRPr="00D256F7" w:rsidRDefault="00785A06" w:rsidP="006240B9">
            <w:pPr>
              <w:rPr>
                <w:rFonts w:cs="Arial"/>
                <w:sz w:val="16"/>
                <w:szCs w:val="16"/>
                <w:lang w:val="nl-NL"/>
              </w:rPr>
            </w:pPr>
            <w:r w:rsidRPr="00D256F7">
              <w:rPr>
                <w:rFonts w:cs="Arial"/>
                <w:sz w:val="16"/>
                <w:szCs w:val="16"/>
                <w:lang w:val="nl-NL"/>
              </w:rPr>
              <w:t>Compensatie premiestijging ABP pensioen</w:t>
            </w:r>
          </w:p>
        </w:tc>
        <w:tc>
          <w:tcPr>
            <w:tcW w:w="1000" w:type="dxa"/>
            <w:tcBorders>
              <w:top w:val="nil"/>
              <w:left w:val="nil"/>
              <w:bottom w:val="nil"/>
              <w:right w:val="nil"/>
            </w:tcBorders>
            <w:shd w:val="clear" w:color="auto" w:fill="auto"/>
            <w:vAlign w:val="center"/>
            <w:hideMark/>
          </w:tcPr>
          <w:p w:rsidR="00785A06" w:rsidRPr="00D256F7" w:rsidRDefault="00785A06" w:rsidP="006240B9">
            <w:pPr>
              <w:jc w:val="right"/>
              <w:rPr>
                <w:rFonts w:cs="Arial"/>
                <w:sz w:val="16"/>
                <w:szCs w:val="16"/>
                <w:lang w:val="nl-NL"/>
              </w:rPr>
            </w:pPr>
            <w:r w:rsidRPr="00D256F7">
              <w:rPr>
                <w:rFonts w:cs="Arial"/>
                <w:sz w:val="16"/>
                <w:szCs w:val="16"/>
                <w:lang w:val="nl-NL"/>
              </w:rPr>
              <w:t>17</w:t>
            </w:r>
          </w:p>
        </w:tc>
      </w:tr>
      <w:tr w:rsidR="00785A06" w:rsidRPr="00D256F7" w:rsidTr="006240B9">
        <w:trPr>
          <w:trHeight w:val="315"/>
        </w:trPr>
        <w:tc>
          <w:tcPr>
            <w:tcW w:w="280" w:type="dxa"/>
            <w:tcBorders>
              <w:top w:val="nil"/>
              <w:left w:val="nil"/>
              <w:bottom w:val="single" w:sz="8" w:space="0" w:color="auto"/>
              <w:right w:val="nil"/>
            </w:tcBorders>
            <w:shd w:val="clear" w:color="auto" w:fill="auto"/>
            <w:noWrap/>
            <w:vAlign w:val="bottom"/>
            <w:hideMark/>
          </w:tcPr>
          <w:p w:rsidR="00785A06" w:rsidRPr="00D256F7" w:rsidRDefault="00785A06" w:rsidP="006240B9">
            <w:pPr>
              <w:rPr>
                <w:rFonts w:ascii="Calibri" w:hAnsi="Calibri"/>
                <w:sz w:val="22"/>
                <w:szCs w:val="22"/>
                <w:lang w:val="nl-NL"/>
              </w:rPr>
            </w:pPr>
            <w:r w:rsidRPr="00D256F7">
              <w:rPr>
                <w:rFonts w:ascii="Calibri" w:hAnsi="Calibri"/>
                <w:sz w:val="22"/>
                <w:szCs w:val="22"/>
                <w:lang w:val="nl-NL"/>
              </w:rPr>
              <w:t> </w:t>
            </w:r>
          </w:p>
        </w:tc>
        <w:tc>
          <w:tcPr>
            <w:tcW w:w="6620" w:type="dxa"/>
            <w:tcBorders>
              <w:top w:val="nil"/>
              <w:left w:val="nil"/>
              <w:bottom w:val="single" w:sz="8" w:space="0" w:color="auto"/>
              <w:right w:val="nil"/>
            </w:tcBorders>
            <w:shd w:val="clear" w:color="auto" w:fill="auto"/>
            <w:vAlign w:val="center"/>
            <w:hideMark/>
          </w:tcPr>
          <w:p w:rsidR="00785A06" w:rsidRPr="00D256F7" w:rsidRDefault="00785A06" w:rsidP="006240B9">
            <w:pPr>
              <w:rPr>
                <w:rFonts w:cs="Arial"/>
                <w:b/>
                <w:bCs/>
                <w:sz w:val="16"/>
                <w:szCs w:val="16"/>
                <w:lang w:val="nl-NL"/>
              </w:rPr>
            </w:pPr>
            <w:r w:rsidRPr="00D256F7">
              <w:rPr>
                <w:rFonts w:cs="Arial"/>
                <w:b/>
                <w:bCs/>
                <w:sz w:val="16"/>
                <w:szCs w:val="16"/>
                <w:lang w:val="nl-NL"/>
              </w:rPr>
              <w:t>Stand 1e suppletoire begroting 2017</w:t>
            </w:r>
          </w:p>
        </w:tc>
        <w:tc>
          <w:tcPr>
            <w:tcW w:w="1000" w:type="dxa"/>
            <w:tcBorders>
              <w:top w:val="nil"/>
              <w:left w:val="nil"/>
              <w:bottom w:val="single" w:sz="8" w:space="0" w:color="auto"/>
              <w:right w:val="nil"/>
            </w:tcBorders>
            <w:shd w:val="clear" w:color="auto" w:fill="auto"/>
            <w:vAlign w:val="center"/>
            <w:hideMark/>
          </w:tcPr>
          <w:p w:rsidR="00785A06" w:rsidRPr="00D256F7" w:rsidRDefault="00785A06" w:rsidP="006240B9">
            <w:pPr>
              <w:jc w:val="right"/>
              <w:rPr>
                <w:rFonts w:cs="Arial"/>
                <w:b/>
                <w:bCs/>
                <w:sz w:val="16"/>
                <w:szCs w:val="16"/>
                <w:lang w:val="nl-NL"/>
              </w:rPr>
            </w:pPr>
            <w:r w:rsidRPr="00D256F7">
              <w:rPr>
                <w:rFonts w:cs="Arial"/>
                <w:b/>
                <w:bCs/>
                <w:sz w:val="16"/>
                <w:szCs w:val="16"/>
                <w:lang w:val="nl-NL"/>
              </w:rPr>
              <w:t>2.472</w:t>
            </w:r>
          </w:p>
        </w:tc>
      </w:tr>
    </w:tbl>
    <w:p w:rsidR="00785A06" w:rsidRDefault="00785A06" w:rsidP="00785A06"/>
    <w:p w:rsidR="00785A06" w:rsidRPr="00E76CA7" w:rsidRDefault="00785A06" w:rsidP="00785A06">
      <w:pPr>
        <w:rPr>
          <w:u w:val="single"/>
        </w:rPr>
      </w:pPr>
      <w:r w:rsidRPr="00E76CA7">
        <w:rPr>
          <w:u w:val="single"/>
        </w:rPr>
        <w:t>Toelichting</w:t>
      </w:r>
    </w:p>
    <w:p w:rsidR="00785A06" w:rsidRPr="00711B3F" w:rsidRDefault="00785A06" w:rsidP="00785A06">
      <w:pPr>
        <w:rPr>
          <w:highlight w:val="yellow"/>
        </w:rPr>
      </w:pPr>
    </w:p>
    <w:p w:rsidR="00785A06" w:rsidRPr="00AA7D68" w:rsidRDefault="00785A06" w:rsidP="00785A06">
      <w:r>
        <w:t>Dit betreffen technische mutaties die in het kader van de doorbelasting naar de begroting van de Koning (I) tot ontvangsten leiden op de begrotingsstaat van het Kabinet van de Koning</w:t>
      </w:r>
      <w:r w:rsidRPr="00AA7D68">
        <w:t>.</w:t>
      </w:r>
    </w:p>
    <w:p w:rsidR="00785A06" w:rsidRDefault="00785A06" w:rsidP="00785A06">
      <w:pPr>
        <w:numPr>
          <w:ilvl w:val="0"/>
          <w:numId w:val="1"/>
        </w:numPr>
        <w:rPr>
          <w:b/>
          <w:sz w:val="22"/>
        </w:rPr>
      </w:pPr>
      <w:r>
        <w:br w:type="page"/>
      </w:r>
      <w:r w:rsidRPr="00EE6814">
        <w:rPr>
          <w:b/>
          <w:sz w:val="22"/>
        </w:rPr>
        <w:lastRenderedPageBreak/>
        <w:t xml:space="preserve">Commissie van </w:t>
      </w:r>
      <w:r>
        <w:rPr>
          <w:b/>
          <w:sz w:val="22"/>
        </w:rPr>
        <w:t>Toe</w:t>
      </w:r>
      <w:r w:rsidRPr="00EE6814">
        <w:rPr>
          <w:b/>
          <w:sz w:val="22"/>
        </w:rPr>
        <w:t xml:space="preserve">zicht betreffende de Inlichtingen- en </w:t>
      </w:r>
      <w:r>
        <w:rPr>
          <w:b/>
          <w:sz w:val="22"/>
        </w:rPr>
        <w:t>V</w:t>
      </w:r>
      <w:r w:rsidRPr="006F4F11">
        <w:rPr>
          <w:b/>
          <w:sz w:val="22"/>
        </w:rPr>
        <w:t>eiligheidsdiensten</w:t>
      </w:r>
    </w:p>
    <w:p w:rsidR="00785A06" w:rsidRDefault="00785A06" w:rsidP="00785A06">
      <w:pPr>
        <w:ind w:left="360"/>
        <w:rPr>
          <w:b/>
          <w:sz w:val="22"/>
        </w:rPr>
      </w:pPr>
    </w:p>
    <w:p w:rsidR="00785A06" w:rsidRDefault="00785A06" w:rsidP="00785A06">
      <w:r w:rsidRPr="00E67DD4">
        <w:rPr>
          <w:b/>
        </w:rPr>
        <w:t>4.1</w:t>
      </w:r>
      <w:r>
        <w:tab/>
      </w:r>
      <w:r>
        <w:rPr>
          <w:b/>
        </w:rPr>
        <w:t>Suppletoire mutaties</w:t>
      </w:r>
    </w:p>
    <w:p w:rsidR="00785A06" w:rsidRDefault="00785A06" w:rsidP="00785A06"/>
    <w:p w:rsidR="00785A06" w:rsidRDefault="00785A06" w:rsidP="00785A06">
      <w:r>
        <w:t xml:space="preserve">Overzicht suppletoire uitgavenmutaties voor 2017 </w:t>
      </w:r>
      <w:r w:rsidRPr="001B1D62">
        <w:rPr>
          <w:rFonts w:cs="Arial"/>
          <w:bCs/>
        </w:rPr>
        <w:t>(Eerste suppletoire begroting)</w:t>
      </w:r>
      <w:r w:rsidRPr="00D17FFA">
        <w:rPr>
          <w:rFonts w:cs="Arial"/>
          <w:b/>
          <w:bCs/>
        </w:rPr>
        <w:t xml:space="preserve"> </w:t>
      </w:r>
      <w:r>
        <w:t>(bedragen x € 1.000)</w:t>
      </w:r>
      <w:r w:rsidRPr="00634445">
        <w:t xml:space="preserve"> </w:t>
      </w:r>
    </w:p>
    <w:p w:rsidR="00785A06" w:rsidRDefault="00785A06" w:rsidP="00785A06"/>
    <w:tbl>
      <w:tblPr>
        <w:tblW w:w="7900" w:type="dxa"/>
        <w:tblInd w:w="55" w:type="dxa"/>
        <w:tblCellMar>
          <w:left w:w="70" w:type="dxa"/>
          <w:right w:w="70" w:type="dxa"/>
        </w:tblCellMar>
        <w:tblLook w:val="04A0" w:firstRow="1" w:lastRow="0" w:firstColumn="1" w:lastColumn="0" w:noHBand="0" w:noVBand="1"/>
      </w:tblPr>
      <w:tblGrid>
        <w:gridCol w:w="280"/>
        <w:gridCol w:w="6620"/>
        <w:gridCol w:w="1000"/>
      </w:tblGrid>
      <w:tr w:rsidR="00785A06" w:rsidRPr="0017526E" w:rsidTr="006240B9">
        <w:trPr>
          <w:trHeight w:val="315"/>
        </w:trPr>
        <w:tc>
          <w:tcPr>
            <w:tcW w:w="280" w:type="dxa"/>
            <w:tcBorders>
              <w:top w:val="single" w:sz="8" w:space="0" w:color="auto"/>
              <w:left w:val="nil"/>
              <w:bottom w:val="single" w:sz="8" w:space="0" w:color="auto"/>
              <w:right w:val="nil"/>
            </w:tcBorders>
            <w:shd w:val="clear" w:color="auto" w:fill="auto"/>
            <w:vAlign w:val="center"/>
            <w:hideMark/>
          </w:tcPr>
          <w:p w:rsidR="00785A06" w:rsidRPr="0017526E" w:rsidRDefault="00785A06" w:rsidP="006240B9">
            <w:pPr>
              <w:rPr>
                <w:rFonts w:cs="Arial"/>
                <w:sz w:val="16"/>
                <w:szCs w:val="16"/>
                <w:lang w:val="nl-NL"/>
              </w:rPr>
            </w:pPr>
            <w:r w:rsidRPr="0017526E">
              <w:rPr>
                <w:rFonts w:cs="Arial"/>
                <w:sz w:val="16"/>
                <w:szCs w:val="16"/>
                <w:lang w:val="nl-NL"/>
              </w:rPr>
              <w:t> </w:t>
            </w:r>
          </w:p>
        </w:tc>
        <w:tc>
          <w:tcPr>
            <w:tcW w:w="6620" w:type="dxa"/>
            <w:tcBorders>
              <w:top w:val="single" w:sz="8" w:space="0" w:color="auto"/>
              <w:left w:val="nil"/>
              <w:bottom w:val="single" w:sz="8" w:space="0" w:color="auto"/>
              <w:right w:val="nil"/>
            </w:tcBorders>
            <w:shd w:val="clear" w:color="auto" w:fill="auto"/>
            <w:vAlign w:val="center"/>
            <w:hideMark/>
          </w:tcPr>
          <w:p w:rsidR="00785A06" w:rsidRPr="0017526E" w:rsidRDefault="00785A06" w:rsidP="006240B9">
            <w:pPr>
              <w:rPr>
                <w:rFonts w:cs="Arial"/>
                <w:sz w:val="16"/>
                <w:szCs w:val="16"/>
                <w:lang w:val="nl-NL"/>
              </w:rPr>
            </w:pPr>
            <w:r w:rsidRPr="0017526E">
              <w:rPr>
                <w:rFonts w:cs="Arial"/>
                <w:sz w:val="16"/>
                <w:szCs w:val="16"/>
                <w:lang w:val="nl-NL"/>
              </w:rPr>
              <w:t> </w:t>
            </w:r>
          </w:p>
        </w:tc>
        <w:tc>
          <w:tcPr>
            <w:tcW w:w="1000" w:type="dxa"/>
            <w:tcBorders>
              <w:top w:val="single" w:sz="8" w:space="0" w:color="auto"/>
              <w:left w:val="nil"/>
              <w:bottom w:val="single" w:sz="8" w:space="0" w:color="auto"/>
              <w:right w:val="nil"/>
            </w:tcBorders>
            <w:shd w:val="clear" w:color="auto" w:fill="auto"/>
            <w:vAlign w:val="center"/>
            <w:hideMark/>
          </w:tcPr>
          <w:p w:rsidR="00785A06" w:rsidRPr="0017526E" w:rsidRDefault="00785A06" w:rsidP="006240B9">
            <w:pPr>
              <w:jc w:val="right"/>
              <w:rPr>
                <w:rFonts w:cs="Arial"/>
                <w:sz w:val="16"/>
                <w:szCs w:val="16"/>
                <w:lang w:val="nl-NL"/>
              </w:rPr>
            </w:pPr>
            <w:r w:rsidRPr="0017526E">
              <w:rPr>
                <w:rFonts w:cs="Arial"/>
                <w:sz w:val="16"/>
                <w:szCs w:val="16"/>
                <w:lang w:val="nl-NL"/>
              </w:rPr>
              <w:t>uitgaven</w:t>
            </w:r>
          </w:p>
        </w:tc>
      </w:tr>
      <w:tr w:rsidR="00785A06" w:rsidRPr="0017526E" w:rsidTr="006240B9">
        <w:trPr>
          <w:trHeight w:val="300"/>
        </w:trPr>
        <w:tc>
          <w:tcPr>
            <w:tcW w:w="280" w:type="dxa"/>
            <w:tcBorders>
              <w:top w:val="nil"/>
              <w:left w:val="nil"/>
              <w:bottom w:val="nil"/>
              <w:right w:val="nil"/>
            </w:tcBorders>
            <w:shd w:val="clear" w:color="auto" w:fill="auto"/>
            <w:noWrap/>
            <w:vAlign w:val="bottom"/>
            <w:hideMark/>
          </w:tcPr>
          <w:p w:rsidR="00785A06" w:rsidRPr="0017526E"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17526E" w:rsidRDefault="00785A06" w:rsidP="006240B9">
            <w:pPr>
              <w:rPr>
                <w:rFonts w:cs="Arial"/>
                <w:b/>
                <w:bCs/>
                <w:sz w:val="16"/>
                <w:szCs w:val="16"/>
                <w:lang w:val="nl-NL"/>
              </w:rPr>
            </w:pPr>
            <w:r w:rsidRPr="0017526E">
              <w:rPr>
                <w:rFonts w:cs="Arial"/>
                <w:b/>
                <w:bCs/>
                <w:sz w:val="16"/>
                <w:szCs w:val="16"/>
                <w:lang w:val="nl-NL"/>
              </w:rPr>
              <w:t>Vastgestelde begroting 2017</w:t>
            </w:r>
          </w:p>
        </w:tc>
        <w:tc>
          <w:tcPr>
            <w:tcW w:w="1000" w:type="dxa"/>
            <w:tcBorders>
              <w:top w:val="nil"/>
              <w:left w:val="nil"/>
              <w:bottom w:val="nil"/>
              <w:right w:val="nil"/>
            </w:tcBorders>
            <w:shd w:val="clear" w:color="auto" w:fill="auto"/>
            <w:vAlign w:val="center"/>
            <w:hideMark/>
          </w:tcPr>
          <w:p w:rsidR="00785A06" w:rsidRPr="0017526E" w:rsidRDefault="00785A06" w:rsidP="006240B9">
            <w:pPr>
              <w:jc w:val="right"/>
              <w:rPr>
                <w:rFonts w:cs="Arial"/>
                <w:b/>
                <w:bCs/>
                <w:sz w:val="16"/>
                <w:szCs w:val="16"/>
                <w:lang w:val="nl-NL"/>
              </w:rPr>
            </w:pPr>
            <w:r w:rsidRPr="0017526E">
              <w:rPr>
                <w:rFonts w:cs="Arial"/>
                <w:b/>
                <w:bCs/>
                <w:sz w:val="16"/>
                <w:szCs w:val="16"/>
                <w:lang w:val="nl-NL"/>
              </w:rPr>
              <w:t>1.620</w:t>
            </w:r>
          </w:p>
        </w:tc>
      </w:tr>
      <w:tr w:rsidR="00785A06" w:rsidRPr="0017526E" w:rsidTr="006240B9">
        <w:trPr>
          <w:trHeight w:val="300"/>
        </w:trPr>
        <w:tc>
          <w:tcPr>
            <w:tcW w:w="280" w:type="dxa"/>
            <w:tcBorders>
              <w:top w:val="nil"/>
              <w:left w:val="nil"/>
              <w:bottom w:val="nil"/>
              <w:right w:val="nil"/>
            </w:tcBorders>
            <w:shd w:val="clear" w:color="auto" w:fill="auto"/>
            <w:noWrap/>
            <w:vAlign w:val="bottom"/>
            <w:hideMark/>
          </w:tcPr>
          <w:p w:rsidR="00785A06" w:rsidRPr="0017526E" w:rsidRDefault="00785A06" w:rsidP="006240B9">
            <w:pPr>
              <w:rPr>
                <w:rFonts w:ascii="Calibri" w:hAnsi="Calibri"/>
                <w:sz w:val="22"/>
                <w:szCs w:val="22"/>
                <w:lang w:val="nl-NL"/>
              </w:rPr>
            </w:pPr>
          </w:p>
        </w:tc>
        <w:tc>
          <w:tcPr>
            <w:tcW w:w="6620" w:type="dxa"/>
            <w:tcBorders>
              <w:top w:val="nil"/>
              <w:left w:val="nil"/>
              <w:bottom w:val="nil"/>
              <w:right w:val="nil"/>
            </w:tcBorders>
            <w:shd w:val="clear" w:color="auto" w:fill="auto"/>
            <w:vAlign w:val="center"/>
            <w:hideMark/>
          </w:tcPr>
          <w:p w:rsidR="00785A06" w:rsidRPr="0017526E" w:rsidRDefault="00785A06" w:rsidP="006240B9">
            <w:pPr>
              <w:rPr>
                <w:rFonts w:cs="Arial"/>
                <w:sz w:val="16"/>
                <w:szCs w:val="16"/>
                <w:lang w:val="nl-NL"/>
              </w:rPr>
            </w:pPr>
            <w:r w:rsidRPr="0017526E">
              <w:rPr>
                <w:rFonts w:cs="Arial"/>
                <w:sz w:val="16"/>
                <w:szCs w:val="16"/>
                <w:lang w:val="nl-NL"/>
              </w:rPr>
              <w:t>Suppletoire mutaties:</w:t>
            </w:r>
          </w:p>
        </w:tc>
        <w:tc>
          <w:tcPr>
            <w:tcW w:w="1000" w:type="dxa"/>
            <w:tcBorders>
              <w:top w:val="nil"/>
              <w:left w:val="nil"/>
              <w:bottom w:val="nil"/>
              <w:right w:val="nil"/>
            </w:tcBorders>
            <w:shd w:val="clear" w:color="auto" w:fill="auto"/>
            <w:vAlign w:val="center"/>
            <w:hideMark/>
          </w:tcPr>
          <w:p w:rsidR="00785A06" w:rsidRPr="0017526E" w:rsidRDefault="00785A06" w:rsidP="006240B9">
            <w:pPr>
              <w:jc w:val="center"/>
              <w:rPr>
                <w:rFonts w:cs="Arial"/>
                <w:sz w:val="16"/>
                <w:szCs w:val="16"/>
                <w:lang w:val="nl-NL"/>
              </w:rPr>
            </w:pPr>
          </w:p>
        </w:tc>
      </w:tr>
      <w:tr w:rsidR="00785A06" w:rsidRPr="0017526E" w:rsidTr="006240B9">
        <w:trPr>
          <w:trHeight w:val="300"/>
        </w:trPr>
        <w:tc>
          <w:tcPr>
            <w:tcW w:w="280" w:type="dxa"/>
            <w:tcBorders>
              <w:top w:val="nil"/>
              <w:left w:val="nil"/>
              <w:bottom w:val="nil"/>
              <w:right w:val="nil"/>
            </w:tcBorders>
            <w:shd w:val="clear" w:color="auto" w:fill="auto"/>
            <w:vAlign w:val="center"/>
            <w:hideMark/>
          </w:tcPr>
          <w:p w:rsidR="00785A06" w:rsidRPr="0017526E" w:rsidRDefault="00785A06" w:rsidP="006240B9">
            <w:pPr>
              <w:jc w:val="right"/>
              <w:rPr>
                <w:rFonts w:cs="Arial"/>
                <w:sz w:val="16"/>
                <w:szCs w:val="16"/>
                <w:lang w:val="nl-NL"/>
              </w:rPr>
            </w:pPr>
            <w:r w:rsidRPr="0017526E">
              <w:rPr>
                <w:rFonts w:cs="Arial"/>
                <w:sz w:val="16"/>
                <w:szCs w:val="16"/>
                <w:lang w:val="nl-NL"/>
              </w:rPr>
              <w:t>1</w:t>
            </w:r>
          </w:p>
        </w:tc>
        <w:tc>
          <w:tcPr>
            <w:tcW w:w="6620" w:type="dxa"/>
            <w:tcBorders>
              <w:top w:val="nil"/>
              <w:left w:val="nil"/>
              <w:bottom w:val="nil"/>
              <w:right w:val="nil"/>
            </w:tcBorders>
            <w:shd w:val="clear" w:color="auto" w:fill="auto"/>
            <w:vAlign w:val="center"/>
            <w:hideMark/>
          </w:tcPr>
          <w:p w:rsidR="00785A06" w:rsidRPr="0017526E" w:rsidRDefault="00785A06" w:rsidP="006240B9">
            <w:pPr>
              <w:rPr>
                <w:rFonts w:cs="Arial"/>
                <w:sz w:val="16"/>
                <w:szCs w:val="16"/>
                <w:lang w:val="nl-NL"/>
              </w:rPr>
            </w:pPr>
            <w:r>
              <w:rPr>
                <w:rFonts w:cs="Arial"/>
                <w:sz w:val="16"/>
                <w:szCs w:val="16"/>
                <w:lang w:val="nl-NL"/>
              </w:rPr>
              <w:t xml:space="preserve">Overloop budget </w:t>
            </w:r>
            <w:r w:rsidRPr="0017526E">
              <w:rPr>
                <w:rFonts w:cs="Arial"/>
                <w:sz w:val="16"/>
                <w:szCs w:val="16"/>
                <w:lang w:val="nl-NL"/>
              </w:rPr>
              <w:t>2016</w:t>
            </w:r>
          </w:p>
        </w:tc>
        <w:tc>
          <w:tcPr>
            <w:tcW w:w="1000" w:type="dxa"/>
            <w:tcBorders>
              <w:top w:val="nil"/>
              <w:left w:val="nil"/>
              <w:bottom w:val="nil"/>
              <w:right w:val="nil"/>
            </w:tcBorders>
            <w:shd w:val="clear" w:color="auto" w:fill="auto"/>
            <w:vAlign w:val="center"/>
            <w:hideMark/>
          </w:tcPr>
          <w:p w:rsidR="00785A06" w:rsidRPr="0017526E" w:rsidRDefault="00785A06" w:rsidP="006240B9">
            <w:pPr>
              <w:jc w:val="right"/>
              <w:rPr>
                <w:rFonts w:cs="Arial"/>
                <w:sz w:val="16"/>
                <w:szCs w:val="16"/>
                <w:lang w:val="nl-NL"/>
              </w:rPr>
            </w:pPr>
            <w:r w:rsidRPr="0017526E">
              <w:rPr>
                <w:rFonts w:cs="Arial"/>
                <w:sz w:val="16"/>
                <w:szCs w:val="16"/>
                <w:lang w:val="nl-NL"/>
              </w:rPr>
              <w:t>300</w:t>
            </w:r>
          </w:p>
        </w:tc>
      </w:tr>
      <w:tr w:rsidR="00785A06" w:rsidRPr="0017526E" w:rsidTr="006240B9">
        <w:trPr>
          <w:trHeight w:val="300"/>
        </w:trPr>
        <w:tc>
          <w:tcPr>
            <w:tcW w:w="280" w:type="dxa"/>
            <w:tcBorders>
              <w:top w:val="nil"/>
              <w:left w:val="nil"/>
              <w:bottom w:val="nil"/>
              <w:right w:val="nil"/>
            </w:tcBorders>
            <w:shd w:val="clear" w:color="auto" w:fill="auto"/>
            <w:vAlign w:val="center"/>
            <w:hideMark/>
          </w:tcPr>
          <w:p w:rsidR="00785A06" w:rsidRPr="0017526E" w:rsidRDefault="00785A06" w:rsidP="006240B9">
            <w:pPr>
              <w:jc w:val="right"/>
              <w:rPr>
                <w:rFonts w:cs="Arial"/>
                <w:sz w:val="16"/>
                <w:szCs w:val="16"/>
                <w:lang w:val="nl-NL"/>
              </w:rPr>
            </w:pPr>
            <w:r w:rsidRPr="0017526E">
              <w:rPr>
                <w:rFonts w:cs="Arial"/>
                <w:sz w:val="16"/>
                <w:szCs w:val="16"/>
                <w:lang w:val="nl-NL"/>
              </w:rPr>
              <w:t>2</w:t>
            </w:r>
          </w:p>
        </w:tc>
        <w:tc>
          <w:tcPr>
            <w:tcW w:w="6620" w:type="dxa"/>
            <w:tcBorders>
              <w:top w:val="nil"/>
              <w:left w:val="nil"/>
              <w:bottom w:val="nil"/>
              <w:right w:val="nil"/>
            </w:tcBorders>
            <w:shd w:val="clear" w:color="auto" w:fill="auto"/>
            <w:vAlign w:val="center"/>
            <w:hideMark/>
          </w:tcPr>
          <w:p w:rsidR="00785A06" w:rsidRPr="0017526E" w:rsidRDefault="00785A06" w:rsidP="006240B9">
            <w:pPr>
              <w:rPr>
                <w:rFonts w:cs="Arial"/>
                <w:sz w:val="16"/>
                <w:szCs w:val="16"/>
                <w:lang w:val="nl-NL"/>
              </w:rPr>
            </w:pPr>
            <w:r w:rsidRPr="0017526E">
              <w:rPr>
                <w:rFonts w:cs="Arial"/>
                <w:sz w:val="16"/>
                <w:szCs w:val="16"/>
                <w:lang w:val="nl-NL"/>
              </w:rPr>
              <w:t>Loon -en prijsbijstelling 2017</w:t>
            </w:r>
          </w:p>
        </w:tc>
        <w:tc>
          <w:tcPr>
            <w:tcW w:w="1000" w:type="dxa"/>
            <w:tcBorders>
              <w:top w:val="nil"/>
              <w:left w:val="nil"/>
              <w:bottom w:val="nil"/>
              <w:right w:val="nil"/>
            </w:tcBorders>
            <w:shd w:val="clear" w:color="auto" w:fill="auto"/>
            <w:vAlign w:val="center"/>
            <w:hideMark/>
          </w:tcPr>
          <w:p w:rsidR="00785A06" w:rsidRPr="0017526E" w:rsidRDefault="00785A06" w:rsidP="006240B9">
            <w:pPr>
              <w:jc w:val="right"/>
              <w:rPr>
                <w:rFonts w:cs="Arial"/>
                <w:sz w:val="16"/>
                <w:szCs w:val="16"/>
                <w:lang w:val="nl-NL"/>
              </w:rPr>
            </w:pPr>
            <w:r w:rsidRPr="0017526E">
              <w:rPr>
                <w:rFonts w:cs="Arial"/>
                <w:sz w:val="16"/>
                <w:szCs w:val="16"/>
                <w:lang w:val="nl-NL"/>
              </w:rPr>
              <w:t>28</w:t>
            </w:r>
          </w:p>
        </w:tc>
      </w:tr>
      <w:tr w:rsidR="00785A06" w:rsidRPr="0017526E" w:rsidTr="006240B9">
        <w:trPr>
          <w:trHeight w:val="300"/>
        </w:trPr>
        <w:tc>
          <w:tcPr>
            <w:tcW w:w="280" w:type="dxa"/>
            <w:tcBorders>
              <w:top w:val="nil"/>
              <w:left w:val="nil"/>
              <w:bottom w:val="nil"/>
              <w:right w:val="nil"/>
            </w:tcBorders>
            <w:shd w:val="clear" w:color="auto" w:fill="auto"/>
            <w:vAlign w:val="center"/>
            <w:hideMark/>
          </w:tcPr>
          <w:p w:rsidR="00785A06" w:rsidRPr="0017526E" w:rsidRDefault="00785A06" w:rsidP="006240B9">
            <w:pPr>
              <w:jc w:val="right"/>
              <w:rPr>
                <w:rFonts w:cs="Arial"/>
                <w:sz w:val="16"/>
                <w:szCs w:val="16"/>
                <w:lang w:val="nl-NL"/>
              </w:rPr>
            </w:pPr>
            <w:r w:rsidRPr="0017526E">
              <w:rPr>
                <w:rFonts w:cs="Arial"/>
                <w:sz w:val="16"/>
                <w:szCs w:val="16"/>
                <w:lang w:val="nl-NL"/>
              </w:rPr>
              <w:t>3</w:t>
            </w:r>
          </w:p>
        </w:tc>
        <w:tc>
          <w:tcPr>
            <w:tcW w:w="6620" w:type="dxa"/>
            <w:tcBorders>
              <w:top w:val="nil"/>
              <w:left w:val="nil"/>
              <w:bottom w:val="nil"/>
              <w:right w:val="nil"/>
            </w:tcBorders>
            <w:shd w:val="clear" w:color="auto" w:fill="auto"/>
            <w:vAlign w:val="center"/>
            <w:hideMark/>
          </w:tcPr>
          <w:p w:rsidR="00785A06" w:rsidRPr="0017526E" w:rsidRDefault="00785A06" w:rsidP="006240B9">
            <w:pPr>
              <w:rPr>
                <w:rFonts w:cs="Arial"/>
                <w:sz w:val="16"/>
                <w:szCs w:val="16"/>
                <w:lang w:val="nl-NL"/>
              </w:rPr>
            </w:pPr>
            <w:r w:rsidRPr="0017526E">
              <w:rPr>
                <w:rFonts w:cs="Arial"/>
                <w:sz w:val="16"/>
                <w:szCs w:val="16"/>
                <w:lang w:val="nl-NL"/>
              </w:rPr>
              <w:t>Compensatie premiestijging ABP pensioen</w:t>
            </w:r>
          </w:p>
        </w:tc>
        <w:tc>
          <w:tcPr>
            <w:tcW w:w="1000" w:type="dxa"/>
            <w:tcBorders>
              <w:top w:val="nil"/>
              <w:left w:val="nil"/>
              <w:bottom w:val="nil"/>
              <w:right w:val="nil"/>
            </w:tcBorders>
            <w:shd w:val="clear" w:color="auto" w:fill="auto"/>
            <w:vAlign w:val="center"/>
            <w:hideMark/>
          </w:tcPr>
          <w:p w:rsidR="00785A06" w:rsidRPr="0017526E" w:rsidRDefault="00785A06" w:rsidP="006240B9">
            <w:pPr>
              <w:jc w:val="right"/>
              <w:rPr>
                <w:rFonts w:cs="Arial"/>
                <w:sz w:val="16"/>
                <w:szCs w:val="16"/>
                <w:lang w:val="nl-NL"/>
              </w:rPr>
            </w:pPr>
            <w:r w:rsidRPr="0017526E">
              <w:rPr>
                <w:rFonts w:cs="Arial"/>
                <w:sz w:val="16"/>
                <w:szCs w:val="16"/>
                <w:lang w:val="nl-NL"/>
              </w:rPr>
              <w:t>10</w:t>
            </w:r>
          </w:p>
        </w:tc>
      </w:tr>
      <w:tr w:rsidR="00785A06" w:rsidRPr="0017526E" w:rsidTr="006240B9">
        <w:trPr>
          <w:trHeight w:val="315"/>
        </w:trPr>
        <w:tc>
          <w:tcPr>
            <w:tcW w:w="280" w:type="dxa"/>
            <w:tcBorders>
              <w:top w:val="nil"/>
              <w:left w:val="nil"/>
              <w:bottom w:val="single" w:sz="8" w:space="0" w:color="auto"/>
              <w:right w:val="nil"/>
            </w:tcBorders>
            <w:shd w:val="clear" w:color="auto" w:fill="auto"/>
            <w:noWrap/>
            <w:vAlign w:val="bottom"/>
            <w:hideMark/>
          </w:tcPr>
          <w:p w:rsidR="00785A06" w:rsidRPr="0017526E" w:rsidRDefault="00785A06" w:rsidP="006240B9">
            <w:pPr>
              <w:rPr>
                <w:rFonts w:ascii="Calibri" w:hAnsi="Calibri"/>
                <w:sz w:val="22"/>
                <w:szCs w:val="22"/>
                <w:lang w:val="nl-NL"/>
              </w:rPr>
            </w:pPr>
            <w:r w:rsidRPr="0017526E">
              <w:rPr>
                <w:rFonts w:ascii="Calibri" w:hAnsi="Calibri"/>
                <w:sz w:val="22"/>
                <w:szCs w:val="22"/>
                <w:lang w:val="nl-NL"/>
              </w:rPr>
              <w:t> </w:t>
            </w:r>
          </w:p>
        </w:tc>
        <w:tc>
          <w:tcPr>
            <w:tcW w:w="6620" w:type="dxa"/>
            <w:tcBorders>
              <w:top w:val="nil"/>
              <w:left w:val="nil"/>
              <w:bottom w:val="single" w:sz="8" w:space="0" w:color="auto"/>
              <w:right w:val="nil"/>
            </w:tcBorders>
            <w:shd w:val="clear" w:color="auto" w:fill="auto"/>
            <w:vAlign w:val="center"/>
            <w:hideMark/>
          </w:tcPr>
          <w:p w:rsidR="00785A06" w:rsidRPr="0017526E" w:rsidRDefault="00785A06" w:rsidP="006240B9">
            <w:pPr>
              <w:rPr>
                <w:rFonts w:cs="Arial"/>
                <w:b/>
                <w:bCs/>
                <w:sz w:val="16"/>
                <w:szCs w:val="16"/>
                <w:lang w:val="nl-NL"/>
              </w:rPr>
            </w:pPr>
            <w:r w:rsidRPr="0017526E">
              <w:rPr>
                <w:rFonts w:cs="Arial"/>
                <w:b/>
                <w:bCs/>
                <w:sz w:val="16"/>
                <w:szCs w:val="16"/>
                <w:lang w:val="nl-NL"/>
              </w:rPr>
              <w:t>Stand 1e suppletoire begroting 2017</w:t>
            </w:r>
          </w:p>
        </w:tc>
        <w:tc>
          <w:tcPr>
            <w:tcW w:w="1000" w:type="dxa"/>
            <w:tcBorders>
              <w:top w:val="nil"/>
              <w:left w:val="nil"/>
              <w:bottom w:val="single" w:sz="8" w:space="0" w:color="auto"/>
              <w:right w:val="nil"/>
            </w:tcBorders>
            <w:shd w:val="clear" w:color="auto" w:fill="auto"/>
            <w:vAlign w:val="center"/>
            <w:hideMark/>
          </w:tcPr>
          <w:p w:rsidR="00785A06" w:rsidRPr="0017526E" w:rsidRDefault="00785A06" w:rsidP="006240B9">
            <w:pPr>
              <w:jc w:val="right"/>
              <w:rPr>
                <w:rFonts w:cs="Arial"/>
                <w:b/>
                <w:bCs/>
                <w:sz w:val="16"/>
                <w:szCs w:val="16"/>
                <w:lang w:val="nl-NL"/>
              </w:rPr>
            </w:pPr>
            <w:r w:rsidRPr="0017526E">
              <w:rPr>
                <w:rFonts w:cs="Arial"/>
                <w:b/>
                <w:bCs/>
                <w:sz w:val="16"/>
                <w:szCs w:val="16"/>
                <w:lang w:val="nl-NL"/>
              </w:rPr>
              <w:t>1.958</w:t>
            </w:r>
          </w:p>
        </w:tc>
      </w:tr>
    </w:tbl>
    <w:p w:rsidR="00785A06" w:rsidRDefault="00785A06" w:rsidP="00785A06"/>
    <w:p w:rsidR="00785A06" w:rsidRDefault="00785A06" w:rsidP="00785A06">
      <w:pPr>
        <w:rPr>
          <w:u w:val="single"/>
        </w:rPr>
      </w:pPr>
      <w:r w:rsidRPr="00E67DD4">
        <w:rPr>
          <w:u w:val="single"/>
        </w:rPr>
        <w:t>Toelichting</w:t>
      </w:r>
    </w:p>
    <w:p w:rsidR="00785A06" w:rsidRDefault="00785A06" w:rsidP="00785A06">
      <w:pPr>
        <w:rPr>
          <w:u w:val="single"/>
        </w:rPr>
      </w:pPr>
    </w:p>
    <w:p w:rsidR="00785A06" w:rsidRDefault="00785A06" w:rsidP="00785A06">
      <w:r>
        <w:t xml:space="preserve">1) </w:t>
      </w:r>
      <w:r w:rsidRPr="004202DF">
        <w:rPr>
          <w:rFonts w:cs="Arial"/>
        </w:rPr>
        <w:t xml:space="preserve">Dit betreft </w:t>
      </w:r>
      <w:r>
        <w:rPr>
          <w:rFonts w:cs="Arial"/>
        </w:rPr>
        <w:t xml:space="preserve">het overloop van het budget uit </w:t>
      </w:r>
      <w:r w:rsidRPr="004202DF">
        <w:rPr>
          <w:rFonts w:cs="Arial"/>
        </w:rPr>
        <w:t xml:space="preserve">2016 </w:t>
      </w:r>
      <w:r>
        <w:rPr>
          <w:rFonts w:cs="Arial"/>
        </w:rPr>
        <w:t>ten behoeve van de versterking van de veiligheidsketen</w:t>
      </w:r>
      <w:r>
        <w:t>.</w:t>
      </w:r>
    </w:p>
    <w:p w:rsidR="00785A06" w:rsidRDefault="00785A06" w:rsidP="00785A06"/>
    <w:p w:rsidR="00785A06" w:rsidRDefault="00785A06" w:rsidP="00785A06">
      <w:pPr>
        <w:pStyle w:val="Plattetekstinspringen2"/>
        <w:ind w:left="0"/>
        <w:rPr>
          <w:color w:val="auto"/>
        </w:rPr>
      </w:pPr>
      <w:r>
        <w:rPr>
          <w:color w:val="auto"/>
        </w:rPr>
        <w:t>2)</w:t>
      </w:r>
      <w:r w:rsidRPr="006E3E90">
        <w:rPr>
          <w:rFonts w:cs="Arial"/>
        </w:rPr>
        <w:t xml:space="preserve"> </w:t>
      </w:r>
      <w:r w:rsidRPr="004202DF">
        <w:rPr>
          <w:rFonts w:cs="Arial"/>
        </w:rPr>
        <w:t>Vanuit de aanvullende posten arbeidsvoorwaarden en prijsbijstelling is budget overgeheveld naar de begroting van Algemene Zaken. De loonbijstelling bestaat uit een vergoeding voor de contractloonontwikkeling en de ontwikkeling in sociale werkgeverslasten en de prijsbijstelling bestaat uit een vergoeding voor de prijsstijgingen</w:t>
      </w:r>
      <w:r>
        <w:rPr>
          <w:color w:val="auto"/>
        </w:rPr>
        <w:t>.</w:t>
      </w:r>
    </w:p>
    <w:p w:rsidR="00785A06" w:rsidRDefault="00785A06" w:rsidP="00785A06">
      <w:pPr>
        <w:pStyle w:val="Plattetekstinspringen2"/>
        <w:ind w:left="0"/>
        <w:rPr>
          <w:color w:val="auto"/>
        </w:rPr>
      </w:pPr>
    </w:p>
    <w:p w:rsidR="00785A06" w:rsidRDefault="00785A06" w:rsidP="00785A06">
      <w:pPr>
        <w:pStyle w:val="Plattetekstinspringen2"/>
        <w:ind w:left="0"/>
        <w:rPr>
          <w:color w:val="auto"/>
        </w:rPr>
      </w:pPr>
      <w:r>
        <w:rPr>
          <w:color w:val="auto"/>
        </w:rPr>
        <w:t xml:space="preserve">3) </w:t>
      </w:r>
      <w:r w:rsidRPr="004202DF">
        <w:rPr>
          <w:rFonts w:cs="Arial"/>
        </w:rPr>
        <w:t xml:space="preserve">Per 1 januari 2017 heeft het ABP de pensioenpremie verhoogd. Ter compensatie van de pensioenpremiestijging is € 342 miljoen aan de loonruimte 2017 toegevoegd. Deze middelen worden vanuit de aanvullende post overgemaakt naar de departementale begrotingen. Het aandeel voor </w:t>
      </w:r>
      <w:r>
        <w:rPr>
          <w:rFonts w:cs="Arial"/>
        </w:rPr>
        <w:t xml:space="preserve">de </w:t>
      </w:r>
      <w:r w:rsidRPr="001B141B">
        <w:rPr>
          <w:color w:val="auto"/>
        </w:rPr>
        <w:t>Commissie van Toezicht betreffende de Inlichtingen- en Veiligheidsdiensten</w:t>
      </w:r>
      <w:r>
        <w:rPr>
          <w:color w:val="auto"/>
        </w:rPr>
        <w:t xml:space="preserve"> betreft</w:t>
      </w:r>
      <w:r>
        <w:rPr>
          <w:rFonts w:cs="Arial"/>
        </w:rPr>
        <w:t xml:space="preserve"> € 10</w:t>
      </w:r>
      <w:r w:rsidRPr="004202DF">
        <w:rPr>
          <w:rFonts w:cs="Arial"/>
        </w:rPr>
        <w:t>.000</w:t>
      </w:r>
      <w:r w:rsidRPr="00215C00">
        <w:rPr>
          <w:color w:val="auto"/>
        </w:rPr>
        <w:t>.</w:t>
      </w:r>
    </w:p>
    <w:p w:rsidR="00785A06" w:rsidRDefault="00785A06" w:rsidP="00785A06"/>
    <w:p w:rsidR="006C11B8" w:rsidRDefault="006C11B8">
      <w:bookmarkStart w:id="0" w:name="_GoBack"/>
      <w:bookmarkEnd w:id="0"/>
    </w:p>
    <w:sectPr w:rsidR="006C11B8">
      <w:headerReference w:type="default" r:id="rId6"/>
      <w:footerReference w:type="even" r:id="rId7"/>
      <w:footerReference w:type="default" r:id="rId8"/>
      <w:headerReference w:type="first" r:id="rId9"/>
      <w:footerReference w:type="first" r:id="rId10"/>
      <w:pgSz w:w="11907" w:h="16840" w:code="9"/>
      <w:pgMar w:top="1418" w:right="1418" w:bottom="1276" w:left="1985" w:header="567" w:footer="567"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8A" w:rsidRDefault="00785A06" w:rsidP="00680A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46F8A" w:rsidRDefault="00785A06" w:rsidP="00680A5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8A" w:rsidRDefault="00785A06" w:rsidP="00680A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046F8A" w:rsidRDefault="00785A06" w:rsidP="00680A52">
    <w:pPr>
      <w:pStyle w:val="Voettekst"/>
      <w:ind w:right="36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8A" w:rsidRDefault="00785A06">
    <w:pPr>
      <w:pStyle w:val="Voettekst"/>
      <w:rPr>
        <w:lang w:val="nl-NL"/>
      </w:rPr>
    </w:pPr>
    <w:r>
      <w:rPr>
        <w:lang w:val="nl-NL"/>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r>
      <w:rPr>
        <w:lang w:val="nl-NL"/>
      </w:rPr>
      <w:tab/>
    </w:r>
    <w:r>
      <w:rPr>
        <w:lang w:val="nl-NL"/>
      </w:rPr>
      <w:tab/>
    </w:r>
    <w:r>
      <w:rPr>
        <w:rStyle w:val="Paginanummer"/>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8A" w:rsidRDefault="00785A06">
    <w:pPr>
      <w:pStyle w:val="Koptekst"/>
      <w:rPr>
        <w:lang w:val="nl-NL"/>
      </w:rPr>
    </w:pPr>
  </w:p>
  <w:p w:rsidR="00046F8A" w:rsidRDefault="00785A06">
    <w:pPr>
      <w:pStyle w:val="Koptekst"/>
      <w:rPr>
        <w:lang w:val="nl-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8A" w:rsidRDefault="00785A06">
    <w:pPr>
      <w:pStyle w:val="Koptekst"/>
      <w:rPr>
        <w:lang w:val="nl-NL"/>
      </w:rPr>
    </w:pPr>
    <w:r>
      <w:rPr>
        <w:lang w:val="nl-NL"/>
      </w:rPr>
      <w:tab/>
    </w:r>
    <w:r>
      <w:rPr>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85B"/>
    <w:multiLevelType w:val="hybridMultilevel"/>
    <w:tmpl w:val="D9F4EDC0"/>
    <w:lvl w:ilvl="0" w:tplc="1722C038">
      <w:start w:val="4"/>
      <w:numFmt w:val="decimal"/>
      <w:lvlText w:val="%1"/>
      <w:lvlJc w:val="left"/>
      <w:pPr>
        <w:tabs>
          <w:tab w:val="num" w:pos="705"/>
        </w:tabs>
        <w:ind w:left="705" w:hanging="705"/>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06"/>
    <w:rsid w:val="00433D6E"/>
    <w:rsid w:val="006C11B8"/>
    <w:rsid w:val="00785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5A06"/>
    <w:rPr>
      <w:rFonts w:ascii="Arial" w:hAnsi="Arial"/>
      <w:color w:val="000000"/>
      <w:lang w:val="nl"/>
    </w:rPr>
  </w:style>
  <w:style w:type="paragraph" w:styleId="Kop1">
    <w:name w:val="heading 1"/>
    <w:basedOn w:val="Standaard"/>
    <w:next w:val="Standaard"/>
    <w:link w:val="Kop1Char"/>
    <w:qFormat/>
    <w:rsid w:val="00785A06"/>
    <w:pPr>
      <w:keepNext/>
      <w:widowControl w:val="0"/>
      <w:tabs>
        <w:tab w:val="left" w:pos="2268"/>
      </w:tabs>
      <w:spacing w:line="360" w:lineRule="auto"/>
      <w:ind w:left="2268" w:hanging="2268"/>
      <w:outlineLvl w:val="0"/>
    </w:pPr>
    <w:rPr>
      <w:b/>
      <w:color w:val="au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85A06"/>
    <w:rPr>
      <w:rFonts w:ascii="Arial" w:hAnsi="Arial"/>
      <w:b/>
    </w:rPr>
  </w:style>
  <w:style w:type="paragraph" w:styleId="Koptekst">
    <w:name w:val="header"/>
    <w:basedOn w:val="Standaard"/>
    <w:link w:val="KoptekstChar"/>
    <w:rsid w:val="00785A06"/>
    <w:pPr>
      <w:tabs>
        <w:tab w:val="center" w:pos="4536"/>
        <w:tab w:val="right" w:pos="9072"/>
      </w:tabs>
    </w:pPr>
    <w:rPr>
      <w:color w:val="auto"/>
    </w:rPr>
  </w:style>
  <w:style w:type="character" w:customStyle="1" w:styleId="KoptekstChar">
    <w:name w:val="Koptekst Char"/>
    <w:basedOn w:val="Standaardalinea-lettertype"/>
    <w:link w:val="Koptekst"/>
    <w:rsid w:val="00785A06"/>
    <w:rPr>
      <w:rFonts w:ascii="Arial" w:hAnsi="Arial"/>
      <w:lang w:val="nl"/>
    </w:rPr>
  </w:style>
  <w:style w:type="paragraph" w:customStyle="1" w:styleId="StandaardAfw">
    <w:name w:val="StandaardAfw"/>
    <w:basedOn w:val="Standaard"/>
    <w:rsid w:val="00785A06"/>
    <w:pPr>
      <w:tabs>
        <w:tab w:val="left" w:pos="2268"/>
      </w:tabs>
      <w:spacing w:after="120"/>
      <w:ind w:left="2268"/>
    </w:pPr>
    <w:rPr>
      <w:color w:val="auto"/>
      <w:lang w:val="nl-NL"/>
    </w:rPr>
  </w:style>
  <w:style w:type="paragraph" w:styleId="Voettekst">
    <w:name w:val="footer"/>
    <w:basedOn w:val="Standaard"/>
    <w:link w:val="VoettekstChar"/>
    <w:rsid w:val="00785A06"/>
    <w:pPr>
      <w:tabs>
        <w:tab w:val="center" w:pos="4536"/>
        <w:tab w:val="right" w:pos="9072"/>
      </w:tabs>
    </w:pPr>
  </w:style>
  <w:style w:type="character" w:customStyle="1" w:styleId="VoettekstChar">
    <w:name w:val="Voettekst Char"/>
    <w:basedOn w:val="Standaardalinea-lettertype"/>
    <w:link w:val="Voettekst"/>
    <w:rsid w:val="00785A06"/>
    <w:rPr>
      <w:rFonts w:ascii="Arial" w:hAnsi="Arial"/>
      <w:color w:val="000000"/>
      <w:lang w:val="nl"/>
    </w:rPr>
  </w:style>
  <w:style w:type="paragraph" w:styleId="Plattetekstinspringen2">
    <w:name w:val="Body Text Indent 2"/>
    <w:basedOn w:val="Standaard"/>
    <w:link w:val="Plattetekstinspringen2Char"/>
    <w:rsid w:val="00785A06"/>
    <w:pPr>
      <w:ind w:left="567"/>
    </w:pPr>
  </w:style>
  <w:style w:type="character" w:customStyle="1" w:styleId="Plattetekstinspringen2Char">
    <w:name w:val="Platte tekst inspringen 2 Char"/>
    <w:basedOn w:val="Standaardalinea-lettertype"/>
    <w:link w:val="Plattetekstinspringen2"/>
    <w:rsid w:val="00785A06"/>
    <w:rPr>
      <w:rFonts w:ascii="Arial" w:hAnsi="Arial"/>
      <w:color w:val="000000"/>
      <w:lang w:val="nl"/>
    </w:rPr>
  </w:style>
  <w:style w:type="character" w:styleId="Paginanummer">
    <w:name w:val="page number"/>
    <w:basedOn w:val="Standaardalinea-lettertype"/>
    <w:rsid w:val="00785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5A06"/>
    <w:rPr>
      <w:rFonts w:ascii="Arial" w:hAnsi="Arial"/>
      <w:color w:val="000000"/>
      <w:lang w:val="nl"/>
    </w:rPr>
  </w:style>
  <w:style w:type="paragraph" w:styleId="Kop1">
    <w:name w:val="heading 1"/>
    <w:basedOn w:val="Standaard"/>
    <w:next w:val="Standaard"/>
    <w:link w:val="Kop1Char"/>
    <w:qFormat/>
    <w:rsid w:val="00785A06"/>
    <w:pPr>
      <w:keepNext/>
      <w:widowControl w:val="0"/>
      <w:tabs>
        <w:tab w:val="left" w:pos="2268"/>
      </w:tabs>
      <w:spacing w:line="360" w:lineRule="auto"/>
      <w:ind w:left="2268" w:hanging="2268"/>
      <w:outlineLvl w:val="0"/>
    </w:pPr>
    <w:rPr>
      <w:b/>
      <w:color w:val="au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85A06"/>
    <w:rPr>
      <w:rFonts w:ascii="Arial" w:hAnsi="Arial"/>
      <w:b/>
    </w:rPr>
  </w:style>
  <w:style w:type="paragraph" w:styleId="Koptekst">
    <w:name w:val="header"/>
    <w:basedOn w:val="Standaard"/>
    <w:link w:val="KoptekstChar"/>
    <w:rsid w:val="00785A06"/>
    <w:pPr>
      <w:tabs>
        <w:tab w:val="center" w:pos="4536"/>
        <w:tab w:val="right" w:pos="9072"/>
      </w:tabs>
    </w:pPr>
    <w:rPr>
      <w:color w:val="auto"/>
    </w:rPr>
  </w:style>
  <w:style w:type="character" w:customStyle="1" w:styleId="KoptekstChar">
    <w:name w:val="Koptekst Char"/>
    <w:basedOn w:val="Standaardalinea-lettertype"/>
    <w:link w:val="Koptekst"/>
    <w:rsid w:val="00785A06"/>
    <w:rPr>
      <w:rFonts w:ascii="Arial" w:hAnsi="Arial"/>
      <w:lang w:val="nl"/>
    </w:rPr>
  </w:style>
  <w:style w:type="paragraph" w:customStyle="1" w:styleId="StandaardAfw">
    <w:name w:val="StandaardAfw"/>
    <w:basedOn w:val="Standaard"/>
    <w:rsid w:val="00785A06"/>
    <w:pPr>
      <w:tabs>
        <w:tab w:val="left" w:pos="2268"/>
      </w:tabs>
      <w:spacing w:after="120"/>
      <w:ind w:left="2268"/>
    </w:pPr>
    <w:rPr>
      <w:color w:val="auto"/>
      <w:lang w:val="nl-NL"/>
    </w:rPr>
  </w:style>
  <w:style w:type="paragraph" w:styleId="Voettekst">
    <w:name w:val="footer"/>
    <w:basedOn w:val="Standaard"/>
    <w:link w:val="VoettekstChar"/>
    <w:rsid w:val="00785A06"/>
    <w:pPr>
      <w:tabs>
        <w:tab w:val="center" w:pos="4536"/>
        <w:tab w:val="right" w:pos="9072"/>
      </w:tabs>
    </w:pPr>
  </w:style>
  <w:style w:type="character" w:customStyle="1" w:styleId="VoettekstChar">
    <w:name w:val="Voettekst Char"/>
    <w:basedOn w:val="Standaardalinea-lettertype"/>
    <w:link w:val="Voettekst"/>
    <w:rsid w:val="00785A06"/>
    <w:rPr>
      <w:rFonts w:ascii="Arial" w:hAnsi="Arial"/>
      <w:color w:val="000000"/>
      <w:lang w:val="nl"/>
    </w:rPr>
  </w:style>
  <w:style w:type="paragraph" w:styleId="Plattetekstinspringen2">
    <w:name w:val="Body Text Indent 2"/>
    <w:basedOn w:val="Standaard"/>
    <w:link w:val="Plattetekstinspringen2Char"/>
    <w:rsid w:val="00785A06"/>
    <w:pPr>
      <w:ind w:left="567"/>
    </w:pPr>
  </w:style>
  <w:style w:type="character" w:customStyle="1" w:styleId="Plattetekstinspringen2Char">
    <w:name w:val="Platte tekst inspringen 2 Char"/>
    <w:basedOn w:val="Standaardalinea-lettertype"/>
    <w:link w:val="Plattetekstinspringen2"/>
    <w:rsid w:val="00785A06"/>
    <w:rPr>
      <w:rFonts w:ascii="Arial" w:hAnsi="Arial"/>
      <w:color w:val="000000"/>
      <w:lang w:val="nl"/>
    </w:rPr>
  </w:style>
  <w:style w:type="character" w:styleId="Paginanummer">
    <w:name w:val="page number"/>
    <w:basedOn w:val="Standaardalinea-lettertype"/>
    <w:rsid w:val="0078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3DCD4-7D50-4975-B0C9-68D3F73DF395}"/>
</file>

<file path=customXml/itemProps2.xml><?xml version="1.0" encoding="utf-8"?>
<ds:datastoreItem xmlns:ds="http://schemas.openxmlformats.org/officeDocument/2006/customXml" ds:itemID="{66E09286-DF9A-454B-A5D3-804F947E882F}"/>
</file>

<file path=customXml/itemProps3.xml><?xml version="1.0" encoding="utf-8"?>
<ds:datastoreItem xmlns:ds="http://schemas.openxmlformats.org/officeDocument/2006/customXml" ds:itemID="{13C2386C-A27D-4FF6-AEE5-013997D2B8D7}"/>
</file>

<file path=docProps/app.xml><?xml version="1.0" encoding="utf-8"?>
<Properties xmlns="http://schemas.openxmlformats.org/officeDocument/2006/extended-properties" xmlns:vt="http://schemas.openxmlformats.org/officeDocument/2006/docPropsVTypes">
  <Template>296469A1</Template>
  <TotalTime>1</TotalTime>
  <Pages>6</Pages>
  <Words>1310</Words>
  <Characters>7208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2017-06-01T08:59:00Z</dcterms:created>
  <dcterms:modified xsi:type="dcterms:W3CDTF">2017-06-01T09:00:00Z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