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45" w:rsidRPr="0004678F" w:rsidRDefault="00CD150F" w:rsidP="009B51C2">
      <w:pPr>
        <w:spacing w:after="0"/>
        <w:rPr>
          <w:rFonts w:ascii="Verdana" w:hAnsi="Verdana"/>
          <w:b/>
          <w:sz w:val="18"/>
          <w:szCs w:val="18"/>
        </w:rPr>
      </w:pPr>
      <w:r w:rsidRPr="0004678F">
        <w:rPr>
          <w:rFonts w:ascii="Verdana" w:hAnsi="Verdana"/>
          <w:b/>
          <w:sz w:val="18"/>
          <w:szCs w:val="18"/>
        </w:rPr>
        <w:t>Wijziging van de begrotingsstat</w:t>
      </w:r>
      <w:r w:rsidR="0092430C" w:rsidRPr="0004678F">
        <w:rPr>
          <w:rFonts w:ascii="Verdana" w:hAnsi="Verdana"/>
          <w:b/>
          <w:sz w:val="18"/>
          <w:szCs w:val="18"/>
        </w:rPr>
        <w:t>en</w:t>
      </w:r>
      <w:r w:rsidRPr="0004678F">
        <w:rPr>
          <w:rFonts w:ascii="Verdana" w:hAnsi="Verdana"/>
          <w:b/>
          <w:sz w:val="18"/>
          <w:szCs w:val="18"/>
        </w:rPr>
        <w:t xml:space="preserve"> van het </w:t>
      </w:r>
      <w:r w:rsidR="00611B17" w:rsidRPr="0004678F">
        <w:rPr>
          <w:rFonts w:ascii="Verdana" w:hAnsi="Verdana"/>
          <w:b/>
          <w:sz w:val="18"/>
          <w:szCs w:val="18"/>
        </w:rPr>
        <w:t>Ministerie van Infrastructuur en Milieu (XII)</w:t>
      </w:r>
      <w:r w:rsidRPr="0004678F">
        <w:rPr>
          <w:rFonts w:ascii="Verdana" w:hAnsi="Verdana"/>
          <w:b/>
          <w:sz w:val="18"/>
          <w:szCs w:val="18"/>
        </w:rPr>
        <w:t xml:space="preserve"> voor het jaar </w:t>
      </w:r>
      <w:r w:rsidR="009D1045" w:rsidRPr="0004678F">
        <w:rPr>
          <w:rFonts w:ascii="Verdana" w:hAnsi="Verdana"/>
          <w:b/>
          <w:sz w:val="18"/>
          <w:szCs w:val="18"/>
        </w:rPr>
        <w:t>201</w:t>
      </w:r>
      <w:r w:rsidR="001E57B8">
        <w:rPr>
          <w:rFonts w:ascii="Verdana" w:hAnsi="Verdana"/>
          <w:b/>
          <w:sz w:val="18"/>
          <w:szCs w:val="18"/>
        </w:rPr>
        <w:t>7</w:t>
      </w:r>
      <w:r w:rsidR="009D1045" w:rsidRPr="0004678F">
        <w:rPr>
          <w:rFonts w:ascii="Verdana" w:hAnsi="Verdana"/>
          <w:b/>
          <w:sz w:val="18"/>
          <w:szCs w:val="18"/>
        </w:rPr>
        <w:t xml:space="preserve"> (Eerste suppletoire begroting)</w:t>
      </w:r>
    </w:p>
    <w:p w:rsidR="00CD150F" w:rsidRPr="0004678F" w:rsidRDefault="00CD150F" w:rsidP="009B51C2">
      <w:pPr>
        <w:spacing w:after="0"/>
        <w:rPr>
          <w:rFonts w:ascii="Verdana" w:hAnsi="Verdana"/>
          <w:b/>
          <w:sz w:val="18"/>
          <w:szCs w:val="18"/>
        </w:rPr>
      </w:pPr>
    </w:p>
    <w:p w:rsidR="0042544F" w:rsidRPr="0004678F" w:rsidRDefault="0042544F" w:rsidP="009B51C2">
      <w:pPr>
        <w:spacing w:after="0"/>
        <w:rPr>
          <w:rFonts w:ascii="Verdana" w:hAnsi="Verdana"/>
          <w:b/>
          <w:sz w:val="18"/>
          <w:szCs w:val="18"/>
        </w:rPr>
      </w:pPr>
    </w:p>
    <w:p w:rsidR="0042544F" w:rsidRPr="0004678F" w:rsidRDefault="0042544F" w:rsidP="009B51C2">
      <w:pPr>
        <w:spacing w:after="0"/>
        <w:rPr>
          <w:rFonts w:ascii="Verdana" w:hAnsi="Verdana"/>
          <w:b/>
          <w:sz w:val="18"/>
          <w:szCs w:val="18"/>
        </w:rPr>
      </w:pPr>
    </w:p>
    <w:p w:rsidR="00CD150F" w:rsidRPr="0004678F" w:rsidRDefault="00CD150F" w:rsidP="009B51C2">
      <w:pPr>
        <w:spacing w:after="0"/>
        <w:rPr>
          <w:rFonts w:ascii="Verdana" w:hAnsi="Verdana"/>
          <w:b/>
          <w:sz w:val="18"/>
          <w:szCs w:val="18"/>
        </w:rPr>
      </w:pPr>
      <w:r w:rsidRPr="0004678F">
        <w:rPr>
          <w:rFonts w:ascii="Verdana" w:hAnsi="Verdana"/>
          <w:b/>
          <w:sz w:val="18"/>
          <w:szCs w:val="18"/>
        </w:rPr>
        <w:t>VOORSTEL VAN WET</w:t>
      </w:r>
    </w:p>
    <w:p w:rsidR="00CD150F" w:rsidRPr="0004678F" w:rsidRDefault="00CD150F" w:rsidP="009B51C2">
      <w:pPr>
        <w:spacing w:after="0"/>
        <w:rPr>
          <w:rFonts w:ascii="Verdana" w:hAnsi="Verdana"/>
          <w:sz w:val="18"/>
          <w:szCs w:val="18"/>
        </w:rPr>
      </w:pPr>
    </w:p>
    <w:p w:rsidR="00CD150F" w:rsidRPr="0004678F" w:rsidRDefault="00CD150F" w:rsidP="009B51C2">
      <w:pPr>
        <w:spacing w:after="0"/>
        <w:rPr>
          <w:rFonts w:ascii="Verdana" w:hAnsi="Verdana"/>
          <w:sz w:val="18"/>
          <w:szCs w:val="18"/>
        </w:rPr>
      </w:pPr>
      <w:r w:rsidRPr="0004678F">
        <w:rPr>
          <w:rFonts w:ascii="Verdana" w:hAnsi="Verdana"/>
          <w:sz w:val="18"/>
          <w:szCs w:val="18"/>
        </w:rPr>
        <w:t>Wij Willem-Alexander, bij de gratie Gods, Koning der Nederlanden, Prins van Oranje-Nassau, enz. enz. enz.</w:t>
      </w:r>
    </w:p>
    <w:p w:rsidR="0092430C" w:rsidRPr="0004678F" w:rsidRDefault="0092430C" w:rsidP="009B51C2">
      <w:pPr>
        <w:spacing w:after="0"/>
        <w:rPr>
          <w:rFonts w:ascii="Verdana" w:hAnsi="Verdana"/>
          <w:sz w:val="18"/>
          <w:szCs w:val="18"/>
        </w:rPr>
      </w:pPr>
    </w:p>
    <w:p w:rsidR="00CD150F" w:rsidRPr="0004678F" w:rsidRDefault="0092430C" w:rsidP="009B51C2">
      <w:pPr>
        <w:spacing w:after="0"/>
        <w:rPr>
          <w:rFonts w:ascii="Verdana" w:hAnsi="Verdana"/>
          <w:sz w:val="18"/>
          <w:szCs w:val="18"/>
        </w:rPr>
      </w:pPr>
      <w:r w:rsidRPr="0004678F">
        <w:rPr>
          <w:rFonts w:ascii="Verdana" w:hAnsi="Verdana"/>
          <w:sz w:val="18"/>
          <w:szCs w:val="18"/>
        </w:rPr>
        <w:t>A</w:t>
      </w:r>
      <w:r w:rsidR="00CD150F" w:rsidRPr="0004678F">
        <w:rPr>
          <w:rFonts w:ascii="Verdana" w:hAnsi="Verdana"/>
          <w:sz w:val="18"/>
          <w:szCs w:val="18"/>
        </w:rPr>
        <w:t>llen, die deze zullen zien of horen lezen, saluut! doen te weten:</w:t>
      </w:r>
    </w:p>
    <w:p w:rsidR="0092430C" w:rsidRPr="0004678F" w:rsidRDefault="0092430C" w:rsidP="009B51C2">
      <w:pPr>
        <w:spacing w:after="0"/>
        <w:rPr>
          <w:rFonts w:ascii="Verdana" w:hAnsi="Verdana"/>
          <w:sz w:val="18"/>
          <w:szCs w:val="18"/>
        </w:rPr>
      </w:pPr>
    </w:p>
    <w:p w:rsidR="00CD150F" w:rsidRPr="0004678F" w:rsidRDefault="00CD150F" w:rsidP="009B51C2">
      <w:pPr>
        <w:spacing w:after="0"/>
        <w:rPr>
          <w:rFonts w:ascii="Verdana" w:hAnsi="Verdana"/>
          <w:sz w:val="18"/>
          <w:szCs w:val="18"/>
        </w:rPr>
      </w:pPr>
      <w:r w:rsidRPr="0004678F">
        <w:rPr>
          <w:rFonts w:ascii="Verdana" w:hAnsi="Verdana"/>
          <w:sz w:val="18"/>
          <w:szCs w:val="18"/>
        </w:rPr>
        <w:t xml:space="preserve">Alzo Wij in overweging genomen hebben, dat de noodzaak is gebleken van een wijziging van de departementale begrotingsstaat van het </w:t>
      </w:r>
      <w:r w:rsidR="00611B17" w:rsidRPr="0004678F">
        <w:rPr>
          <w:rFonts w:ascii="Verdana" w:hAnsi="Verdana"/>
          <w:sz w:val="18"/>
          <w:szCs w:val="18"/>
        </w:rPr>
        <w:t>Ministerie van Infrastructuur en Milieu (XII) en van de begrotingsstaat inzake de agentschappen van dit ministerie</w:t>
      </w:r>
      <w:r w:rsidR="0092430C" w:rsidRPr="0004678F">
        <w:rPr>
          <w:rFonts w:ascii="Verdana" w:hAnsi="Verdana"/>
          <w:sz w:val="18"/>
          <w:szCs w:val="18"/>
        </w:rPr>
        <w:t>, alle voor het jaar v</w:t>
      </w:r>
      <w:r w:rsidRPr="0004678F">
        <w:rPr>
          <w:rFonts w:ascii="Verdana" w:hAnsi="Verdana"/>
          <w:sz w:val="18"/>
          <w:szCs w:val="18"/>
        </w:rPr>
        <w:t>oor het jaar 201</w:t>
      </w:r>
      <w:r w:rsidR="00935DCC">
        <w:rPr>
          <w:rFonts w:ascii="Verdana" w:hAnsi="Verdana"/>
          <w:sz w:val="18"/>
          <w:szCs w:val="18"/>
        </w:rPr>
        <w:t>7</w:t>
      </w:r>
      <w:r w:rsidR="00403579" w:rsidRPr="0004678F">
        <w:rPr>
          <w:rFonts w:ascii="Verdana" w:hAnsi="Verdana"/>
          <w:sz w:val="18"/>
          <w:szCs w:val="18"/>
        </w:rPr>
        <w:t>.</w:t>
      </w:r>
    </w:p>
    <w:p w:rsidR="0092430C" w:rsidRPr="0004678F" w:rsidRDefault="0092430C" w:rsidP="009B51C2">
      <w:pPr>
        <w:spacing w:after="0"/>
        <w:rPr>
          <w:rFonts w:ascii="Verdana" w:hAnsi="Verdana"/>
          <w:sz w:val="18"/>
          <w:szCs w:val="18"/>
        </w:rPr>
      </w:pPr>
    </w:p>
    <w:p w:rsidR="00CD150F" w:rsidRPr="0004678F" w:rsidRDefault="00CD150F" w:rsidP="009B51C2">
      <w:pPr>
        <w:spacing w:after="0"/>
        <w:rPr>
          <w:rFonts w:ascii="Verdana" w:hAnsi="Verdana"/>
          <w:sz w:val="18"/>
          <w:szCs w:val="18"/>
        </w:rPr>
      </w:pPr>
      <w:r w:rsidRPr="0004678F">
        <w:rPr>
          <w:rFonts w:ascii="Verdana" w:hAnsi="Verdana"/>
          <w:sz w:val="18"/>
          <w:szCs w:val="18"/>
        </w:rPr>
        <w:t>Zo is het, dat Wij, met gemeen overleg der Staten-Generaal, hebben goedgevonden en verstaan, gelijk Wij goedvinden en verstaan bij deze:</w:t>
      </w:r>
    </w:p>
    <w:p w:rsidR="006912C3" w:rsidRPr="0004678F" w:rsidRDefault="006912C3" w:rsidP="009B51C2">
      <w:pPr>
        <w:spacing w:after="0"/>
        <w:rPr>
          <w:rFonts w:ascii="Verdana" w:hAnsi="Verdana"/>
          <w:b/>
          <w:sz w:val="18"/>
          <w:szCs w:val="18"/>
        </w:rPr>
      </w:pPr>
    </w:p>
    <w:p w:rsidR="00CD150F" w:rsidRPr="0004678F" w:rsidRDefault="00CD150F" w:rsidP="009B51C2">
      <w:pPr>
        <w:spacing w:after="0"/>
        <w:rPr>
          <w:rFonts w:ascii="Verdana" w:hAnsi="Verdana"/>
          <w:b/>
          <w:sz w:val="18"/>
          <w:szCs w:val="18"/>
        </w:rPr>
      </w:pPr>
      <w:r w:rsidRPr="0004678F">
        <w:rPr>
          <w:rFonts w:ascii="Verdana" w:hAnsi="Verdana"/>
          <w:b/>
          <w:sz w:val="18"/>
          <w:szCs w:val="18"/>
        </w:rPr>
        <w:t>Artikel 1</w:t>
      </w:r>
    </w:p>
    <w:p w:rsidR="00CD150F" w:rsidRPr="0004678F" w:rsidRDefault="00CD150F" w:rsidP="009B51C2">
      <w:pPr>
        <w:spacing w:after="0"/>
        <w:rPr>
          <w:rFonts w:ascii="Verdana" w:hAnsi="Verdana"/>
          <w:sz w:val="18"/>
          <w:szCs w:val="18"/>
        </w:rPr>
      </w:pPr>
      <w:r w:rsidRPr="0004678F">
        <w:rPr>
          <w:rFonts w:ascii="Verdana" w:hAnsi="Verdana"/>
          <w:sz w:val="18"/>
          <w:szCs w:val="18"/>
        </w:rPr>
        <w:t xml:space="preserve">De departementale begrotingsstaat van het </w:t>
      </w:r>
      <w:r w:rsidR="00611B17" w:rsidRPr="0004678F">
        <w:rPr>
          <w:rFonts w:ascii="Verdana" w:hAnsi="Verdana"/>
          <w:sz w:val="18"/>
          <w:szCs w:val="18"/>
        </w:rPr>
        <w:t xml:space="preserve">Ministerie van Infrastructuur en Milieu (XII) </w:t>
      </w:r>
      <w:r w:rsidRPr="0004678F">
        <w:rPr>
          <w:rFonts w:ascii="Verdana" w:hAnsi="Verdana"/>
          <w:sz w:val="18"/>
          <w:szCs w:val="18"/>
        </w:rPr>
        <w:t>voor het jaar 201</w:t>
      </w:r>
      <w:r w:rsidR="00403579" w:rsidRPr="0004678F">
        <w:rPr>
          <w:rFonts w:ascii="Verdana" w:hAnsi="Verdana"/>
          <w:sz w:val="18"/>
          <w:szCs w:val="18"/>
        </w:rPr>
        <w:t>6</w:t>
      </w:r>
      <w:r w:rsidRPr="0004678F">
        <w:rPr>
          <w:rFonts w:ascii="Verdana" w:hAnsi="Verdana"/>
          <w:sz w:val="18"/>
          <w:szCs w:val="18"/>
        </w:rPr>
        <w:t xml:space="preserve"> wordt gewijzigd, zoals blijkt uit de bij deze wet behorende staat.</w:t>
      </w:r>
    </w:p>
    <w:p w:rsidR="006912C3" w:rsidRPr="0004678F" w:rsidRDefault="006912C3" w:rsidP="009B51C2">
      <w:pPr>
        <w:spacing w:after="0"/>
        <w:rPr>
          <w:rFonts w:ascii="Verdana" w:hAnsi="Verdana"/>
          <w:b/>
          <w:sz w:val="18"/>
          <w:szCs w:val="18"/>
        </w:rPr>
      </w:pPr>
    </w:p>
    <w:p w:rsidR="00611B17" w:rsidRPr="0004678F" w:rsidRDefault="00611B17" w:rsidP="009B51C2">
      <w:pPr>
        <w:spacing w:after="0"/>
        <w:rPr>
          <w:rFonts w:ascii="Verdana" w:hAnsi="Verdana"/>
          <w:b/>
          <w:sz w:val="18"/>
          <w:szCs w:val="18"/>
        </w:rPr>
      </w:pPr>
      <w:r w:rsidRPr="0004678F">
        <w:rPr>
          <w:rFonts w:ascii="Verdana" w:hAnsi="Verdana"/>
          <w:b/>
          <w:sz w:val="18"/>
          <w:szCs w:val="18"/>
        </w:rPr>
        <w:t xml:space="preserve">Artikel 2 </w:t>
      </w:r>
    </w:p>
    <w:p w:rsidR="00611B17" w:rsidRPr="0004678F" w:rsidRDefault="00611B17" w:rsidP="009B51C2">
      <w:pPr>
        <w:spacing w:after="0"/>
        <w:rPr>
          <w:rFonts w:ascii="Verdana" w:hAnsi="Verdana"/>
          <w:sz w:val="18"/>
          <w:szCs w:val="18"/>
        </w:rPr>
      </w:pPr>
      <w:r w:rsidRPr="0004678F">
        <w:rPr>
          <w:rFonts w:ascii="Verdana" w:hAnsi="Verdana"/>
          <w:sz w:val="18"/>
          <w:szCs w:val="18"/>
        </w:rPr>
        <w:t>De begrotingsstaat inzake agentschappen voor het jaar 201</w:t>
      </w:r>
      <w:r w:rsidR="00935DCC">
        <w:rPr>
          <w:rFonts w:ascii="Verdana" w:hAnsi="Verdana"/>
          <w:sz w:val="18"/>
          <w:szCs w:val="18"/>
        </w:rPr>
        <w:t>7</w:t>
      </w:r>
      <w:r w:rsidRPr="0004678F">
        <w:rPr>
          <w:rFonts w:ascii="Verdana" w:hAnsi="Verdana"/>
          <w:sz w:val="18"/>
          <w:szCs w:val="18"/>
        </w:rPr>
        <w:t xml:space="preserve"> wordt gewijzigd, zoals blijkt uit de desbetreffende bij deze wet behorende staat. </w:t>
      </w:r>
    </w:p>
    <w:p w:rsidR="006912C3" w:rsidRPr="0004678F" w:rsidRDefault="006912C3" w:rsidP="009B51C2">
      <w:pPr>
        <w:spacing w:after="0"/>
        <w:rPr>
          <w:rFonts w:ascii="Verdana" w:hAnsi="Verdana"/>
          <w:b/>
          <w:sz w:val="18"/>
          <w:szCs w:val="18"/>
        </w:rPr>
      </w:pPr>
    </w:p>
    <w:p w:rsidR="00CD150F" w:rsidRPr="0004678F" w:rsidRDefault="00611B17" w:rsidP="009B51C2">
      <w:pPr>
        <w:spacing w:after="0"/>
        <w:rPr>
          <w:rFonts w:ascii="Verdana" w:hAnsi="Verdana"/>
          <w:b/>
          <w:sz w:val="18"/>
          <w:szCs w:val="18"/>
        </w:rPr>
      </w:pPr>
      <w:r w:rsidRPr="0004678F">
        <w:rPr>
          <w:rFonts w:ascii="Verdana" w:hAnsi="Verdana"/>
          <w:b/>
          <w:sz w:val="18"/>
          <w:szCs w:val="18"/>
        </w:rPr>
        <w:t>Artikel 3</w:t>
      </w:r>
      <w:r w:rsidR="0094110F" w:rsidRPr="0004678F">
        <w:rPr>
          <w:rFonts w:ascii="Verdana" w:hAnsi="Verdana"/>
          <w:b/>
          <w:sz w:val="18"/>
          <w:szCs w:val="18"/>
        </w:rPr>
        <w:tab/>
      </w:r>
    </w:p>
    <w:p w:rsidR="00CD150F" w:rsidRPr="0004678F" w:rsidRDefault="00CD150F" w:rsidP="009B51C2">
      <w:pPr>
        <w:spacing w:after="0"/>
        <w:rPr>
          <w:rFonts w:ascii="Verdana" w:hAnsi="Verdana"/>
          <w:sz w:val="18"/>
          <w:szCs w:val="18"/>
        </w:rPr>
      </w:pPr>
      <w:r w:rsidRPr="0004678F">
        <w:rPr>
          <w:rFonts w:ascii="Verdana" w:hAnsi="Verdana"/>
          <w:sz w:val="18"/>
          <w:szCs w:val="18"/>
        </w:rPr>
        <w:t xml:space="preserve">De vaststelling van </w:t>
      </w:r>
      <w:r w:rsidR="00403579" w:rsidRPr="0004678F">
        <w:rPr>
          <w:rFonts w:ascii="Verdana" w:hAnsi="Verdana"/>
          <w:sz w:val="18"/>
          <w:szCs w:val="18"/>
        </w:rPr>
        <w:t>de</w:t>
      </w:r>
      <w:r w:rsidR="00611B17" w:rsidRPr="0004678F">
        <w:rPr>
          <w:rFonts w:ascii="Verdana" w:hAnsi="Verdana"/>
          <w:sz w:val="18"/>
          <w:szCs w:val="18"/>
        </w:rPr>
        <w:t xml:space="preserve"> begrotingssta</w:t>
      </w:r>
      <w:r w:rsidRPr="0004678F">
        <w:rPr>
          <w:rFonts w:ascii="Verdana" w:hAnsi="Verdana"/>
          <w:sz w:val="18"/>
          <w:szCs w:val="18"/>
        </w:rPr>
        <w:t>t</w:t>
      </w:r>
      <w:r w:rsidR="00611B17" w:rsidRPr="0004678F">
        <w:rPr>
          <w:rFonts w:ascii="Verdana" w:hAnsi="Verdana"/>
          <w:sz w:val="18"/>
          <w:szCs w:val="18"/>
        </w:rPr>
        <w:t>en</w:t>
      </w:r>
      <w:r w:rsidRPr="0004678F">
        <w:rPr>
          <w:rFonts w:ascii="Verdana" w:hAnsi="Verdana"/>
          <w:sz w:val="18"/>
          <w:szCs w:val="18"/>
        </w:rPr>
        <w:t xml:space="preserve"> geschiedt in duizenden euro’s.</w:t>
      </w:r>
    </w:p>
    <w:p w:rsidR="006912C3" w:rsidRPr="0004678F" w:rsidRDefault="006912C3" w:rsidP="009B51C2">
      <w:pPr>
        <w:spacing w:after="0"/>
        <w:rPr>
          <w:rFonts w:ascii="Verdana" w:hAnsi="Verdana"/>
          <w:b/>
          <w:sz w:val="18"/>
          <w:szCs w:val="18"/>
          <w:vertAlign w:val="subscript"/>
        </w:rPr>
      </w:pPr>
    </w:p>
    <w:p w:rsidR="00CD150F" w:rsidRPr="0004678F" w:rsidRDefault="00CD150F" w:rsidP="009B51C2">
      <w:pPr>
        <w:spacing w:after="0"/>
        <w:rPr>
          <w:rFonts w:ascii="Verdana" w:hAnsi="Verdana"/>
          <w:b/>
          <w:sz w:val="18"/>
          <w:szCs w:val="18"/>
        </w:rPr>
      </w:pPr>
      <w:r w:rsidRPr="0004678F">
        <w:rPr>
          <w:rFonts w:ascii="Verdana" w:hAnsi="Verdana"/>
          <w:b/>
          <w:sz w:val="18"/>
          <w:szCs w:val="18"/>
        </w:rPr>
        <w:t xml:space="preserve">Artikel </w:t>
      </w:r>
      <w:r w:rsidR="00611B17" w:rsidRPr="0004678F">
        <w:rPr>
          <w:rFonts w:ascii="Verdana" w:hAnsi="Verdana"/>
          <w:b/>
          <w:sz w:val="18"/>
          <w:szCs w:val="18"/>
        </w:rPr>
        <w:t>4</w:t>
      </w:r>
    </w:p>
    <w:p w:rsidR="00CD150F" w:rsidRPr="0004678F" w:rsidRDefault="00CD150F" w:rsidP="009B51C2">
      <w:pPr>
        <w:spacing w:after="0"/>
        <w:rPr>
          <w:rFonts w:ascii="Verdana" w:hAnsi="Verdana"/>
          <w:sz w:val="18"/>
          <w:szCs w:val="18"/>
        </w:rPr>
      </w:pPr>
      <w:r w:rsidRPr="0004678F">
        <w:rPr>
          <w:rFonts w:ascii="Verdana" w:hAnsi="Verdana"/>
          <w:sz w:val="18"/>
          <w:szCs w:val="18"/>
        </w:rPr>
        <w:t>Deze wet treedt in werking met ingang van 1 juni van het onderhavige begrotingsjaar. Indien het Staatsblad waarin deze wet wordt geplaatst, wordt uitgegeven op of na de datum van 1 juni, dan treedt zij in werking met ingang van de dag na de datum van uitgifte van dat Staatsblad en werkt zij terug tot en met 1 juni van het onderhavige begrotingsjaar.</w:t>
      </w:r>
    </w:p>
    <w:p w:rsidR="0092430C" w:rsidRPr="0004678F" w:rsidRDefault="0092430C" w:rsidP="009B51C2">
      <w:pPr>
        <w:spacing w:after="0"/>
        <w:rPr>
          <w:rFonts w:ascii="Verdana" w:hAnsi="Verdana"/>
          <w:sz w:val="18"/>
          <w:szCs w:val="18"/>
        </w:rPr>
      </w:pPr>
    </w:p>
    <w:p w:rsidR="00CD150F" w:rsidRPr="0004678F" w:rsidRDefault="00CD150F" w:rsidP="009B51C2">
      <w:pPr>
        <w:spacing w:after="0"/>
        <w:rPr>
          <w:rFonts w:ascii="Verdana" w:hAnsi="Verdana"/>
          <w:sz w:val="18"/>
          <w:szCs w:val="18"/>
        </w:rPr>
      </w:pPr>
      <w:r w:rsidRPr="0004678F">
        <w:rPr>
          <w:rFonts w:ascii="Verdana" w:hAnsi="Verdana"/>
          <w:sz w:val="18"/>
          <w:szCs w:val="18"/>
        </w:rPr>
        <w:t>Lasten en bevelen dat deze in het Staatsblad zal worden geplaatst en dat alle ministeries, autoriteiten, colleges en ambtenaren</w:t>
      </w:r>
      <w:r w:rsidR="00403579" w:rsidRPr="0004678F">
        <w:rPr>
          <w:rFonts w:ascii="Verdana" w:hAnsi="Verdana"/>
          <w:sz w:val="18"/>
          <w:szCs w:val="18"/>
        </w:rPr>
        <w:t xml:space="preserve"> d</w:t>
      </w:r>
      <w:r w:rsidRPr="0004678F">
        <w:rPr>
          <w:rFonts w:ascii="Verdana" w:hAnsi="Verdana"/>
          <w:sz w:val="18"/>
          <w:szCs w:val="18"/>
        </w:rPr>
        <w:t>ie zulks aangaat, aan de nauwkeurige uitvoering de hand zullen houden.</w:t>
      </w:r>
    </w:p>
    <w:p w:rsidR="00CD150F" w:rsidRPr="0004678F" w:rsidRDefault="00CD150F" w:rsidP="009B51C2">
      <w:pPr>
        <w:spacing w:after="0"/>
        <w:rPr>
          <w:rFonts w:ascii="Verdana" w:hAnsi="Verdana"/>
          <w:sz w:val="18"/>
          <w:szCs w:val="18"/>
        </w:rPr>
      </w:pPr>
    </w:p>
    <w:p w:rsidR="00CD150F" w:rsidRPr="0004678F" w:rsidRDefault="00CD150F" w:rsidP="009B51C2">
      <w:pPr>
        <w:spacing w:after="0"/>
        <w:rPr>
          <w:rFonts w:ascii="Verdana" w:hAnsi="Verdana"/>
          <w:sz w:val="18"/>
          <w:szCs w:val="18"/>
        </w:rPr>
      </w:pPr>
      <w:r w:rsidRPr="0004678F">
        <w:rPr>
          <w:rFonts w:ascii="Verdana" w:hAnsi="Verdana"/>
          <w:sz w:val="18"/>
          <w:szCs w:val="18"/>
        </w:rPr>
        <w:t xml:space="preserve">Gegeven </w:t>
      </w:r>
    </w:p>
    <w:p w:rsidR="00CD150F" w:rsidRPr="0004678F" w:rsidRDefault="00CD150F" w:rsidP="009B51C2">
      <w:pPr>
        <w:spacing w:after="0"/>
        <w:rPr>
          <w:rFonts w:ascii="Verdana" w:hAnsi="Verdana"/>
          <w:sz w:val="18"/>
          <w:szCs w:val="18"/>
        </w:rPr>
      </w:pPr>
    </w:p>
    <w:p w:rsidR="00CD150F" w:rsidRPr="0004678F" w:rsidRDefault="00CD150F" w:rsidP="009B51C2">
      <w:pPr>
        <w:spacing w:after="0"/>
        <w:rPr>
          <w:rFonts w:ascii="Verdana" w:hAnsi="Verdana"/>
          <w:sz w:val="18"/>
          <w:szCs w:val="18"/>
        </w:rPr>
      </w:pPr>
      <w:r w:rsidRPr="0004678F">
        <w:rPr>
          <w:rFonts w:ascii="Verdana" w:hAnsi="Verdana"/>
          <w:sz w:val="18"/>
          <w:szCs w:val="18"/>
        </w:rPr>
        <w:t>De Minist</w:t>
      </w:r>
      <w:r w:rsidR="0092430C" w:rsidRPr="0004678F">
        <w:rPr>
          <w:rFonts w:ascii="Verdana" w:hAnsi="Verdana"/>
          <w:sz w:val="18"/>
          <w:szCs w:val="18"/>
        </w:rPr>
        <w:t>er van Infrastructuur en Milieu.</w:t>
      </w:r>
    </w:p>
    <w:p w:rsidR="0092430C" w:rsidRPr="0004678F" w:rsidRDefault="0092430C" w:rsidP="009B51C2">
      <w:pPr>
        <w:rPr>
          <w:rFonts w:ascii="Verdana" w:hAnsi="Verdana"/>
          <w:sz w:val="18"/>
          <w:szCs w:val="18"/>
        </w:rPr>
        <w:sectPr w:rsidR="0092430C" w:rsidRPr="0004678F" w:rsidSect="00A17C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4678F">
        <w:rPr>
          <w:rFonts w:ascii="Verdana" w:hAnsi="Verdana"/>
          <w:sz w:val="18"/>
          <w:szCs w:val="18"/>
        </w:rPr>
        <w:br w:type="page"/>
      </w:r>
    </w:p>
    <w:p w:rsidR="009D1045" w:rsidRPr="0004678F" w:rsidRDefault="000D2019" w:rsidP="009B51C2">
      <w:pPr>
        <w:spacing w:after="0"/>
        <w:rPr>
          <w:rFonts w:ascii="Verdana" w:hAnsi="Verdana"/>
          <w:b/>
          <w:sz w:val="18"/>
          <w:szCs w:val="18"/>
        </w:rPr>
      </w:pPr>
      <w:r w:rsidRPr="0004678F">
        <w:rPr>
          <w:rFonts w:ascii="Verdana" w:hAnsi="Verdana"/>
          <w:b/>
          <w:sz w:val="18"/>
          <w:szCs w:val="18"/>
        </w:rPr>
        <w:lastRenderedPageBreak/>
        <w:t xml:space="preserve">Wijziging van de begrotingsstaat van het </w:t>
      </w:r>
      <w:r w:rsidR="00611B17" w:rsidRPr="0004678F">
        <w:rPr>
          <w:rFonts w:ascii="Verdana" w:hAnsi="Verdana"/>
          <w:b/>
          <w:sz w:val="18"/>
          <w:szCs w:val="18"/>
        </w:rPr>
        <w:t xml:space="preserve">Ministerie van Infrastructuur en Milieu (XII) </w:t>
      </w:r>
      <w:r w:rsidRPr="0004678F">
        <w:rPr>
          <w:rFonts w:ascii="Verdana" w:hAnsi="Verdana"/>
          <w:b/>
          <w:sz w:val="18"/>
          <w:szCs w:val="18"/>
        </w:rPr>
        <w:t xml:space="preserve"> voor het jaar 201</w:t>
      </w:r>
      <w:r w:rsidR="00935DCC">
        <w:rPr>
          <w:rFonts w:ascii="Verdana" w:hAnsi="Verdana"/>
          <w:b/>
          <w:sz w:val="18"/>
          <w:szCs w:val="18"/>
        </w:rPr>
        <w:t>7</w:t>
      </w:r>
      <w:r w:rsidRPr="0004678F">
        <w:rPr>
          <w:rFonts w:ascii="Verdana" w:hAnsi="Verdana"/>
          <w:sz w:val="18"/>
          <w:szCs w:val="18"/>
        </w:rPr>
        <w:t xml:space="preserve"> </w:t>
      </w:r>
      <w:r w:rsidR="009D1045" w:rsidRPr="0004678F">
        <w:rPr>
          <w:rFonts w:ascii="Verdana" w:hAnsi="Verdana"/>
          <w:b/>
          <w:sz w:val="18"/>
          <w:szCs w:val="18"/>
        </w:rPr>
        <w:t>(Eerste suppletoire begroting)</w:t>
      </w:r>
      <w:r w:rsidR="00935DCC">
        <w:rPr>
          <w:rFonts w:ascii="Verdana" w:hAnsi="Verdana"/>
          <w:b/>
          <w:sz w:val="18"/>
          <w:szCs w:val="18"/>
        </w:rPr>
        <w:t xml:space="preserve"> (Bedragen x € 1.000)</w:t>
      </w:r>
      <w:r w:rsidR="00D0627D">
        <w:rPr>
          <w:rFonts w:ascii="Verdana" w:hAnsi="Verdana"/>
          <w:b/>
          <w:sz w:val="18"/>
          <w:szCs w:val="18"/>
        </w:rPr>
        <w:t>.</w:t>
      </w:r>
    </w:p>
    <w:p w:rsidR="00EB34FC" w:rsidRPr="0004678F" w:rsidRDefault="00EB34FC" w:rsidP="009B51C2">
      <w:pPr>
        <w:spacing w:after="0"/>
        <w:rPr>
          <w:rFonts w:ascii="Verdana" w:hAnsi="Verdana"/>
          <w:b/>
          <w:sz w:val="18"/>
          <w:szCs w:val="18"/>
        </w:rPr>
      </w:pPr>
    </w:p>
    <w:p w:rsidR="004F0166" w:rsidRPr="0004678F" w:rsidRDefault="004F0166" w:rsidP="009B51C2">
      <w:pPr>
        <w:spacing w:after="0"/>
        <w:rPr>
          <w:rFonts w:ascii="Verdana" w:hAnsi="Verdana"/>
          <w:sz w:val="18"/>
          <w:szCs w:val="18"/>
        </w:rPr>
      </w:pPr>
    </w:p>
    <w:tbl>
      <w:tblPr>
        <w:tblW w:w="11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060"/>
        <w:gridCol w:w="1367"/>
        <w:gridCol w:w="1091"/>
        <w:gridCol w:w="1222"/>
        <w:gridCol w:w="1363"/>
        <w:gridCol w:w="979"/>
        <w:gridCol w:w="1218"/>
      </w:tblGrid>
      <w:tr w:rsidR="0049726A" w:rsidRPr="0049726A" w:rsidTr="0049726A">
        <w:trPr>
          <w:trHeight w:val="259"/>
        </w:trPr>
        <w:tc>
          <w:tcPr>
            <w:tcW w:w="52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> </w:t>
            </w:r>
          </w:p>
        </w:tc>
        <w:tc>
          <w:tcPr>
            <w:tcW w:w="3680" w:type="dxa"/>
            <w:gridSpan w:val="3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>(1)</w:t>
            </w:r>
          </w:p>
        </w:tc>
        <w:tc>
          <w:tcPr>
            <w:tcW w:w="3560" w:type="dxa"/>
            <w:gridSpan w:val="3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>(2)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>Art.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>Omschrijving</w:t>
            </w:r>
          </w:p>
        </w:tc>
        <w:tc>
          <w:tcPr>
            <w:tcW w:w="3680" w:type="dxa"/>
            <w:gridSpan w:val="3"/>
            <w:tcBorders>
              <w:top w:val="single" w:sz="8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>Vastgestelde begroting</w:t>
            </w:r>
          </w:p>
        </w:tc>
        <w:tc>
          <w:tcPr>
            <w:tcW w:w="3560" w:type="dxa"/>
            <w:gridSpan w:val="3"/>
            <w:tcBorders>
              <w:top w:val="single" w:sz="8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>Mutaties (+ of -)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sz w:val="16"/>
                <w:szCs w:val="16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> 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>1</w:t>
            </w:r>
            <w:r w:rsidRPr="0049726A">
              <w:rPr>
                <w:rFonts w:ascii="Verdana" w:eastAsia="Times New Roman" w:hAnsi="Verdana" w:cs="Courier New"/>
                <w:sz w:val="16"/>
                <w:szCs w:val="16"/>
                <w:vertAlign w:val="superscript"/>
              </w:rPr>
              <w:t>e</w:t>
            </w: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 xml:space="preserve"> suppletoire begroting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>Verplichtingen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>Uitgaven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>Ontvangsten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>Verplichtingen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>Uitgaven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>Ontvangsten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b/>
                <w:bCs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b/>
                <w:bCs/>
                <w:sz w:val="16"/>
                <w:szCs w:val="16"/>
              </w:rPr>
              <w:t>TOTAAL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  <w:t xml:space="preserve">7.909.599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  <w:t xml:space="preserve">7.994.424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  <w:t xml:space="preserve">246.825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b/>
                <w:bCs/>
                <w:color w:val="FF0000"/>
                <w:sz w:val="16"/>
                <w:szCs w:val="16"/>
              </w:rPr>
              <w:t xml:space="preserve">-169.773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b/>
                <w:bCs/>
                <w:color w:val="FF0000"/>
                <w:sz w:val="16"/>
                <w:szCs w:val="16"/>
              </w:rPr>
              <w:t xml:space="preserve">-122.656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  <w:t xml:space="preserve">29.137 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b/>
                <w:bCs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b/>
                <w:bCs/>
                <w:sz w:val="16"/>
                <w:szCs w:val="16"/>
              </w:rPr>
              <w:t>Beleidsartikelen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  11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>Integraal waterbeleid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60.825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56.206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3.000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FF0000"/>
                <w:sz w:val="16"/>
                <w:szCs w:val="16"/>
              </w:rPr>
              <w:t xml:space="preserve">-2.619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FF0000"/>
                <w:sz w:val="16"/>
                <w:szCs w:val="16"/>
              </w:rPr>
              <w:t xml:space="preserve">-569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43 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  13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>Ruimtelijke ontwikkeling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90.220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102.337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3.824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53.184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53.232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5.000 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  14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>Wegen en verkeersveiligheid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31.892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34.406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6.782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FF0000"/>
                <w:sz w:val="16"/>
                <w:szCs w:val="16"/>
              </w:rPr>
              <w:t xml:space="preserve">-291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11.215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  15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>OV-keten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  16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>Spoor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9.457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32.910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FF0000"/>
                <w:sz w:val="16"/>
                <w:szCs w:val="16"/>
              </w:rPr>
              <w:t xml:space="preserve">-6.832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FF0000"/>
                <w:sz w:val="16"/>
                <w:szCs w:val="16"/>
              </w:rPr>
              <w:t xml:space="preserve">-2.198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2.702 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  17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>Luchtvaart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11.956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14.049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325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FF0000"/>
                <w:sz w:val="16"/>
                <w:szCs w:val="16"/>
              </w:rPr>
              <w:t xml:space="preserve">-2.923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FF0000"/>
                <w:sz w:val="16"/>
                <w:szCs w:val="16"/>
              </w:rPr>
              <w:t xml:space="preserve">-31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833 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  18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>Scheepvaart en Havens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11.665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27.752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23.471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3.611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700 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  19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>Klimaat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60.195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61.434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226.500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14.652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17.526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3.900 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  20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>Lucht en Geluid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32.977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30.402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FF0000"/>
                <w:sz w:val="16"/>
                <w:szCs w:val="16"/>
              </w:rPr>
              <w:t xml:space="preserve">-12.074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FF0000"/>
                <w:sz w:val="16"/>
                <w:szCs w:val="16"/>
              </w:rPr>
              <w:t xml:space="preserve">-11.899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  21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>Duurzaamheid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18.871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20.900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4.031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1.649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  22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>Omgevingsveiligheid en milieurisico's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33.108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33.780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675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FF0000"/>
                <w:sz w:val="16"/>
                <w:szCs w:val="16"/>
              </w:rPr>
              <w:t xml:space="preserve">-2.881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9.587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1.757 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  23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>Meteorologie, seismologie en aardobservatie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42.586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41.719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FF0000"/>
                <w:sz w:val="16"/>
                <w:szCs w:val="16"/>
              </w:rPr>
              <w:t xml:space="preserve">-64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FF0000"/>
                <w:sz w:val="16"/>
                <w:szCs w:val="16"/>
              </w:rPr>
              <w:t xml:space="preserve">-137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  24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>Handhaving en toezicht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109.561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109.561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FF0000"/>
                <w:sz w:val="16"/>
                <w:szCs w:val="16"/>
              </w:rPr>
              <w:t xml:space="preserve">-4.912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FF0000"/>
                <w:sz w:val="16"/>
                <w:szCs w:val="16"/>
              </w:rPr>
              <w:t xml:space="preserve">-4.912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  25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>Brede doeluitkering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866.780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888.311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FF0000"/>
                <w:sz w:val="16"/>
                <w:szCs w:val="16"/>
              </w:rPr>
              <w:t xml:space="preserve">-6.299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26.738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  26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>Bijdrage investeringsfondsen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6.168.329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6.168.329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FF0000"/>
                <w:sz w:val="16"/>
                <w:szCs w:val="16"/>
              </w:rPr>
              <w:t xml:space="preserve">-485.970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FF0000"/>
                <w:sz w:val="16"/>
                <w:szCs w:val="16"/>
              </w:rPr>
              <w:t xml:space="preserve">-485.970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b/>
                <w:bCs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b/>
                <w:bCs/>
                <w:sz w:val="16"/>
                <w:szCs w:val="16"/>
              </w:rPr>
              <w:t>Niet-beleidsartikelen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  97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>Algemeen departement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43.309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50.480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2.189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101.008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98.105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  98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>Apparaatsuitgaven kerndepartement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317.847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321.827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3.530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21.945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24.596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14.202 </w:t>
            </w:r>
          </w:p>
        </w:tc>
      </w:tr>
      <w:tr w:rsidR="0049726A" w:rsidRPr="0049726A" w:rsidTr="0049726A">
        <w:trPr>
          <w:trHeight w:val="259"/>
        </w:trPr>
        <w:tc>
          <w:tcPr>
            <w:tcW w:w="52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 xml:space="preserve">  99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rPr>
                <w:rFonts w:ascii="Verdana" w:eastAsia="Times New Roman" w:hAnsi="Verdana" w:cs="Courier New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sz w:val="16"/>
                <w:szCs w:val="16"/>
              </w:rPr>
              <w:t>Nominaal en onvoorzien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21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21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136.801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136.801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49726A" w:rsidRPr="0049726A" w:rsidRDefault="0049726A" w:rsidP="0049726A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</w:pPr>
            <w:r w:rsidRPr="0049726A">
              <w:rPr>
                <w:rFonts w:ascii="Verdana" w:eastAsia="Times New Roman" w:hAnsi="Verdana" w:cs="Courier New"/>
                <w:color w:val="000000"/>
                <w:sz w:val="16"/>
                <w:szCs w:val="16"/>
              </w:rPr>
              <w:t xml:space="preserve">0 </w:t>
            </w:r>
          </w:p>
        </w:tc>
      </w:tr>
    </w:tbl>
    <w:p w:rsidR="000D2019" w:rsidRPr="0004678F" w:rsidRDefault="000D2019" w:rsidP="009B51C2">
      <w:pPr>
        <w:spacing w:after="0"/>
        <w:rPr>
          <w:rFonts w:ascii="Verdana" w:hAnsi="Verdana"/>
          <w:sz w:val="18"/>
          <w:szCs w:val="18"/>
        </w:rPr>
      </w:pPr>
    </w:p>
    <w:p w:rsidR="0092430C" w:rsidRPr="0004678F" w:rsidRDefault="0092430C" w:rsidP="009B51C2">
      <w:pPr>
        <w:spacing w:after="0"/>
        <w:rPr>
          <w:rFonts w:ascii="Verdana" w:hAnsi="Verdana"/>
          <w:sz w:val="18"/>
          <w:szCs w:val="18"/>
        </w:rPr>
      </w:pPr>
    </w:p>
    <w:p w:rsidR="005841FE" w:rsidRPr="0004678F" w:rsidRDefault="005841FE" w:rsidP="009B51C2">
      <w:pPr>
        <w:spacing w:after="0"/>
        <w:rPr>
          <w:rFonts w:ascii="Verdana" w:hAnsi="Verdana"/>
          <w:sz w:val="18"/>
          <w:szCs w:val="18"/>
        </w:rPr>
      </w:pPr>
    </w:p>
    <w:p w:rsidR="005841FE" w:rsidRPr="0004678F" w:rsidRDefault="005841FE" w:rsidP="009B51C2">
      <w:pPr>
        <w:rPr>
          <w:rFonts w:ascii="Verdana" w:hAnsi="Verdana"/>
          <w:sz w:val="18"/>
          <w:szCs w:val="18"/>
        </w:rPr>
      </w:pPr>
      <w:r w:rsidRPr="0004678F">
        <w:rPr>
          <w:rFonts w:ascii="Verdana" w:hAnsi="Verdana"/>
          <w:sz w:val="18"/>
          <w:szCs w:val="18"/>
        </w:rPr>
        <w:br w:type="page"/>
      </w:r>
    </w:p>
    <w:p w:rsidR="008D1FFD" w:rsidRPr="0004678F" w:rsidRDefault="005841FE" w:rsidP="009B51C2">
      <w:pPr>
        <w:spacing w:after="0"/>
        <w:rPr>
          <w:rFonts w:ascii="Verdana" w:hAnsi="Verdana"/>
          <w:b/>
          <w:bCs/>
          <w:sz w:val="18"/>
          <w:szCs w:val="18"/>
        </w:rPr>
      </w:pPr>
      <w:r w:rsidRPr="00550EF8">
        <w:rPr>
          <w:rFonts w:ascii="Verdana" w:hAnsi="Verdana"/>
          <w:b/>
          <w:bCs/>
          <w:sz w:val="18"/>
          <w:szCs w:val="18"/>
        </w:rPr>
        <w:lastRenderedPageBreak/>
        <w:t>Wijziging van de begrotingsstaat inzake de baten-lastenagentschappen</w:t>
      </w:r>
      <w:r w:rsidR="00D0627D">
        <w:rPr>
          <w:rFonts w:ascii="Verdana" w:hAnsi="Verdana"/>
          <w:b/>
          <w:bCs/>
          <w:sz w:val="18"/>
          <w:szCs w:val="18"/>
        </w:rPr>
        <w:t xml:space="preserve"> van het Ministerie van Infrastructuur en Milieu (XII)</w:t>
      </w:r>
      <w:r w:rsidRPr="00550EF8">
        <w:rPr>
          <w:rFonts w:ascii="Verdana" w:hAnsi="Verdana"/>
          <w:b/>
          <w:bCs/>
          <w:sz w:val="18"/>
          <w:szCs w:val="18"/>
        </w:rPr>
        <w:t xml:space="preserve"> (</w:t>
      </w:r>
      <w:r w:rsidR="00B4072B" w:rsidRPr="00550EF8">
        <w:rPr>
          <w:rFonts w:ascii="Verdana" w:hAnsi="Verdana"/>
          <w:b/>
          <w:bCs/>
          <w:sz w:val="18"/>
          <w:szCs w:val="18"/>
        </w:rPr>
        <w:t>Eerste</w:t>
      </w:r>
      <w:r w:rsidRPr="00550EF8">
        <w:rPr>
          <w:rFonts w:ascii="Verdana" w:hAnsi="Verdana"/>
          <w:b/>
          <w:bCs/>
          <w:sz w:val="18"/>
          <w:szCs w:val="18"/>
        </w:rPr>
        <w:t xml:space="preserve"> suppletoire begroting) </w:t>
      </w:r>
      <w:r w:rsidR="00935DCC" w:rsidRPr="00550EF8">
        <w:rPr>
          <w:rFonts w:ascii="Verdana" w:hAnsi="Verdana"/>
          <w:b/>
          <w:bCs/>
          <w:sz w:val="18"/>
          <w:szCs w:val="18"/>
        </w:rPr>
        <w:t>(Bedragen x 1.000)</w:t>
      </w:r>
      <w:r w:rsidR="00550EF8">
        <w:rPr>
          <w:rFonts w:ascii="Verdana" w:hAnsi="Verdana"/>
          <w:b/>
          <w:bCs/>
          <w:sz w:val="18"/>
          <w:szCs w:val="18"/>
        </w:rPr>
        <w:t>.</w:t>
      </w:r>
    </w:p>
    <w:p w:rsidR="008D1FFD" w:rsidRPr="0004678F" w:rsidRDefault="008D1FFD" w:rsidP="009B51C2">
      <w:pPr>
        <w:spacing w:after="0"/>
        <w:rPr>
          <w:rFonts w:ascii="Verdana" w:hAnsi="Verdana"/>
          <w:b/>
          <w:bCs/>
          <w:sz w:val="18"/>
          <w:szCs w:val="18"/>
        </w:rPr>
      </w:pPr>
    </w:p>
    <w:tbl>
      <w:tblPr>
        <w:tblW w:w="124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8"/>
        <w:gridCol w:w="1205"/>
        <w:gridCol w:w="1205"/>
        <w:gridCol w:w="1411"/>
        <w:gridCol w:w="1205"/>
        <w:gridCol w:w="1205"/>
        <w:gridCol w:w="1502"/>
      </w:tblGrid>
      <w:tr w:rsidR="00F46417" w:rsidRPr="00F46417" w:rsidTr="00F46417">
        <w:trPr>
          <w:trHeight w:val="330"/>
        </w:trPr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Vastgestelde begroting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Mutaties (+ of –) 1e suppletoire begroting</w:t>
            </w:r>
          </w:p>
        </w:tc>
      </w:tr>
      <w:tr w:rsidR="00F46417" w:rsidRPr="00F46417" w:rsidTr="00F46417">
        <w:trPr>
          <w:trHeight w:val="659"/>
        </w:trPr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Totaal baten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Totaal lasten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Saldo baten en lasten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Totaal baten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Totaal lasten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Saldo baten en lasten</w:t>
            </w:r>
          </w:p>
        </w:tc>
      </w:tr>
      <w:tr w:rsidR="00F46417" w:rsidRPr="00F46417" w:rsidTr="00F46417">
        <w:trPr>
          <w:trHeight w:val="33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Rijkswaterstaat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2.381.830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2.372.830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9.000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3231E4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339.383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3231E4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339.383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46417" w:rsidRPr="00F46417" w:rsidTr="00F46417">
        <w:trPr>
          <w:trHeight w:val="33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Inspectie Leefomgeving en Transport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145.740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145.740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-4.912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-4.912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46417" w:rsidRPr="00F46417" w:rsidTr="00F46417">
        <w:trPr>
          <w:trHeight w:val="33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Koninklijk Nederlands Meteorologisch Instituut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70.227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70.227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46417" w:rsidRPr="00F46417" w:rsidTr="00F46417">
        <w:trPr>
          <w:trHeight w:val="33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Nederlandse Emissieautoriteit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7.108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7.108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1.072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1.072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46417" w:rsidRPr="00F46417" w:rsidTr="00F46417">
        <w:trPr>
          <w:trHeight w:val="330"/>
        </w:trPr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Totaal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2.604.905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2.595.905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9.000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3231E4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336.191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3231E4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336.191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:rsidR="008D1FFD" w:rsidRPr="0004678F" w:rsidRDefault="008D1FFD" w:rsidP="009B51C2">
      <w:pPr>
        <w:spacing w:after="0"/>
        <w:rPr>
          <w:rFonts w:ascii="Verdana" w:hAnsi="Verdana"/>
          <w:sz w:val="18"/>
          <w:szCs w:val="18"/>
        </w:rPr>
      </w:pPr>
    </w:p>
    <w:p w:rsidR="008D1FFD" w:rsidRPr="0004678F" w:rsidRDefault="008D1FFD" w:rsidP="009B51C2">
      <w:pPr>
        <w:spacing w:after="0"/>
        <w:rPr>
          <w:rFonts w:ascii="Verdana" w:hAnsi="Verdana"/>
          <w:sz w:val="18"/>
          <w:szCs w:val="18"/>
        </w:rPr>
      </w:pPr>
    </w:p>
    <w:tbl>
      <w:tblPr>
        <w:tblW w:w="124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4"/>
        <w:gridCol w:w="1531"/>
        <w:gridCol w:w="1568"/>
        <w:gridCol w:w="1784"/>
        <w:gridCol w:w="1568"/>
      </w:tblGrid>
      <w:tr w:rsidR="00F46417" w:rsidRPr="00F46417" w:rsidTr="00F46417">
        <w:trPr>
          <w:trHeight w:val="655"/>
        </w:trPr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417" w:rsidRPr="00F46417" w:rsidRDefault="00F46417" w:rsidP="00F4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Vastgestelde begroting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Mutaties (+ of –) 1e suppletoire begroting</w:t>
            </w:r>
          </w:p>
        </w:tc>
      </w:tr>
      <w:tr w:rsidR="00F46417" w:rsidRPr="00F46417" w:rsidTr="00F46417">
        <w:trPr>
          <w:trHeight w:val="898"/>
        </w:trPr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Totaal kapitaal uitgaven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Totaal kapitaal ontvangsten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Totaal kapitaal uitgaven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Totaal kapitaal ontvangsten</w:t>
            </w:r>
          </w:p>
        </w:tc>
      </w:tr>
      <w:tr w:rsidR="00F46417" w:rsidRPr="00F46417" w:rsidTr="00F46417">
        <w:trPr>
          <w:trHeight w:val="299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Rijkswaterstaat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63.400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47.200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32.507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46417" w:rsidRPr="00F46417" w:rsidTr="00F46417">
        <w:trPr>
          <w:trHeight w:val="299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Inspectie Leefomgeving en Transport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4.765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46417" w:rsidRPr="00F46417" w:rsidTr="00F46417">
        <w:trPr>
          <w:trHeight w:val="299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Koninklijk Nederlands Meteorologisch Instituut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4.293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3.927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1.331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1.697</w:t>
            </w:r>
          </w:p>
        </w:tc>
      </w:tr>
      <w:tr w:rsidR="00F46417" w:rsidRPr="00F46417" w:rsidTr="00F46417">
        <w:trPr>
          <w:trHeight w:val="299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Nederlandse Emissieautoriteit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750</w:t>
            </w:r>
          </w:p>
        </w:tc>
      </w:tr>
      <w:tr w:rsidR="00F46417" w:rsidRPr="00F46417" w:rsidTr="00F46417">
        <w:trPr>
          <w:trHeight w:val="299"/>
        </w:trPr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417" w:rsidRPr="00F46417" w:rsidRDefault="00F46417" w:rsidP="00F46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Totaal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68.983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51.634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39.242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417" w:rsidRPr="00F46417" w:rsidRDefault="00F46417" w:rsidP="00F46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6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2.447</w:t>
            </w:r>
          </w:p>
        </w:tc>
      </w:tr>
    </w:tbl>
    <w:p w:rsidR="008D1FFD" w:rsidRPr="0004678F" w:rsidRDefault="008D1FFD" w:rsidP="009B51C2">
      <w:pPr>
        <w:spacing w:after="0"/>
        <w:rPr>
          <w:rFonts w:ascii="Verdana" w:hAnsi="Verdana"/>
          <w:sz w:val="18"/>
          <w:szCs w:val="18"/>
        </w:rPr>
      </w:pPr>
    </w:p>
    <w:p w:rsidR="00C62FB4" w:rsidRDefault="00C62FB4" w:rsidP="009B51C2">
      <w:pPr>
        <w:spacing w:after="0"/>
        <w:rPr>
          <w:rFonts w:ascii="Verdana" w:hAnsi="Verdana"/>
          <w:sz w:val="18"/>
          <w:szCs w:val="18"/>
        </w:rPr>
      </w:pPr>
    </w:p>
    <w:p w:rsidR="00C62FB4" w:rsidRDefault="00C62FB4" w:rsidP="009B51C2">
      <w:pPr>
        <w:spacing w:after="0"/>
        <w:rPr>
          <w:rFonts w:ascii="Verdana" w:hAnsi="Verdana"/>
          <w:sz w:val="18"/>
          <w:szCs w:val="18"/>
        </w:rPr>
      </w:pPr>
    </w:p>
    <w:p w:rsidR="005841FE" w:rsidRPr="0004678F" w:rsidRDefault="005841FE" w:rsidP="009B51C2">
      <w:pPr>
        <w:spacing w:after="0"/>
        <w:rPr>
          <w:rFonts w:ascii="Verdana" w:hAnsi="Verdana"/>
          <w:sz w:val="18"/>
          <w:szCs w:val="18"/>
        </w:rPr>
      </w:pPr>
    </w:p>
    <w:p w:rsidR="005841FE" w:rsidRDefault="005841FE" w:rsidP="009B51C2">
      <w:pPr>
        <w:spacing w:after="0"/>
        <w:rPr>
          <w:rFonts w:ascii="Verdana" w:hAnsi="Verdana"/>
          <w:sz w:val="18"/>
          <w:szCs w:val="18"/>
        </w:rPr>
      </w:pPr>
    </w:p>
    <w:p w:rsidR="00C62FB4" w:rsidRDefault="00C62FB4" w:rsidP="009B51C2">
      <w:pPr>
        <w:spacing w:after="0"/>
        <w:rPr>
          <w:rFonts w:ascii="Verdana" w:hAnsi="Verdana"/>
          <w:sz w:val="18"/>
          <w:szCs w:val="18"/>
        </w:rPr>
      </w:pPr>
    </w:p>
    <w:p w:rsidR="00C62FB4" w:rsidRPr="0004678F" w:rsidRDefault="00C62FB4" w:rsidP="009B51C2">
      <w:pPr>
        <w:spacing w:after="0"/>
        <w:rPr>
          <w:rFonts w:ascii="Verdana" w:hAnsi="Verdana"/>
          <w:sz w:val="18"/>
          <w:szCs w:val="18"/>
        </w:rPr>
        <w:sectPr w:rsidR="00C62FB4" w:rsidRPr="0004678F" w:rsidSect="009243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70AC6" w:rsidRPr="0004678F" w:rsidRDefault="00770AC6" w:rsidP="008B738F">
      <w:pPr>
        <w:spacing w:after="0"/>
        <w:rPr>
          <w:rFonts w:ascii="Verdana" w:hAnsi="Verdana" w:cs="Times New Roman"/>
          <w:sz w:val="18"/>
          <w:szCs w:val="18"/>
        </w:rPr>
      </w:pPr>
      <w:bookmarkStart w:id="0" w:name="_GoBack"/>
      <w:bookmarkEnd w:id="0"/>
    </w:p>
    <w:sectPr w:rsidR="00770AC6" w:rsidRPr="0004678F" w:rsidSect="00C5260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85" w:rsidRDefault="00057685" w:rsidP="00431C9B">
      <w:pPr>
        <w:spacing w:after="0" w:line="240" w:lineRule="auto"/>
      </w:pPr>
      <w:r>
        <w:separator/>
      </w:r>
    </w:p>
  </w:endnote>
  <w:endnote w:type="continuationSeparator" w:id="0">
    <w:p w:rsidR="00057685" w:rsidRDefault="00057685" w:rsidP="0043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&amp;W Syntax (Adobe)">
    <w:altName w:val="Segoe UI"/>
    <w:charset w:val="00"/>
    <w:family w:val="swiss"/>
    <w:pitch w:val="variable"/>
    <w:sig w:usb0="00000001" w:usb1="00000000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85" w:rsidRDefault="000576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85" w:rsidRDefault="0005768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85" w:rsidRDefault="000576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85" w:rsidRDefault="00057685" w:rsidP="00431C9B">
      <w:pPr>
        <w:spacing w:after="0" w:line="240" w:lineRule="auto"/>
      </w:pPr>
      <w:r>
        <w:separator/>
      </w:r>
    </w:p>
  </w:footnote>
  <w:footnote w:type="continuationSeparator" w:id="0">
    <w:p w:rsidR="00057685" w:rsidRDefault="00057685" w:rsidP="0043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85" w:rsidRDefault="000576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85" w:rsidRDefault="000576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85" w:rsidRDefault="0005768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0FA"/>
    <w:multiLevelType w:val="hybridMultilevel"/>
    <w:tmpl w:val="8682C7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57046"/>
    <w:multiLevelType w:val="hybridMultilevel"/>
    <w:tmpl w:val="E1F653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0434C"/>
    <w:multiLevelType w:val="hybridMultilevel"/>
    <w:tmpl w:val="0472E2AC"/>
    <w:lvl w:ilvl="0" w:tplc="A1B2D314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13F2B"/>
    <w:multiLevelType w:val="hybridMultilevel"/>
    <w:tmpl w:val="40820BE4"/>
    <w:lvl w:ilvl="0" w:tplc="7AF447F8">
      <w:numFmt w:val="bullet"/>
      <w:lvlText w:val="•"/>
      <w:lvlJc w:val="left"/>
      <w:pPr>
        <w:ind w:left="1050" w:hanging="69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22640C"/>
    <w:multiLevelType w:val="hybridMultilevel"/>
    <w:tmpl w:val="6124341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C26188"/>
    <w:multiLevelType w:val="hybridMultilevel"/>
    <w:tmpl w:val="E91214E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8F6723"/>
    <w:multiLevelType w:val="hybridMultilevel"/>
    <w:tmpl w:val="22463CD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A60B42"/>
    <w:multiLevelType w:val="hybridMultilevel"/>
    <w:tmpl w:val="34F86F7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FC5E09"/>
    <w:multiLevelType w:val="hybridMultilevel"/>
    <w:tmpl w:val="7BD89F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66EFE"/>
    <w:multiLevelType w:val="hybridMultilevel"/>
    <w:tmpl w:val="CE52A6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419D8"/>
    <w:multiLevelType w:val="hybridMultilevel"/>
    <w:tmpl w:val="6124341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0F"/>
    <w:rsid w:val="00001D38"/>
    <w:rsid w:val="00007CCA"/>
    <w:rsid w:val="00011440"/>
    <w:rsid w:val="000139E9"/>
    <w:rsid w:val="000153BC"/>
    <w:rsid w:val="00017FC9"/>
    <w:rsid w:val="0002529F"/>
    <w:rsid w:val="000378C8"/>
    <w:rsid w:val="00037F80"/>
    <w:rsid w:val="000416D4"/>
    <w:rsid w:val="00041F0D"/>
    <w:rsid w:val="00043744"/>
    <w:rsid w:val="000454D0"/>
    <w:rsid w:val="0004678F"/>
    <w:rsid w:val="00052EBC"/>
    <w:rsid w:val="000558C0"/>
    <w:rsid w:val="00057685"/>
    <w:rsid w:val="000659A0"/>
    <w:rsid w:val="00070D2C"/>
    <w:rsid w:val="0007475F"/>
    <w:rsid w:val="00081F41"/>
    <w:rsid w:val="00095A66"/>
    <w:rsid w:val="00096CEE"/>
    <w:rsid w:val="000B2BF2"/>
    <w:rsid w:val="000B7839"/>
    <w:rsid w:val="000C029C"/>
    <w:rsid w:val="000C4B06"/>
    <w:rsid w:val="000C4CA2"/>
    <w:rsid w:val="000C62F1"/>
    <w:rsid w:val="000D2019"/>
    <w:rsid w:val="000D7FC6"/>
    <w:rsid w:val="000F02ED"/>
    <w:rsid w:val="0010387B"/>
    <w:rsid w:val="001051B3"/>
    <w:rsid w:val="00114B53"/>
    <w:rsid w:val="00121E8D"/>
    <w:rsid w:val="00122B62"/>
    <w:rsid w:val="00122B64"/>
    <w:rsid w:val="00125D78"/>
    <w:rsid w:val="00126257"/>
    <w:rsid w:val="00126CA0"/>
    <w:rsid w:val="001335A9"/>
    <w:rsid w:val="0013720F"/>
    <w:rsid w:val="00145820"/>
    <w:rsid w:val="00145E27"/>
    <w:rsid w:val="00146934"/>
    <w:rsid w:val="00150AA4"/>
    <w:rsid w:val="00156BFD"/>
    <w:rsid w:val="001656F8"/>
    <w:rsid w:val="001710C6"/>
    <w:rsid w:val="00171E5B"/>
    <w:rsid w:val="00174774"/>
    <w:rsid w:val="00174965"/>
    <w:rsid w:val="001771AC"/>
    <w:rsid w:val="001802A0"/>
    <w:rsid w:val="00182F57"/>
    <w:rsid w:val="00184EEB"/>
    <w:rsid w:val="00192ACC"/>
    <w:rsid w:val="001979BC"/>
    <w:rsid w:val="001A27AC"/>
    <w:rsid w:val="001A4289"/>
    <w:rsid w:val="001B2A4B"/>
    <w:rsid w:val="001B4AD2"/>
    <w:rsid w:val="001C0A77"/>
    <w:rsid w:val="001C1618"/>
    <w:rsid w:val="001C3C35"/>
    <w:rsid w:val="001D4750"/>
    <w:rsid w:val="001E57B8"/>
    <w:rsid w:val="001E7B03"/>
    <w:rsid w:val="001F120F"/>
    <w:rsid w:val="001F1AB9"/>
    <w:rsid w:val="001F74F9"/>
    <w:rsid w:val="002021C3"/>
    <w:rsid w:val="002032CE"/>
    <w:rsid w:val="00205529"/>
    <w:rsid w:val="0020603B"/>
    <w:rsid w:val="002074A5"/>
    <w:rsid w:val="002114C6"/>
    <w:rsid w:val="00214776"/>
    <w:rsid w:val="00216D02"/>
    <w:rsid w:val="0022000D"/>
    <w:rsid w:val="00225BF1"/>
    <w:rsid w:val="00236500"/>
    <w:rsid w:val="002449B5"/>
    <w:rsid w:val="00246E7E"/>
    <w:rsid w:val="00252A68"/>
    <w:rsid w:val="00253355"/>
    <w:rsid w:val="00257CBD"/>
    <w:rsid w:val="002618E0"/>
    <w:rsid w:val="00267F09"/>
    <w:rsid w:val="00283A40"/>
    <w:rsid w:val="00292AC2"/>
    <w:rsid w:val="00295E0E"/>
    <w:rsid w:val="0029621C"/>
    <w:rsid w:val="002A4FAD"/>
    <w:rsid w:val="002A64CB"/>
    <w:rsid w:val="002C195A"/>
    <w:rsid w:val="002C2CA4"/>
    <w:rsid w:val="002D189D"/>
    <w:rsid w:val="002D561D"/>
    <w:rsid w:val="002E0441"/>
    <w:rsid w:val="002E5E67"/>
    <w:rsid w:val="002F44F6"/>
    <w:rsid w:val="00303DD8"/>
    <w:rsid w:val="003102B6"/>
    <w:rsid w:val="00314DCD"/>
    <w:rsid w:val="003231E4"/>
    <w:rsid w:val="00327C91"/>
    <w:rsid w:val="003355DB"/>
    <w:rsid w:val="00335D76"/>
    <w:rsid w:val="00347D23"/>
    <w:rsid w:val="00355C8C"/>
    <w:rsid w:val="00356ABE"/>
    <w:rsid w:val="003600D8"/>
    <w:rsid w:val="0036074D"/>
    <w:rsid w:val="00361195"/>
    <w:rsid w:val="00362AC9"/>
    <w:rsid w:val="00372E72"/>
    <w:rsid w:val="0037410E"/>
    <w:rsid w:val="00376F60"/>
    <w:rsid w:val="003810F3"/>
    <w:rsid w:val="003939C2"/>
    <w:rsid w:val="00395BD2"/>
    <w:rsid w:val="00397D21"/>
    <w:rsid w:val="003A1B4B"/>
    <w:rsid w:val="003A1F65"/>
    <w:rsid w:val="003A2482"/>
    <w:rsid w:val="003A3CEA"/>
    <w:rsid w:val="003A6774"/>
    <w:rsid w:val="003B469B"/>
    <w:rsid w:val="003B7B8B"/>
    <w:rsid w:val="003C2DFF"/>
    <w:rsid w:val="003C6B1C"/>
    <w:rsid w:val="003D3C4D"/>
    <w:rsid w:val="003D5C48"/>
    <w:rsid w:val="003D6D7D"/>
    <w:rsid w:val="003E08B7"/>
    <w:rsid w:val="003E6901"/>
    <w:rsid w:val="003F163D"/>
    <w:rsid w:val="003F1CB7"/>
    <w:rsid w:val="003F78BE"/>
    <w:rsid w:val="004015AA"/>
    <w:rsid w:val="00403579"/>
    <w:rsid w:val="00411483"/>
    <w:rsid w:val="00414C3E"/>
    <w:rsid w:val="004230C8"/>
    <w:rsid w:val="00424325"/>
    <w:rsid w:val="0042544F"/>
    <w:rsid w:val="00426216"/>
    <w:rsid w:val="004305BD"/>
    <w:rsid w:val="00431C9B"/>
    <w:rsid w:val="004326D9"/>
    <w:rsid w:val="00442518"/>
    <w:rsid w:val="0044363C"/>
    <w:rsid w:val="00443E9B"/>
    <w:rsid w:val="0044492E"/>
    <w:rsid w:val="00445B81"/>
    <w:rsid w:val="00450EB1"/>
    <w:rsid w:val="0045288A"/>
    <w:rsid w:val="004548C1"/>
    <w:rsid w:val="004563E8"/>
    <w:rsid w:val="004579A3"/>
    <w:rsid w:val="00460475"/>
    <w:rsid w:val="00460D64"/>
    <w:rsid w:val="00466FFE"/>
    <w:rsid w:val="004737B6"/>
    <w:rsid w:val="00485A32"/>
    <w:rsid w:val="0049189A"/>
    <w:rsid w:val="0049726A"/>
    <w:rsid w:val="004A0B9E"/>
    <w:rsid w:val="004A11A7"/>
    <w:rsid w:val="004A23C3"/>
    <w:rsid w:val="004A3F54"/>
    <w:rsid w:val="004A68F4"/>
    <w:rsid w:val="004A7E49"/>
    <w:rsid w:val="004B1669"/>
    <w:rsid w:val="004B3389"/>
    <w:rsid w:val="004B71BE"/>
    <w:rsid w:val="004C1307"/>
    <w:rsid w:val="004C2770"/>
    <w:rsid w:val="004D361D"/>
    <w:rsid w:val="004D4F5D"/>
    <w:rsid w:val="004D748E"/>
    <w:rsid w:val="004E365D"/>
    <w:rsid w:val="004F0166"/>
    <w:rsid w:val="004F3CCF"/>
    <w:rsid w:val="004F74EB"/>
    <w:rsid w:val="00502AD7"/>
    <w:rsid w:val="00505BE6"/>
    <w:rsid w:val="00511A29"/>
    <w:rsid w:val="005124EE"/>
    <w:rsid w:val="00513880"/>
    <w:rsid w:val="005139E7"/>
    <w:rsid w:val="00514358"/>
    <w:rsid w:val="0051606F"/>
    <w:rsid w:val="005312DD"/>
    <w:rsid w:val="005363D1"/>
    <w:rsid w:val="0053692F"/>
    <w:rsid w:val="00541DFC"/>
    <w:rsid w:val="00543AAF"/>
    <w:rsid w:val="0054720F"/>
    <w:rsid w:val="005475B0"/>
    <w:rsid w:val="00550EF8"/>
    <w:rsid w:val="00553A77"/>
    <w:rsid w:val="00554C08"/>
    <w:rsid w:val="00555AB0"/>
    <w:rsid w:val="005606A4"/>
    <w:rsid w:val="00566FC5"/>
    <w:rsid w:val="00571387"/>
    <w:rsid w:val="005833DF"/>
    <w:rsid w:val="005841FE"/>
    <w:rsid w:val="00584910"/>
    <w:rsid w:val="00596512"/>
    <w:rsid w:val="005A0BCA"/>
    <w:rsid w:val="005A0D2F"/>
    <w:rsid w:val="005A1578"/>
    <w:rsid w:val="005A41C9"/>
    <w:rsid w:val="005A7B68"/>
    <w:rsid w:val="005B020E"/>
    <w:rsid w:val="005B5771"/>
    <w:rsid w:val="005C568B"/>
    <w:rsid w:val="005D367C"/>
    <w:rsid w:val="005D6A38"/>
    <w:rsid w:val="005E24DD"/>
    <w:rsid w:val="005E4D65"/>
    <w:rsid w:val="005E5D9C"/>
    <w:rsid w:val="005F1606"/>
    <w:rsid w:val="005F5105"/>
    <w:rsid w:val="005F5148"/>
    <w:rsid w:val="005F7407"/>
    <w:rsid w:val="00601775"/>
    <w:rsid w:val="00601910"/>
    <w:rsid w:val="00611B17"/>
    <w:rsid w:val="00622A48"/>
    <w:rsid w:val="006276BF"/>
    <w:rsid w:val="006331E1"/>
    <w:rsid w:val="00636E45"/>
    <w:rsid w:val="00637955"/>
    <w:rsid w:val="0064100E"/>
    <w:rsid w:val="00642E9E"/>
    <w:rsid w:val="00643A72"/>
    <w:rsid w:val="0064532A"/>
    <w:rsid w:val="006542D6"/>
    <w:rsid w:val="00655CC4"/>
    <w:rsid w:val="00663602"/>
    <w:rsid w:val="00672B3F"/>
    <w:rsid w:val="006735C5"/>
    <w:rsid w:val="00685558"/>
    <w:rsid w:val="006903FB"/>
    <w:rsid w:val="006912C3"/>
    <w:rsid w:val="00691C62"/>
    <w:rsid w:val="00697F69"/>
    <w:rsid w:val="006A126F"/>
    <w:rsid w:val="006A3257"/>
    <w:rsid w:val="006A6262"/>
    <w:rsid w:val="006B3ADB"/>
    <w:rsid w:val="006C16B9"/>
    <w:rsid w:val="006C2E49"/>
    <w:rsid w:val="006C67DC"/>
    <w:rsid w:val="006D07A5"/>
    <w:rsid w:val="006D0AA6"/>
    <w:rsid w:val="006D1637"/>
    <w:rsid w:val="006D43C3"/>
    <w:rsid w:val="006D7371"/>
    <w:rsid w:val="006E08E9"/>
    <w:rsid w:val="006E5162"/>
    <w:rsid w:val="006E72A6"/>
    <w:rsid w:val="006F25B0"/>
    <w:rsid w:val="006F29E1"/>
    <w:rsid w:val="006F2E06"/>
    <w:rsid w:val="00700DB0"/>
    <w:rsid w:val="00701423"/>
    <w:rsid w:val="0070335D"/>
    <w:rsid w:val="0070642C"/>
    <w:rsid w:val="00706EC5"/>
    <w:rsid w:val="0071244F"/>
    <w:rsid w:val="007140C5"/>
    <w:rsid w:val="00716FC0"/>
    <w:rsid w:val="0072219F"/>
    <w:rsid w:val="0072388C"/>
    <w:rsid w:val="0072578B"/>
    <w:rsid w:val="00727615"/>
    <w:rsid w:val="00734A61"/>
    <w:rsid w:val="00737860"/>
    <w:rsid w:val="0074115C"/>
    <w:rsid w:val="00744D8F"/>
    <w:rsid w:val="007529B2"/>
    <w:rsid w:val="00756C75"/>
    <w:rsid w:val="00761B00"/>
    <w:rsid w:val="007636EB"/>
    <w:rsid w:val="00763EA9"/>
    <w:rsid w:val="00766959"/>
    <w:rsid w:val="00767B2C"/>
    <w:rsid w:val="00770AC6"/>
    <w:rsid w:val="007711DC"/>
    <w:rsid w:val="00776196"/>
    <w:rsid w:val="0078319E"/>
    <w:rsid w:val="007844B9"/>
    <w:rsid w:val="00790DB4"/>
    <w:rsid w:val="00795307"/>
    <w:rsid w:val="007A3D12"/>
    <w:rsid w:val="007A437F"/>
    <w:rsid w:val="007A6AE7"/>
    <w:rsid w:val="007B0662"/>
    <w:rsid w:val="007B0F08"/>
    <w:rsid w:val="007B52CE"/>
    <w:rsid w:val="007C058B"/>
    <w:rsid w:val="007E4B2C"/>
    <w:rsid w:val="007E5EEB"/>
    <w:rsid w:val="007E686E"/>
    <w:rsid w:val="007E6F33"/>
    <w:rsid w:val="007E70E9"/>
    <w:rsid w:val="007F2448"/>
    <w:rsid w:val="00803B79"/>
    <w:rsid w:val="00806329"/>
    <w:rsid w:val="00812762"/>
    <w:rsid w:val="0081445E"/>
    <w:rsid w:val="00826352"/>
    <w:rsid w:val="00826DF4"/>
    <w:rsid w:val="008359E7"/>
    <w:rsid w:val="00835EF2"/>
    <w:rsid w:val="008372F2"/>
    <w:rsid w:val="00841922"/>
    <w:rsid w:val="0084525D"/>
    <w:rsid w:val="008467F8"/>
    <w:rsid w:val="00846A87"/>
    <w:rsid w:val="008476F9"/>
    <w:rsid w:val="00850FE7"/>
    <w:rsid w:val="00864F11"/>
    <w:rsid w:val="008659D0"/>
    <w:rsid w:val="0087042F"/>
    <w:rsid w:val="0087515D"/>
    <w:rsid w:val="00877C86"/>
    <w:rsid w:val="008833A5"/>
    <w:rsid w:val="00884D50"/>
    <w:rsid w:val="0088686B"/>
    <w:rsid w:val="00887085"/>
    <w:rsid w:val="00894F23"/>
    <w:rsid w:val="008A11F3"/>
    <w:rsid w:val="008A1381"/>
    <w:rsid w:val="008A211F"/>
    <w:rsid w:val="008B738F"/>
    <w:rsid w:val="008B7444"/>
    <w:rsid w:val="008B7498"/>
    <w:rsid w:val="008C275B"/>
    <w:rsid w:val="008C6910"/>
    <w:rsid w:val="008D1FFD"/>
    <w:rsid w:val="008D4A1A"/>
    <w:rsid w:val="008E16AE"/>
    <w:rsid w:val="008E52DA"/>
    <w:rsid w:val="008E7D79"/>
    <w:rsid w:val="008F60D8"/>
    <w:rsid w:val="008F6837"/>
    <w:rsid w:val="008F6861"/>
    <w:rsid w:val="00903D2B"/>
    <w:rsid w:val="009065A2"/>
    <w:rsid w:val="00910848"/>
    <w:rsid w:val="009121D4"/>
    <w:rsid w:val="00913F0D"/>
    <w:rsid w:val="009149E5"/>
    <w:rsid w:val="00916518"/>
    <w:rsid w:val="00916FB7"/>
    <w:rsid w:val="009206CE"/>
    <w:rsid w:val="00920983"/>
    <w:rsid w:val="0092280E"/>
    <w:rsid w:val="0092430C"/>
    <w:rsid w:val="00926A34"/>
    <w:rsid w:val="00932421"/>
    <w:rsid w:val="00935DCC"/>
    <w:rsid w:val="0094110F"/>
    <w:rsid w:val="00941DE5"/>
    <w:rsid w:val="00944A92"/>
    <w:rsid w:val="00947F8E"/>
    <w:rsid w:val="009506C9"/>
    <w:rsid w:val="00956652"/>
    <w:rsid w:val="009659CA"/>
    <w:rsid w:val="00965D0E"/>
    <w:rsid w:val="00970D3B"/>
    <w:rsid w:val="0097403E"/>
    <w:rsid w:val="009748CE"/>
    <w:rsid w:val="009763EF"/>
    <w:rsid w:val="00977B50"/>
    <w:rsid w:val="00980E8B"/>
    <w:rsid w:val="00981803"/>
    <w:rsid w:val="00987008"/>
    <w:rsid w:val="009873CE"/>
    <w:rsid w:val="00994485"/>
    <w:rsid w:val="00997CCF"/>
    <w:rsid w:val="00997DEA"/>
    <w:rsid w:val="00997E9D"/>
    <w:rsid w:val="009A0DE8"/>
    <w:rsid w:val="009A0F27"/>
    <w:rsid w:val="009A11B8"/>
    <w:rsid w:val="009A255F"/>
    <w:rsid w:val="009A3A54"/>
    <w:rsid w:val="009B1BB3"/>
    <w:rsid w:val="009B51C2"/>
    <w:rsid w:val="009C4ECD"/>
    <w:rsid w:val="009C5C8A"/>
    <w:rsid w:val="009D0274"/>
    <w:rsid w:val="009D1045"/>
    <w:rsid w:val="009D3F97"/>
    <w:rsid w:val="009D57F2"/>
    <w:rsid w:val="009E39BA"/>
    <w:rsid w:val="009E3CFA"/>
    <w:rsid w:val="009F1E04"/>
    <w:rsid w:val="009F372E"/>
    <w:rsid w:val="009F5DBA"/>
    <w:rsid w:val="009F663B"/>
    <w:rsid w:val="00A00525"/>
    <w:rsid w:val="00A010C9"/>
    <w:rsid w:val="00A04AEC"/>
    <w:rsid w:val="00A13009"/>
    <w:rsid w:val="00A150C1"/>
    <w:rsid w:val="00A17C6E"/>
    <w:rsid w:val="00A25BDA"/>
    <w:rsid w:val="00A25E86"/>
    <w:rsid w:val="00A32999"/>
    <w:rsid w:val="00A32A00"/>
    <w:rsid w:val="00A32FA3"/>
    <w:rsid w:val="00A35613"/>
    <w:rsid w:val="00A365D9"/>
    <w:rsid w:val="00A36773"/>
    <w:rsid w:val="00A400A6"/>
    <w:rsid w:val="00A408C8"/>
    <w:rsid w:val="00A455A5"/>
    <w:rsid w:val="00A47DB2"/>
    <w:rsid w:val="00A5047C"/>
    <w:rsid w:val="00A64383"/>
    <w:rsid w:val="00A64B57"/>
    <w:rsid w:val="00A71D16"/>
    <w:rsid w:val="00A72F25"/>
    <w:rsid w:val="00A73F96"/>
    <w:rsid w:val="00A769C1"/>
    <w:rsid w:val="00A76F26"/>
    <w:rsid w:val="00A82719"/>
    <w:rsid w:val="00AA659F"/>
    <w:rsid w:val="00AA6B97"/>
    <w:rsid w:val="00AA6C07"/>
    <w:rsid w:val="00AA7AB7"/>
    <w:rsid w:val="00AB2273"/>
    <w:rsid w:val="00AB2529"/>
    <w:rsid w:val="00AB5409"/>
    <w:rsid w:val="00AB627D"/>
    <w:rsid w:val="00AC03F5"/>
    <w:rsid w:val="00AC5E8A"/>
    <w:rsid w:val="00AE3170"/>
    <w:rsid w:val="00AE384F"/>
    <w:rsid w:val="00AE3D6E"/>
    <w:rsid w:val="00AE5FEF"/>
    <w:rsid w:val="00AF76D4"/>
    <w:rsid w:val="00B01FB1"/>
    <w:rsid w:val="00B03657"/>
    <w:rsid w:val="00B04661"/>
    <w:rsid w:val="00B07718"/>
    <w:rsid w:val="00B11458"/>
    <w:rsid w:val="00B17D93"/>
    <w:rsid w:val="00B20247"/>
    <w:rsid w:val="00B20587"/>
    <w:rsid w:val="00B274F8"/>
    <w:rsid w:val="00B33BE4"/>
    <w:rsid w:val="00B4072B"/>
    <w:rsid w:val="00B43C68"/>
    <w:rsid w:val="00B43FDA"/>
    <w:rsid w:val="00B47938"/>
    <w:rsid w:val="00B548D3"/>
    <w:rsid w:val="00B60D12"/>
    <w:rsid w:val="00B64CFB"/>
    <w:rsid w:val="00B671E3"/>
    <w:rsid w:val="00B6742E"/>
    <w:rsid w:val="00B70984"/>
    <w:rsid w:val="00B7418A"/>
    <w:rsid w:val="00B84911"/>
    <w:rsid w:val="00BC0F64"/>
    <w:rsid w:val="00BC0F96"/>
    <w:rsid w:val="00BC389B"/>
    <w:rsid w:val="00BC6C72"/>
    <w:rsid w:val="00BC7058"/>
    <w:rsid w:val="00BD44D6"/>
    <w:rsid w:val="00BD7F26"/>
    <w:rsid w:val="00BE04D8"/>
    <w:rsid w:val="00BE2730"/>
    <w:rsid w:val="00BF5A11"/>
    <w:rsid w:val="00BF5B8D"/>
    <w:rsid w:val="00C005E2"/>
    <w:rsid w:val="00C052A8"/>
    <w:rsid w:val="00C147EF"/>
    <w:rsid w:val="00C14CF9"/>
    <w:rsid w:val="00C15D34"/>
    <w:rsid w:val="00C179EE"/>
    <w:rsid w:val="00C216CA"/>
    <w:rsid w:val="00C233FA"/>
    <w:rsid w:val="00C37FB9"/>
    <w:rsid w:val="00C4084F"/>
    <w:rsid w:val="00C41FB8"/>
    <w:rsid w:val="00C46DCA"/>
    <w:rsid w:val="00C52600"/>
    <w:rsid w:val="00C53FB4"/>
    <w:rsid w:val="00C549CD"/>
    <w:rsid w:val="00C62FB4"/>
    <w:rsid w:val="00C66454"/>
    <w:rsid w:val="00C74361"/>
    <w:rsid w:val="00C75D5D"/>
    <w:rsid w:val="00C772BB"/>
    <w:rsid w:val="00C827D1"/>
    <w:rsid w:val="00C84CE0"/>
    <w:rsid w:val="00C8576A"/>
    <w:rsid w:val="00C9064D"/>
    <w:rsid w:val="00C92507"/>
    <w:rsid w:val="00CA0CEF"/>
    <w:rsid w:val="00CA2081"/>
    <w:rsid w:val="00CA5ACE"/>
    <w:rsid w:val="00CA6194"/>
    <w:rsid w:val="00CA689A"/>
    <w:rsid w:val="00CA7676"/>
    <w:rsid w:val="00CC03D2"/>
    <w:rsid w:val="00CC0FE8"/>
    <w:rsid w:val="00CD0698"/>
    <w:rsid w:val="00CD150F"/>
    <w:rsid w:val="00CD4DCB"/>
    <w:rsid w:val="00CD6CC2"/>
    <w:rsid w:val="00CE57DC"/>
    <w:rsid w:val="00CF0534"/>
    <w:rsid w:val="00CF6461"/>
    <w:rsid w:val="00D00834"/>
    <w:rsid w:val="00D01F20"/>
    <w:rsid w:val="00D0627D"/>
    <w:rsid w:val="00D114AA"/>
    <w:rsid w:val="00D20A37"/>
    <w:rsid w:val="00D30F12"/>
    <w:rsid w:val="00D35564"/>
    <w:rsid w:val="00D361FD"/>
    <w:rsid w:val="00D3761F"/>
    <w:rsid w:val="00D40F11"/>
    <w:rsid w:val="00D4604E"/>
    <w:rsid w:val="00D55E80"/>
    <w:rsid w:val="00D6540D"/>
    <w:rsid w:val="00D6650D"/>
    <w:rsid w:val="00D75184"/>
    <w:rsid w:val="00D80924"/>
    <w:rsid w:val="00D87873"/>
    <w:rsid w:val="00D91DA0"/>
    <w:rsid w:val="00D93404"/>
    <w:rsid w:val="00D95C18"/>
    <w:rsid w:val="00DA4670"/>
    <w:rsid w:val="00DA4838"/>
    <w:rsid w:val="00DA640B"/>
    <w:rsid w:val="00DB208E"/>
    <w:rsid w:val="00DB53A5"/>
    <w:rsid w:val="00DB6D74"/>
    <w:rsid w:val="00DB731B"/>
    <w:rsid w:val="00DC3165"/>
    <w:rsid w:val="00DC40A0"/>
    <w:rsid w:val="00DC5AE5"/>
    <w:rsid w:val="00DC6BA0"/>
    <w:rsid w:val="00DC7571"/>
    <w:rsid w:val="00DD2360"/>
    <w:rsid w:val="00DE5F6F"/>
    <w:rsid w:val="00DE6CE4"/>
    <w:rsid w:val="00DE7ED2"/>
    <w:rsid w:val="00DF4247"/>
    <w:rsid w:val="00DF49FF"/>
    <w:rsid w:val="00DF4F7E"/>
    <w:rsid w:val="00E001E2"/>
    <w:rsid w:val="00E008DF"/>
    <w:rsid w:val="00E0141F"/>
    <w:rsid w:val="00E02F15"/>
    <w:rsid w:val="00E03807"/>
    <w:rsid w:val="00E05E16"/>
    <w:rsid w:val="00E069FE"/>
    <w:rsid w:val="00E06EC2"/>
    <w:rsid w:val="00E1138C"/>
    <w:rsid w:val="00E1311A"/>
    <w:rsid w:val="00E176BA"/>
    <w:rsid w:val="00E17866"/>
    <w:rsid w:val="00E2666C"/>
    <w:rsid w:val="00E27638"/>
    <w:rsid w:val="00E30852"/>
    <w:rsid w:val="00E403FE"/>
    <w:rsid w:val="00E40958"/>
    <w:rsid w:val="00E424CA"/>
    <w:rsid w:val="00E44334"/>
    <w:rsid w:val="00E513E9"/>
    <w:rsid w:val="00E6122C"/>
    <w:rsid w:val="00E6194F"/>
    <w:rsid w:val="00E62824"/>
    <w:rsid w:val="00E6500D"/>
    <w:rsid w:val="00E6730C"/>
    <w:rsid w:val="00E716BD"/>
    <w:rsid w:val="00E721F1"/>
    <w:rsid w:val="00E72B22"/>
    <w:rsid w:val="00E81041"/>
    <w:rsid w:val="00E819ED"/>
    <w:rsid w:val="00E85C9E"/>
    <w:rsid w:val="00E92350"/>
    <w:rsid w:val="00E9791C"/>
    <w:rsid w:val="00EA03DC"/>
    <w:rsid w:val="00EB34FC"/>
    <w:rsid w:val="00EB49C5"/>
    <w:rsid w:val="00ED1862"/>
    <w:rsid w:val="00ED3C75"/>
    <w:rsid w:val="00ED4E82"/>
    <w:rsid w:val="00EE1199"/>
    <w:rsid w:val="00EE7895"/>
    <w:rsid w:val="00EF0C14"/>
    <w:rsid w:val="00EF11C7"/>
    <w:rsid w:val="00EF2CA5"/>
    <w:rsid w:val="00EF6A13"/>
    <w:rsid w:val="00EF74B0"/>
    <w:rsid w:val="00F13B5F"/>
    <w:rsid w:val="00F16BD9"/>
    <w:rsid w:val="00F22CDC"/>
    <w:rsid w:val="00F23A8E"/>
    <w:rsid w:val="00F257F7"/>
    <w:rsid w:val="00F27A9F"/>
    <w:rsid w:val="00F34E6B"/>
    <w:rsid w:val="00F35032"/>
    <w:rsid w:val="00F41566"/>
    <w:rsid w:val="00F418DE"/>
    <w:rsid w:val="00F423B1"/>
    <w:rsid w:val="00F46417"/>
    <w:rsid w:val="00F47B88"/>
    <w:rsid w:val="00F5004C"/>
    <w:rsid w:val="00F50763"/>
    <w:rsid w:val="00F50C86"/>
    <w:rsid w:val="00F51285"/>
    <w:rsid w:val="00F52B91"/>
    <w:rsid w:val="00F66DBA"/>
    <w:rsid w:val="00F7095C"/>
    <w:rsid w:val="00F70D2F"/>
    <w:rsid w:val="00F7298F"/>
    <w:rsid w:val="00F7379F"/>
    <w:rsid w:val="00F85057"/>
    <w:rsid w:val="00F85C22"/>
    <w:rsid w:val="00F86104"/>
    <w:rsid w:val="00F86159"/>
    <w:rsid w:val="00F92515"/>
    <w:rsid w:val="00F92AA9"/>
    <w:rsid w:val="00FB2130"/>
    <w:rsid w:val="00FB5E8B"/>
    <w:rsid w:val="00FB6080"/>
    <w:rsid w:val="00FB6A9E"/>
    <w:rsid w:val="00FC4C9D"/>
    <w:rsid w:val="00FC5895"/>
    <w:rsid w:val="00FC5BA2"/>
    <w:rsid w:val="00FC6348"/>
    <w:rsid w:val="00FD2676"/>
    <w:rsid w:val="00FE65A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0F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D201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F740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F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740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C0F64"/>
    <w:rPr>
      <w:color w:val="0000FF" w:themeColor="hyperlink"/>
      <w:u w:val="single"/>
    </w:rPr>
  </w:style>
  <w:style w:type="paragraph" w:customStyle="1" w:styleId="Variabelegegevens">
    <w:name w:val="Variabele gegevens"/>
    <w:basedOn w:val="Standaard"/>
    <w:rsid w:val="00A00525"/>
    <w:pPr>
      <w:keepLines/>
      <w:spacing w:after="0" w:line="260" w:lineRule="exact"/>
    </w:pPr>
    <w:rPr>
      <w:rFonts w:ascii="V&amp;W Syntax (Adobe)" w:eastAsia="MS Mincho" w:hAnsi="V&amp;W Syntax (Adobe)" w:cs="Times New Roman"/>
      <w:sz w:val="20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E5E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5EE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5E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5EE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5EEB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C8576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D40F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56C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4D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chtelijst1">
    <w:name w:val="Lichte lijst1"/>
    <w:basedOn w:val="Standaardtabel"/>
    <w:uiPriority w:val="61"/>
    <w:rsid w:val="004D748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st1">
    <w:name w:val="st1"/>
    <w:basedOn w:val="Standaardalinea-lettertype"/>
    <w:rsid w:val="00E819ED"/>
  </w:style>
  <w:style w:type="paragraph" w:styleId="Koptekst">
    <w:name w:val="header"/>
    <w:basedOn w:val="Standaard"/>
    <w:link w:val="KoptekstChar"/>
    <w:uiPriority w:val="99"/>
    <w:semiHidden/>
    <w:unhideWhenUsed/>
    <w:rsid w:val="0043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31C9B"/>
  </w:style>
  <w:style w:type="paragraph" w:styleId="Voettekst">
    <w:name w:val="footer"/>
    <w:basedOn w:val="Standaard"/>
    <w:link w:val="VoettekstChar"/>
    <w:uiPriority w:val="99"/>
    <w:semiHidden/>
    <w:unhideWhenUsed/>
    <w:rsid w:val="0043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31C9B"/>
  </w:style>
  <w:style w:type="character" w:customStyle="1" w:styleId="GeenafstandChar">
    <w:name w:val="Geen afstand Char"/>
    <w:basedOn w:val="Standaardalinea-lettertype"/>
    <w:link w:val="Geenafstand"/>
    <w:uiPriority w:val="1"/>
    <w:rsid w:val="00547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0F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D201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F740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F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740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C0F64"/>
    <w:rPr>
      <w:color w:val="0000FF" w:themeColor="hyperlink"/>
      <w:u w:val="single"/>
    </w:rPr>
  </w:style>
  <w:style w:type="paragraph" w:customStyle="1" w:styleId="Variabelegegevens">
    <w:name w:val="Variabele gegevens"/>
    <w:basedOn w:val="Standaard"/>
    <w:rsid w:val="00A00525"/>
    <w:pPr>
      <w:keepLines/>
      <w:spacing w:after="0" w:line="260" w:lineRule="exact"/>
    </w:pPr>
    <w:rPr>
      <w:rFonts w:ascii="V&amp;W Syntax (Adobe)" w:eastAsia="MS Mincho" w:hAnsi="V&amp;W Syntax (Adobe)" w:cs="Times New Roman"/>
      <w:sz w:val="20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E5E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5EE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5E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5EE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5EEB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C8576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D40F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56C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4D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chtelijst1">
    <w:name w:val="Lichte lijst1"/>
    <w:basedOn w:val="Standaardtabel"/>
    <w:uiPriority w:val="61"/>
    <w:rsid w:val="004D748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st1">
    <w:name w:val="st1"/>
    <w:basedOn w:val="Standaardalinea-lettertype"/>
    <w:rsid w:val="00E819ED"/>
  </w:style>
  <w:style w:type="paragraph" w:styleId="Koptekst">
    <w:name w:val="header"/>
    <w:basedOn w:val="Standaard"/>
    <w:link w:val="KoptekstChar"/>
    <w:uiPriority w:val="99"/>
    <w:semiHidden/>
    <w:unhideWhenUsed/>
    <w:rsid w:val="0043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31C9B"/>
  </w:style>
  <w:style w:type="paragraph" w:styleId="Voettekst">
    <w:name w:val="footer"/>
    <w:basedOn w:val="Standaard"/>
    <w:link w:val="VoettekstChar"/>
    <w:uiPriority w:val="99"/>
    <w:semiHidden/>
    <w:unhideWhenUsed/>
    <w:rsid w:val="0043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31C9B"/>
  </w:style>
  <w:style w:type="character" w:customStyle="1" w:styleId="GeenafstandChar">
    <w:name w:val="Geen afstand Char"/>
    <w:basedOn w:val="Standaardalinea-lettertype"/>
    <w:link w:val="Geenafstand"/>
    <w:uiPriority w:val="1"/>
    <w:rsid w:val="0054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307B8B98A4CB9F2FA6D06792060" ma:contentTypeVersion="0" ma:contentTypeDescription="Een nieuw document maken." ma:contentTypeScope="" ma:versionID="8691565d0a3c370c3e87a9239952de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45884-ABD3-49DC-866F-D6EB77162E77}"/>
</file>

<file path=customXml/itemProps2.xml><?xml version="1.0" encoding="utf-8"?>
<ds:datastoreItem xmlns:ds="http://schemas.openxmlformats.org/officeDocument/2006/customXml" ds:itemID="{AA88D1D7-30A7-492E-B8E5-E1FC5C98E43F}"/>
</file>

<file path=customXml/itemProps3.xml><?xml version="1.0" encoding="utf-8"?>
<ds:datastoreItem xmlns:ds="http://schemas.openxmlformats.org/officeDocument/2006/customXml" ds:itemID="{C1BE2054-2204-46D6-8D8B-138C7DCB60A5}"/>
</file>

<file path=customXml/itemProps4.xml><?xml version="1.0" encoding="utf-8"?>
<ds:datastoreItem xmlns:ds="http://schemas.openxmlformats.org/officeDocument/2006/customXml" ds:itemID="{20B0DFE4-3522-4078-8657-B075D81AE4B8}"/>
</file>

<file path=docProps/app.xml><?xml version="1.0" encoding="utf-8"?>
<Properties xmlns="http://schemas.openxmlformats.org/officeDocument/2006/extended-properties" xmlns:vt="http://schemas.openxmlformats.org/officeDocument/2006/docPropsVTypes">
  <Template>D6535BDE</Template>
  <TotalTime>1</TotalTime>
  <Pages>4</Pages>
  <Words>707</Words>
  <Characters>3894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RGareman</dc:creator>
  <cp:lastModifiedBy>Stefano Tamin</cp:lastModifiedBy>
  <cp:revision>2</cp:revision>
  <cp:lastPrinted>2017-05-29T14:58:00Z</cp:lastPrinted>
  <dcterms:created xsi:type="dcterms:W3CDTF">2017-06-01T09:19:00Z</dcterms:created>
  <dcterms:modified xsi:type="dcterms:W3CDTF">2017-06-01T09:19:00Z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0x010100F89CD307B8B98A4CB9F2FA6D06792060</vt:lpwstr>
  </property>
</Properties>
</file>