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D0" w:rsidRPr="001F1668" w:rsidRDefault="009D7AD0" w:rsidP="009D7AD0">
      <w:pPr>
        <w:pStyle w:val="Kop1"/>
        <w:spacing w:line="210" w:lineRule="atLeast"/>
        <w:ind w:left="3200" w:hanging="3240"/>
        <w:rPr>
          <w:rFonts w:ascii="Verdana" w:hAnsi="Verdana"/>
          <w:sz w:val="18"/>
          <w:szCs w:val="18"/>
        </w:rPr>
      </w:pPr>
      <w:r w:rsidRPr="00017AFC">
        <w:rPr>
          <w:rFonts w:ascii="Verdana" w:hAnsi="Verdana"/>
          <w:sz w:val="18"/>
          <w:szCs w:val="18"/>
          <w:highlight w:val="yellow"/>
        </w:rPr>
        <w:t>XX XXX C</w:t>
      </w:r>
      <w:r w:rsidRPr="001F1668">
        <w:rPr>
          <w:rFonts w:ascii="Verdana" w:hAnsi="Verdana"/>
          <w:sz w:val="18"/>
          <w:szCs w:val="18"/>
        </w:rPr>
        <w:tab/>
        <w:t>Wijziging van de begrotingsstaat van het provinciefonds voor het jaar 201</w:t>
      </w:r>
      <w:r>
        <w:rPr>
          <w:rFonts w:ascii="Verdana" w:hAnsi="Verdana"/>
          <w:sz w:val="18"/>
          <w:szCs w:val="18"/>
        </w:rPr>
        <w:t>7</w:t>
      </w:r>
      <w:r w:rsidRPr="001F1668">
        <w:rPr>
          <w:rFonts w:ascii="Verdana" w:hAnsi="Verdana"/>
          <w:sz w:val="18"/>
          <w:szCs w:val="18"/>
        </w:rPr>
        <w:t xml:space="preserve"> (wijziging samenhangende met de Voorjaarsnota)</w:t>
      </w:r>
    </w:p>
    <w:p w:rsidR="009D7AD0" w:rsidRPr="001F1668" w:rsidRDefault="009D7AD0" w:rsidP="009D7AD0">
      <w:pPr>
        <w:spacing w:line="210" w:lineRule="atLeast"/>
        <w:ind w:left="3200"/>
        <w:rPr>
          <w:rFonts w:ascii="Verdana" w:hAnsi="Verdana" w:cs="Arial"/>
          <w:b/>
          <w:sz w:val="18"/>
          <w:szCs w:val="18"/>
        </w:rPr>
      </w:pPr>
      <w:bookmarkStart w:id="0" w:name="_GoBack"/>
      <w:bookmarkEnd w:id="0"/>
    </w:p>
    <w:p w:rsidR="009D7AD0" w:rsidRPr="001F1668" w:rsidRDefault="009D7AD0" w:rsidP="009D7AD0">
      <w:pPr>
        <w:spacing w:line="210" w:lineRule="atLeast"/>
        <w:ind w:left="3200" w:hanging="3200"/>
        <w:rPr>
          <w:rFonts w:ascii="Verdana" w:hAnsi="Verdana" w:cs="Arial"/>
          <w:b/>
          <w:sz w:val="18"/>
          <w:szCs w:val="18"/>
        </w:rPr>
      </w:pPr>
      <w:r w:rsidRPr="001F1668">
        <w:rPr>
          <w:rFonts w:ascii="Verdana" w:hAnsi="Verdana" w:cs="Arial"/>
          <w:b/>
          <w:sz w:val="18"/>
          <w:szCs w:val="18"/>
        </w:rPr>
        <w:t xml:space="preserve">Nr. 2 </w:t>
      </w:r>
      <w:r w:rsidRPr="001F1668">
        <w:rPr>
          <w:rFonts w:ascii="Verdana" w:hAnsi="Verdana" w:cs="Arial"/>
          <w:b/>
          <w:sz w:val="18"/>
          <w:szCs w:val="18"/>
        </w:rPr>
        <w:tab/>
        <w:t>MEMORIE VAN TOELICHTING</w:t>
      </w:r>
    </w:p>
    <w:p w:rsidR="009D7AD0" w:rsidRPr="001F1668" w:rsidRDefault="009D7AD0" w:rsidP="009D7AD0">
      <w:pPr>
        <w:spacing w:line="210" w:lineRule="atLeast"/>
        <w:ind w:left="3200"/>
        <w:rPr>
          <w:rFonts w:ascii="Verdana" w:hAnsi="Verdana" w:cs="Arial"/>
          <w:b/>
          <w:sz w:val="18"/>
          <w:szCs w:val="18"/>
        </w:rPr>
      </w:pPr>
    </w:p>
    <w:p w:rsidR="009D7AD0" w:rsidRPr="001F1668" w:rsidRDefault="009D7AD0" w:rsidP="009D7AD0">
      <w:pPr>
        <w:spacing w:line="210" w:lineRule="atLeast"/>
        <w:ind w:left="3200"/>
        <w:rPr>
          <w:rFonts w:ascii="Verdana" w:hAnsi="Verdana" w:cs="Arial"/>
          <w:b/>
          <w:sz w:val="18"/>
          <w:szCs w:val="18"/>
        </w:rPr>
      </w:pPr>
      <w:r w:rsidRPr="001F1668">
        <w:rPr>
          <w:rFonts w:ascii="Verdana" w:hAnsi="Verdana" w:cs="Arial"/>
          <w:b/>
          <w:sz w:val="18"/>
          <w:szCs w:val="18"/>
        </w:rPr>
        <w:t>A. ARTIKELSGEWIJZE TOELICHTING BIJ HET WETSVOORSTEL</w:t>
      </w:r>
    </w:p>
    <w:p w:rsidR="009D7AD0" w:rsidRPr="001F1668" w:rsidRDefault="009D7AD0" w:rsidP="009D7AD0">
      <w:pPr>
        <w:pStyle w:val="Kop1"/>
        <w:spacing w:line="210" w:lineRule="atLeast"/>
        <w:ind w:left="3200"/>
        <w:rPr>
          <w:rFonts w:ascii="Verdana" w:hAnsi="Verdana"/>
          <w:sz w:val="18"/>
          <w:szCs w:val="18"/>
        </w:rPr>
      </w:pPr>
      <w:r w:rsidRPr="001F1668">
        <w:rPr>
          <w:rFonts w:ascii="Verdana" w:hAnsi="Verdana"/>
          <w:sz w:val="18"/>
          <w:szCs w:val="18"/>
        </w:rPr>
        <w:t>Wetsartikel 1</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de begrotingsstaat van het provinciefonds voor het jaar 201</w:t>
      </w:r>
      <w:r>
        <w:rPr>
          <w:rFonts w:ascii="Verdana" w:hAnsi="Verdana" w:cs="Arial"/>
          <w:sz w:val="18"/>
          <w:szCs w:val="18"/>
        </w:rPr>
        <w:t>7</w:t>
      </w:r>
      <w:r w:rsidRPr="001F1668">
        <w:rPr>
          <w:rFonts w:ascii="Verdana" w:hAnsi="Verdana" w:cs="Arial"/>
          <w:sz w:val="18"/>
          <w:szCs w:val="18"/>
        </w:rPr>
        <w:t xml:space="preserve"> te wijzigen.</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Het begrotingsartikel wordt in onderdeel B. van deze memorie van toelichting toegelicht.</w:t>
      </w:r>
    </w:p>
    <w:p w:rsidR="009D7AD0" w:rsidRPr="001F1668" w:rsidRDefault="009D7AD0" w:rsidP="009D7AD0">
      <w:pPr>
        <w:pStyle w:val="Plattetekst"/>
        <w:spacing w:line="210" w:lineRule="atLeast"/>
        <w:ind w:left="3200"/>
        <w:rPr>
          <w:rFonts w:ascii="Verdana" w:hAnsi="Verdana" w:cs="Arial"/>
          <w:sz w:val="18"/>
          <w:szCs w:val="18"/>
        </w:rPr>
      </w:pPr>
    </w:p>
    <w:p w:rsidR="009D7AD0" w:rsidRPr="001F1668" w:rsidRDefault="009D7AD0" w:rsidP="009D7AD0">
      <w:pPr>
        <w:pStyle w:val="Plattetekst"/>
        <w:spacing w:line="210" w:lineRule="atLeast"/>
        <w:ind w:left="3200"/>
        <w:rPr>
          <w:rFonts w:ascii="Verdana" w:hAnsi="Verdana" w:cs="Arial"/>
          <w:sz w:val="18"/>
          <w:szCs w:val="18"/>
        </w:rPr>
      </w:pPr>
      <w:r w:rsidRPr="001F1668">
        <w:rPr>
          <w:rFonts w:ascii="Verdana" w:hAnsi="Verdana" w:cs="Arial"/>
          <w:sz w:val="18"/>
          <w:szCs w:val="18"/>
        </w:rPr>
        <w:t>Wetsartikel 3</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color w:val="000000"/>
          <w:sz w:val="18"/>
          <w:szCs w:val="18"/>
        </w:rPr>
      </w:pPr>
      <w:r w:rsidRPr="001F1668">
        <w:rPr>
          <w:rFonts w:ascii="Verdana" w:hAnsi="Verdana" w:cs="Arial"/>
          <w:sz w:val="18"/>
          <w:szCs w:val="18"/>
        </w:rPr>
        <w:t>Ingevolge artikel 5, eerste lid, van de Financiële-verhoudingswet hebben de provincies gezamenlijk recht op het bedrag dat in de begroting als verplichting voor het totaal van de algemene uitkering c.a. is opgenomen</w:t>
      </w:r>
      <w:r w:rsidRPr="001F1668">
        <w:rPr>
          <w:rFonts w:ascii="Verdana" w:hAnsi="Verdana" w:cs="Arial"/>
          <w:color w:val="000000"/>
          <w:sz w:val="18"/>
          <w:szCs w:val="18"/>
        </w:rPr>
        <w:t>.</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Ingevolge artikel 5, tweede lid, van de Financiële-verhoudingswet, hebben de provincies gezamenlijk recht op de bedragen die in de begroting als verplichting voor het totaal van de integratie-uitkeringen en het totaal van de decentralisatie-uitkeringen zijn opgenomen</w:t>
      </w:r>
      <w:r w:rsidRPr="001F1668">
        <w:rPr>
          <w:rFonts w:ascii="Verdana" w:hAnsi="Verdana" w:cs="Arial"/>
          <w:color w:val="000000"/>
          <w:sz w:val="18"/>
          <w:szCs w:val="18"/>
        </w:rPr>
        <w:t>.</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De Minister van Binnenlandse Zaken en Koninkrijksrelaties,</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R.H.A. Plasterk</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r w:rsidRPr="001F1668">
        <w:rPr>
          <w:rFonts w:ascii="Verdana" w:hAnsi="Verdana" w:cs="Arial"/>
          <w:sz w:val="18"/>
          <w:szCs w:val="18"/>
        </w:rPr>
        <w:t>De Staatssecretaris van Financiën,</w:t>
      </w: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Pr="001F1668" w:rsidRDefault="009D7AD0" w:rsidP="009D7AD0">
      <w:pPr>
        <w:spacing w:line="210" w:lineRule="atLeast"/>
        <w:ind w:left="3200"/>
        <w:rPr>
          <w:rFonts w:ascii="Verdana" w:hAnsi="Verdana" w:cs="Arial"/>
          <w:sz w:val="18"/>
          <w:szCs w:val="18"/>
        </w:rPr>
      </w:pPr>
    </w:p>
    <w:p w:rsidR="009D7AD0" w:rsidRDefault="009D7AD0" w:rsidP="009D7AD0">
      <w:pPr>
        <w:spacing w:line="210" w:lineRule="atLeast"/>
        <w:ind w:left="3240"/>
        <w:rPr>
          <w:rFonts w:ascii="Verdana" w:hAnsi="Verdana" w:cs="Arial"/>
          <w:sz w:val="18"/>
          <w:szCs w:val="18"/>
        </w:rPr>
      </w:pPr>
      <w:r w:rsidRPr="001F1668">
        <w:rPr>
          <w:rFonts w:ascii="Verdana" w:hAnsi="Verdana" w:cs="Arial"/>
          <w:sz w:val="18"/>
          <w:szCs w:val="18"/>
        </w:rPr>
        <w:t>E.D. Wiebes</w:t>
      </w:r>
    </w:p>
    <w:p w:rsidR="009D7AD0" w:rsidRDefault="009D7AD0" w:rsidP="009D7AD0">
      <w:pPr>
        <w:spacing w:line="210" w:lineRule="atLeast"/>
        <w:ind w:left="3240"/>
        <w:rPr>
          <w:rFonts w:ascii="Verdana" w:hAnsi="Verdana" w:cs="Arial"/>
          <w:sz w:val="18"/>
          <w:szCs w:val="18"/>
        </w:rPr>
      </w:pPr>
      <w:r>
        <w:rPr>
          <w:rFonts w:ascii="Verdana" w:hAnsi="Verdana" w:cs="Arial"/>
          <w:sz w:val="18"/>
          <w:szCs w:val="18"/>
        </w:rPr>
        <w:br w:type="page"/>
      </w:r>
      <w:r w:rsidRPr="006E1751">
        <w:rPr>
          <w:rFonts w:ascii="Verdana" w:hAnsi="Verdana" w:cs="Arial"/>
          <w:b/>
          <w:sz w:val="18"/>
          <w:szCs w:val="18"/>
        </w:rPr>
        <w:lastRenderedPageBreak/>
        <w:t>B. BEGROTINGSTOELICHTING</w:t>
      </w:r>
    </w:p>
    <w:p w:rsidR="009D7AD0" w:rsidRDefault="009D7AD0" w:rsidP="009D7AD0">
      <w:pPr>
        <w:spacing w:line="210" w:lineRule="atLeast"/>
        <w:ind w:left="3240"/>
        <w:rPr>
          <w:rFonts w:ascii="Verdana" w:hAnsi="Verdana" w:cs="Arial"/>
          <w:sz w:val="18"/>
          <w:szCs w:val="18"/>
        </w:rPr>
      </w:pPr>
    </w:p>
    <w:tbl>
      <w:tblPr>
        <w:tblpPr w:leftFromText="141" w:rightFromText="141" w:horzAnchor="page" w:tblpX="4551" w:tblpY="640"/>
        <w:tblW w:w="4882" w:type="dxa"/>
        <w:tblCellMar>
          <w:left w:w="70" w:type="dxa"/>
          <w:right w:w="70" w:type="dxa"/>
        </w:tblCellMar>
        <w:tblLook w:val="04A0" w:firstRow="1" w:lastRow="0" w:firstColumn="1" w:lastColumn="0" w:noHBand="0" w:noVBand="1"/>
      </w:tblPr>
      <w:tblGrid>
        <w:gridCol w:w="334"/>
        <w:gridCol w:w="3588"/>
        <w:gridCol w:w="960"/>
      </w:tblGrid>
      <w:tr w:rsidR="009D7AD0" w:rsidRPr="00EA460A" w:rsidTr="00221696">
        <w:trPr>
          <w:trHeight w:val="288"/>
        </w:trPr>
        <w:tc>
          <w:tcPr>
            <w:tcW w:w="3922" w:type="dxa"/>
            <w:gridSpan w:val="2"/>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bookmarkStart w:id="1" w:name="RANGE!A1:C14"/>
            <w:r w:rsidRPr="00EA460A">
              <w:rPr>
                <w:rFonts w:ascii="Verdana" w:hAnsi="Verdana"/>
                <w:b/>
                <w:bCs/>
                <w:sz w:val="18"/>
                <w:szCs w:val="18"/>
                <w:lang w:val="nl-NL"/>
              </w:rPr>
              <w:t>Inhoudsopgave</w:t>
            </w:r>
            <w:bookmarkEnd w:id="1"/>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blz.</w:t>
            </w: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Leeswijzer</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1.</w:t>
            </w: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Het beleid</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r w:rsidRPr="00EA460A">
              <w:rPr>
                <w:rFonts w:ascii="Verdana" w:hAnsi="Verdana"/>
                <w:sz w:val="18"/>
                <w:szCs w:val="18"/>
                <w:lang w:val="nl-NL"/>
              </w:rPr>
              <w:t>Overzicht uitgavenmutaties</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r w:rsidRPr="00EA460A">
              <w:rPr>
                <w:rFonts w:ascii="Verdana" w:hAnsi="Verdana"/>
                <w:sz w:val="18"/>
                <w:szCs w:val="18"/>
                <w:lang w:val="nl-NL"/>
              </w:rPr>
              <w:t>Toelichting op de beleidsmutaties</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2.</w:t>
            </w: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Het beleidsartikel</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r w:rsidRPr="00EA460A">
              <w:rPr>
                <w:rFonts w:ascii="Verdana" w:hAnsi="Verdana"/>
                <w:sz w:val="18"/>
                <w:szCs w:val="18"/>
                <w:lang w:val="nl-NL"/>
              </w:rPr>
              <w:t>Toelichting</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3.</w:t>
            </w: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Integratie-uitkeringen</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r w:rsidR="009D7AD0" w:rsidRPr="00EA460A" w:rsidTr="00221696">
        <w:trPr>
          <w:trHeight w:val="288"/>
        </w:trPr>
        <w:tc>
          <w:tcPr>
            <w:tcW w:w="334"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4.</w:t>
            </w:r>
          </w:p>
        </w:tc>
        <w:tc>
          <w:tcPr>
            <w:tcW w:w="3588"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r w:rsidRPr="00EA460A">
              <w:rPr>
                <w:rFonts w:ascii="Verdana" w:hAnsi="Verdana"/>
                <w:b/>
                <w:bCs/>
                <w:sz w:val="18"/>
                <w:szCs w:val="18"/>
                <w:lang w:val="nl-NL"/>
              </w:rPr>
              <w:t>Decentralisatie-uitkeringen</w:t>
            </w:r>
          </w:p>
        </w:tc>
        <w:tc>
          <w:tcPr>
            <w:tcW w:w="960" w:type="dxa"/>
            <w:tcBorders>
              <w:top w:val="nil"/>
              <w:left w:val="nil"/>
              <w:bottom w:val="nil"/>
              <w:right w:val="nil"/>
            </w:tcBorders>
            <w:shd w:val="clear" w:color="auto" w:fill="auto"/>
            <w:noWrap/>
            <w:vAlign w:val="bottom"/>
            <w:hideMark/>
          </w:tcPr>
          <w:p w:rsidR="009D7AD0" w:rsidRPr="00EA460A" w:rsidRDefault="009D7AD0" w:rsidP="00221696">
            <w:pPr>
              <w:rPr>
                <w:rFonts w:ascii="Verdana" w:hAnsi="Verdana"/>
                <w:b/>
                <w:bCs/>
                <w:sz w:val="18"/>
                <w:szCs w:val="18"/>
                <w:lang w:val="nl-NL"/>
              </w:rPr>
            </w:pPr>
          </w:p>
        </w:tc>
      </w:tr>
    </w:tbl>
    <w:p w:rsidR="009D7AD0" w:rsidRPr="006E1751" w:rsidRDefault="009D7AD0" w:rsidP="009D7AD0">
      <w:pPr>
        <w:spacing w:line="210" w:lineRule="atLeast"/>
        <w:ind w:left="3240"/>
        <w:rPr>
          <w:rFonts w:ascii="Verdana" w:hAnsi="Verdana" w:cs="Arial"/>
          <w:sz w:val="18"/>
          <w:szCs w:val="18"/>
        </w:rPr>
      </w:pPr>
      <w:r w:rsidRPr="00F62923">
        <w:rPr>
          <w:rFonts w:ascii="Arial" w:hAnsi="Arial" w:cs="Arial"/>
          <w:b/>
        </w:rPr>
        <w:br w:type="page"/>
      </w:r>
      <w:r w:rsidRPr="006E1751">
        <w:rPr>
          <w:rFonts w:ascii="Verdana" w:hAnsi="Verdana" w:cs="Arial"/>
          <w:b/>
          <w:sz w:val="18"/>
          <w:szCs w:val="18"/>
        </w:rPr>
        <w:lastRenderedPageBreak/>
        <w:t>Leeswijzer</w:t>
      </w:r>
    </w:p>
    <w:p w:rsidR="009D7AD0" w:rsidRPr="006E1751" w:rsidRDefault="009D7AD0" w:rsidP="009D7AD0">
      <w:pPr>
        <w:spacing w:line="210" w:lineRule="atLeast"/>
        <w:ind w:left="3200"/>
        <w:rPr>
          <w:rFonts w:ascii="Verdana" w:hAnsi="Verdana" w:cs="Arial"/>
          <w:sz w:val="18"/>
          <w:szCs w:val="18"/>
        </w:rPr>
      </w:pPr>
    </w:p>
    <w:p w:rsidR="009D7AD0" w:rsidRDefault="009D7AD0" w:rsidP="009D7AD0">
      <w:pPr>
        <w:pStyle w:val="Plattetekst21"/>
        <w:spacing w:line="210" w:lineRule="atLeast"/>
        <w:ind w:left="3200"/>
        <w:rPr>
          <w:rFonts w:ascii="Verdana" w:hAnsi="Verdana" w:cs="Arial"/>
          <w:sz w:val="18"/>
          <w:szCs w:val="18"/>
        </w:rPr>
      </w:pPr>
      <w:r w:rsidRPr="006E1751">
        <w:rPr>
          <w:rFonts w:ascii="Verdana" w:hAnsi="Verdana" w:cs="Arial"/>
          <w:sz w:val="18"/>
          <w:szCs w:val="18"/>
        </w:rPr>
        <w:t>Bij de eerste suppletoire begroting ligt de nadruk niet op de beleidsprioriteiten, zoals in de ontwerpbegroting 201</w:t>
      </w:r>
      <w:r>
        <w:rPr>
          <w:rFonts w:ascii="Verdana" w:hAnsi="Verdana" w:cs="Arial"/>
          <w:sz w:val="18"/>
          <w:szCs w:val="18"/>
        </w:rPr>
        <w:t>7</w:t>
      </w:r>
      <w:r w:rsidRPr="006E1751">
        <w:rPr>
          <w:rFonts w:ascii="Verdana" w:hAnsi="Verdana" w:cs="Arial"/>
          <w:sz w:val="18"/>
          <w:szCs w:val="18"/>
        </w:rPr>
        <w:t xml:space="preserve">, maar op de </w:t>
      </w:r>
    </w:p>
    <w:p w:rsidR="009D7AD0" w:rsidRPr="006E1751" w:rsidRDefault="009D7AD0" w:rsidP="009D7AD0">
      <w:pPr>
        <w:pStyle w:val="Plattetekst21"/>
        <w:spacing w:line="210" w:lineRule="atLeast"/>
        <w:ind w:left="3200"/>
        <w:rPr>
          <w:rFonts w:ascii="Verdana" w:hAnsi="Verdana" w:cs="Arial"/>
          <w:sz w:val="18"/>
          <w:szCs w:val="18"/>
        </w:rPr>
      </w:pPr>
      <w:r w:rsidRPr="006E1751">
        <w:rPr>
          <w:rFonts w:ascii="Verdana" w:hAnsi="Verdana" w:cs="Arial"/>
          <w:sz w:val="18"/>
          <w:szCs w:val="18"/>
        </w:rPr>
        <w:t>mutaties ten opzichte van deze ontwerpbegroting. De terugkoppeling over het gevoerde beleid in relatie tot de beleidsprioriteiten, zal centraal staan in de financiële verantwoording over 201</w:t>
      </w:r>
      <w:r>
        <w:rPr>
          <w:rFonts w:ascii="Verdana" w:hAnsi="Verdana" w:cs="Arial"/>
          <w:sz w:val="18"/>
          <w:szCs w:val="18"/>
        </w:rPr>
        <w:t>7</w:t>
      </w:r>
      <w:r w:rsidRPr="006E1751">
        <w:rPr>
          <w:rFonts w:ascii="Verdana" w:hAnsi="Verdana" w:cs="Arial"/>
          <w:sz w:val="18"/>
          <w:szCs w:val="18"/>
        </w:rPr>
        <w:t>.</w:t>
      </w:r>
    </w:p>
    <w:p w:rsidR="009D7AD0" w:rsidRPr="006E1751" w:rsidRDefault="009D7AD0" w:rsidP="009D7AD0">
      <w:pPr>
        <w:spacing w:line="210" w:lineRule="atLeast"/>
        <w:ind w:left="3200"/>
        <w:rPr>
          <w:rFonts w:ascii="Verdana" w:hAnsi="Verdana" w:cs="Arial"/>
          <w:sz w:val="18"/>
          <w:szCs w:val="18"/>
        </w:rPr>
      </w:pPr>
      <w:r w:rsidRPr="006E1751">
        <w:rPr>
          <w:rFonts w:ascii="Verdana" w:hAnsi="Verdana" w:cs="Arial"/>
          <w:sz w:val="18"/>
          <w:szCs w:val="18"/>
        </w:rPr>
        <w:t>De indeling van deze suppletoire begroting is als volgt. Paragraaf 1 start met het beschrijven van de beleidsmutaties. Kort zal worden toegelicht wat de omvang en de reden van de uitgavenmutaties is. Vervolgens wordt in paragraaf 2 (“het beleidsartikel”), ingegaan op de “budgettaire gevolgen van beleid”. Deze paragraaf geeft inzicht in de integrale uitgaven die samenhangen met de hoofdbeleidsdoelstelling. Hierin worden de veranderingen op artikelonderdeel-niveau belicht. Tot slot, in paragraaf 3 en 4, een overzicht van de integratie-uitkeringen en de decentralisatie-uitkeringen.</w:t>
      </w: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sz w:val="18"/>
          <w:szCs w:val="18"/>
        </w:rPr>
        <w:t xml:space="preserve">  </w:t>
      </w: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b/>
          <w:sz w:val="18"/>
          <w:szCs w:val="18"/>
        </w:rPr>
        <w:t>1. Het beleid</w:t>
      </w:r>
    </w:p>
    <w:p w:rsidR="009D7AD0" w:rsidRPr="006E1751" w:rsidRDefault="009D7AD0" w:rsidP="009D7AD0">
      <w:pPr>
        <w:spacing w:line="210" w:lineRule="atLeast"/>
        <w:ind w:left="3200"/>
        <w:rPr>
          <w:rFonts w:ascii="Verdana" w:hAnsi="Verdana" w:cs="Arial"/>
          <w:b/>
          <w:sz w:val="18"/>
          <w:szCs w:val="18"/>
        </w:rPr>
      </w:pP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b/>
          <w:sz w:val="18"/>
          <w:szCs w:val="18"/>
        </w:rPr>
        <w:t>Overzicht uitgavenmutaties</w:t>
      </w:r>
    </w:p>
    <w:p w:rsidR="009D7AD0" w:rsidRPr="006E1751" w:rsidRDefault="009D7AD0" w:rsidP="009D7AD0">
      <w:pPr>
        <w:spacing w:line="210" w:lineRule="atLeast"/>
        <w:ind w:left="3200"/>
        <w:rPr>
          <w:rFonts w:ascii="Verdana" w:hAnsi="Verdana" w:cs="Arial"/>
          <w:sz w:val="18"/>
          <w:szCs w:val="18"/>
        </w:rPr>
      </w:pPr>
    </w:p>
    <w:p w:rsidR="009D7AD0" w:rsidRPr="006E1751" w:rsidRDefault="009D7AD0" w:rsidP="009D7AD0">
      <w:pPr>
        <w:spacing w:line="210" w:lineRule="atLeast"/>
        <w:ind w:left="3200"/>
        <w:rPr>
          <w:rFonts w:ascii="Verdana" w:hAnsi="Verdana" w:cs="Arial"/>
          <w:sz w:val="18"/>
          <w:szCs w:val="18"/>
        </w:rPr>
      </w:pPr>
      <w:r w:rsidRPr="006E1751">
        <w:rPr>
          <w:rFonts w:ascii="Verdana" w:hAnsi="Verdana" w:cs="Arial"/>
          <w:sz w:val="18"/>
          <w:szCs w:val="18"/>
        </w:rPr>
        <w:t xml:space="preserve">In de onderstaande overzichtstabel </w:t>
      </w:r>
      <w:r>
        <w:rPr>
          <w:rFonts w:ascii="Verdana" w:hAnsi="Verdana" w:cs="Arial"/>
          <w:sz w:val="18"/>
          <w:szCs w:val="18"/>
        </w:rPr>
        <w:t xml:space="preserve">B1 </w:t>
      </w:r>
      <w:r w:rsidRPr="006E1751">
        <w:rPr>
          <w:rFonts w:ascii="Verdana" w:hAnsi="Verdana" w:cs="Arial"/>
          <w:sz w:val="18"/>
          <w:szCs w:val="18"/>
        </w:rPr>
        <w:t>wor</w:t>
      </w:r>
      <w:r>
        <w:rPr>
          <w:rFonts w:ascii="Verdana" w:hAnsi="Verdana" w:cs="Arial"/>
          <w:sz w:val="18"/>
          <w:szCs w:val="18"/>
        </w:rPr>
        <w:t>dt een overzicht gegeven van de</w:t>
      </w:r>
      <w:r w:rsidRPr="006E1751">
        <w:rPr>
          <w:rFonts w:ascii="Verdana" w:hAnsi="Verdana" w:cs="Arial"/>
          <w:sz w:val="18"/>
          <w:szCs w:val="18"/>
        </w:rPr>
        <w:t xml:space="preserve"> mutaties die zich in de periode vanaf de ontwerpbegroting 201</w:t>
      </w:r>
      <w:r>
        <w:rPr>
          <w:rFonts w:ascii="Verdana" w:hAnsi="Verdana" w:cs="Arial"/>
          <w:sz w:val="18"/>
          <w:szCs w:val="18"/>
        </w:rPr>
        <w:t>7</w:t>
      </w:r>
      <w:r w:rsidRPr="006E1751">
        <w:rPr>
          <w:rFonts w:ascii="Verdana" w:hAnsi="Verdana" w:cs="Arial"/>
          <w:sz w:val="18"/>
          <w:szCs w:val="18"/>
        </w:rPr>
        <w:t xml:space="preserve"> tot en met de eerste suppletoire begroting </w:t>
      </w:r>
      <w:r w:rsidRPr="007E47BE">
        <w:rPr>
          <w:rFonts w:ascii="Verdana" w:hAnsi="Verdana" w:cs="Arial"/>
          <w:sz w:val="18"/>
          <w:szCs w:val="18"/>
        </w:rPr>
        <w:t>201</w:t>
      </w:r>
      <w:r>
        <w:rPr>
          <w:rFonts w:ascii="Verdana" w:hAnsi="Verdana" w:cs="Arial"/>
          <w:sz w:val="18"/>
          <w:szCs w:val="18"/>
        </w:rPr>
        <w:t>7</w:t>
      </w:r>
      <w:r w:rsidRPr="007E47BE">
        <w:rPr>
          <w:rFonts w:ascii="Verdana" w:hAnsi="Verdana" w:cs="Arial"/>
          <w:sz w:val="18"/>
          <w:szCs w:val="18"/>
        </w:rPr>
        <w:t xml:space="preserve"> hebben voorgedaan in de uitgaven. De weergegeven mutaties</w:t>
      </w:r>
      <w:r w:rsidRPr="006E1751">
        <w:rPr>
          <w:rFonts w:ascii="Verdana" w:hAnsi="Verdana" w:cs="Arial"/>
          <w:sz w:val="18"/>
          <w:szCs w:val="18"/>
        </w:rPr>
        <w:t xml:space="preserve"> worden onder de tabel afzonderlijk toegelicht.</w:t>
      </w:r>
    </w:p>
    <w:p w:rsidR="009D7AD0" w:rsidRDefault="009D7AD0" w:rsidP="009D7AD0">
      <w:pPr>
        <w:spacing w:line="210" w:lineRule="atLeast"/>
        <w:ind w:left="3200"/>
        <w:rPr>
          <w:rFonts w:ascii="Verdana" w:hAnsi="Verdana" w:cs="Arial"/>
          <w:sz w:val="18"/>
          <w:szCs w:val="18"/>
        </w:rPr>
      </w:pPr>
      <w:r w:rsidRPr="006E1751">
        <w:rPr>
          <w:rFonts w:ascii="Verdana" w:hAnsi="Verdana" w:cs="Arial"/>
          <w:sz w:val="18"/>
          <w:szCs w:val="18"/>
        </w:rPr>
        <w:t xml:space="preserve"> </w:t>
      </w:r>
    </w:p>
    <w:p w:rsidR="009D7AD0" w:rsidRDefault="009D7AD0" w:rsidP="009D7AD0">
      <w:pPr>
        <w:spacing w:line="210" w:lineRule="atLeast"/>
        <w:ind w:left="3200"/>
        <w:rPr>
          <w:rFonts w:ascii="Verdana" w:hAnsi="Verdana" w:cs="Arial"/>
          <w:b/>
          <w:sz w:val="18"/>
          <w:szCs w:val="18"/>
        </w:rPr>
      </w:pPr>
      <w:r w:rsidRPr="002936D0">
        <w:rPr>
          <w:rFonts w:ascii="Verdana" w:hAnsi="Verdana" w:cs="Arial"/>
          <w:b/>
          <w:sz w:val="18"/>
          <w:szCs w:val="18"/>
        </w:rPr>
        <w:t xml:space="preserve">Tabel B1: Overzicht suppletoire begrotingsmutaties </w:t>
      </w:r>
      <w:r>
        <w:rPr>
          <w:rFonts w:ascii="Verdana" w:hAnsi="Verdana" w:cs="Arial"/>
          <w:b/>
          <w:sz w:val="18"/>
          <w:szCs w:val="18"/>
        </w:rPr>
        <w:t>(</w:t>
      </w:r>
      <w:r w:rsidRPr="002936D0">
        <w:rPr>
          <w:rFonts w:ascii="Verdana" w:hAnsi="Verdana" w:cs="Arial"/>
          <w:b/>
          <w:sz w:val="18"/>
          <w:szCs w:val="18"/>
        </w:rPr>
        <w:t>Eerste supple</w:t>
      </w:r>
      <w:r>
        <w:rPr>
          <w:rFonts w:ascii="Verdana" w:hAnsi="Verdana" w:cs="Arial"/>
          <w:b/>
          <w:sz w:val="18"/>
          <w:szCs w:val="18"/>
        </w:rPr>
        <w:t xml:space="preserve">toire begroting; </w:t>
      </w:r>
      <w:r w:rsidRPr="002936D0">
        <w:rPr>
          <w:rFonts w:ascii="Verdana" w:hAnsi="Verdana" w:cs="Arial"/>
          <w:b/>
          <w:sz w:val="18"/>
          <w:szCs w:val="18"/>
        </w:rPr>
        <w:t>bedragen x € 1.000)</w:t>
      </w:r>
    </w:p>
    <w:p w:rsidR="009D7AD0" w:rsidRPr="002936D0" w:rsidRDefault="009D7AD0" w:rsidP="009D7AD0">
      <w:pPr>
        <w:spacing w:line="210" w:lineRule="atLeast"/>
        <w:ind w:left="3200"/>
        <w:rPr>
          <w:rFonts w:ascii="Verdana" w:hAnsi="Verdana" w:cs="Arial"/>
          <w:b/>
          <w:sz w:val="18"/>
          <w:szCs w:val="18"/>
        </w:rPr>
      </w:pPr>
    </w:p>
    <w:tbl>
      <w:tblPr>
        <w:tblW w:w="6873" w:type="dxa"/>
        <w:tblInd w:w="55" w:type="dxa"/>
        <w:tblCellMar>
          <w:left w:w="70" w:type="dxa"/>
          <w:right w:w="70" w:type="dxa"/>
        </w:tblCellMar>
        <w:tblLook w:val="04A0" w:firstRow="1" w:lastRow="0" w:firstColumn="1" w:lastColumn="0" w:noHBand="0" w:noVBand="1"/>
      </w:tblPr>
      <w:tblGrid>
        <w:gridCol w:w="440"/>
        <w:gridCol w:w="5473"/>
        <w:gridCol w:w="960"/>
      </w:tblGrid>
      <w:tr w:rsidR="009D7AD0" w:rsidRPr="0077720C" w:rsidTr="00221696">
        <w:trPr>
          <w:trHeight w:val="315"/>
          <w:tblHeader/>
        </w:trPr>
        <w:tc>
          <w:tcPr>
            <w:tcW w:w="440" w:type="dxa"/>
            <w:tcBorders>
              <w:top w:val="single" w:sz="8" w:space="0" w:color="auto"/>
              <w:left w:val="nil"/>
              <w:bottom w:val="single" w:sz="8" w:space="0" w:color="auto"/>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5473" w:type="dxa"/>
            <w:tcBorders>
              <w:top w:val="single" w:sz="8" w:space="0" w:color="auto"/>
              <w:left w:val="nil"/>
              <w:bottom w:val="single" w:sz="8" w:space="0" w:color="auto"/>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960" w:type="dxa"/>
            <w:tcBorders>
              <w:top w:val="single" w:sz="8" w:space="0" w:color="auto"/>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2017</w:t>
            </w:r>
          </w:p>
        </w:tc>
      </w:tr>
      <w:tr w:rsidR="009D7AD0" w:rsidRPr="0077720C" w:rsidTr="00221696">
        <w:trPr>
          <w:trHeight w:val="315"/>
        </w:trPr>
        <w:tc>
          <w:tcPr>
            <w:tcW w:w="5913" w:type="dxa"/>
            <w:gridSpan w:val="2"/>
            <w:tcBorders>
              <w:top w:val="single" w:sz="8" w:space="0" w:color="auto"/>
              <w:left w:val="nil"/>
              <w:bottom w:val="single" w:sz="8" w:space="0" w:color="auto"/>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uitgavenbedrag ontwerpbegroting 2017</w:t>
            </w:r>
          </w:p>
        </w:tc>
        <w:tc>
          <w:tcPr>
            <w:tcW w:w="960"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2.199.585</w:t>
            </w:r>
          </w:p>
        </w:tc>
      </w:tr>
      <w:tr w:rsidR="009D7AD0" w:rsidRPr="0077720C" w:rsidTr="00221696">
        <w:trPr>
          <w:trHeight w:val="150"/>
        </w:trPr>
        <w:tc>
          <w:tcPr>
            <w:tcW w:w="440"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15"/>
        </w:trPr>
        <w:tc>
          <w:tcPr>
            <w:tcW w:w="5913" w:type="dxa"/>
            <w:gridSpan w:val="2"/>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Mutaties nog niet opgenomen in een begrotingsstuk:</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15"/>
        </w:trPr>
        <w:tc>
          <w:tcPr>
            <w:tcW w:w="44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w:t>
            </w: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color w:val="000000"/>
                <w:sz w:val="16"/>
                <w:szCs w:val="16"/>
                <w:lang w:val="nl-NL"/>
              </w:rPr>
            </w:pPr>
            <w:r w:rsidRPr="0077720C">
              <w:rPr>
                <w:rFonts w:ascii="Arial" w:hAnsi="Arial" w:cs="Arial"/>
                <w:color w:val="000000"/>
                <w:sz w:val="16"/>
                <w:szCs w:val="16"/>
                <w:lang w:val="nl-NL"/>
              </w:rPr>
              <w:t>Wijziging betalingsverloop decentralisatie-uitkeringen 2016</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2a)</w:t>
            </w: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(incidenteel)</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3.133</w:t>
            </w:r>
          </w:p>
        </w:tc>
      </w:tr>
      <w:tr w:rsidR="009D7AD0" w:rsidRPr="0077720C" w:rsidTr="00221696">
        <w:trPr>
          <w:trHeight w:val="315"/>
        </w:trPr>
        <w:tc>
          <w:tcPr>
            <w:tcW w:w="44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2b)</w:t>
            </w: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(structureel)</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3.133</w:t>
            </w:r>
          </w:p>
        </w:tc>
      </w:tr>
      <w:tr w:rsidR="009D7AD0" w:rsidRPr="0077720C" w:rsidTr="00221696">
        <w:trPr>
          <w:trHeight w:val="315"/>
        </w:trPr>
        <w:tc>
          <w:tcPr>
            <w:tcW w:w="44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w:t>
            </w: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2017</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11.277</w:t>
            </w:r>
          </w:p>
        </w:tc>
      </w:tr>
      <w:tr w:rsidR="009D7AD0" w:rsidRPr="0077720C" w:rsidTr="00221696">
        <w:trPr>
          <w:trHeight w:val="315"/>
        </w:trPr>
        <w:tc>
          <w:tcPr>
            <w:tcW w:w="44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4)</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Plafond BTW-compensatiefonds 2016</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-8.397</w:t>
            </w:r>
          </w:p>
        </w:tc>
      </w:tr>
      <w:tr w:rsidR="009D7AD0" w:rsidRPr="0077720C" w:rsidTr="00221696">
        <w:trPr>
          <w:trHeight w:val="480"/>
        </w:trPr>
        <w:tc>
          <w:tcPr>
            <w:tcW w:w="44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Programma Rijke Waddenzee Vismigratie Afsluitdijk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2.893</w:t>
            </w:r>
          </w:p>
        </w:tc>
      </w:tr>
      <w:tr w:rsidR="009D7AD0" w:rsidRPr="0077720C" w:rsidTr="00221696">
        <w:trPr>
          <w:trHeight w:val="315"/>
        </w:trPr>
        <w:tc>
          <w:tcPr>
            <w:tcW w:w="44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6)</w:t>
            </w: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Verduurzaming ketens Energie-Chemie Eemsdelta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35</w:t>
            </w:r>
          </w:p>
        </w:tc>
      </w:tr>
      <w:tr w:rsidR="009D7AD0" w:rsidRPr="0077720C" w:rsidTr="00221696">
        <w:trPr>
          <w:trHeight w:val="46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7)</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BDU Verkeer en vervoer Maaslijn Electrificatie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-1.483</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Hydrologische Maatregelen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5.900</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9)</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Luchtvaarttaken (algemene 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825</w:t>
            </w:r>
          </w:p>
        </w:tc>
      </w:tr>
      <w:tr w:rsidR="009D7AD0" w:rsidRPr="0077720C" w:rsidTr="00221696">
        <w:trPr>
          <w:trHeight w:val="43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10)</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MKB Innovatiestimulering Topsectoren MIT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1.515</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11)</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Innovatiebudget handelsregister (algemene 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-14</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12)</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Meerjarenprogramma Eems-Dollard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248</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MIRT-project IJsseldelta Fase 2 (decentralisatie-uiotkering)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5.890</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Beter benutten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44.594</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Erfgoed en ruimte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562</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16)</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Ontwikkelingsbedrijf NOM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2.000</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lastRenderedPageBreak/>
              <w:t>17)</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Monumenten Eusebius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4.000</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18)</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Pr>
                <w:rFonts w:ascii="Arial" w:hAnsi="Arial" w:cs="Arial"/>
                <w:sz w:val="16"/>
                <w:szCs w:val="16"/>
                <w:lang w:val="nl-NL"/>
              </w:rPr>
              <w:t xml:space="preserve">Projectstimuleringsregeling </w:t>
            </w:r>
            <w:r w:rsidRPr="0077720C">
              <w:rPr>
                <w:rFonts w:ascii="Arial" w:hAnsi="Arial" w:cs="Arial"/>
                <w:sz w:val="16"/>
                <w:szCs w:val="16"/>
                <w:lang w:val="nl-NL"/>
              </w:rPr>
              <w:t>Interreg V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24</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19)</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 Landbouw Veenkoloniën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5</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20)</w:t>
            </w:r>
          </w:p>
        </w:tc>
        <w:tc>
          <w:tcPr>
            <w:tcW w:w="5473"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Natuur (decentralisatie-uitkering)</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9.500</w:t>
            </w:r>
          </w:p>
        </w:tc>
      </w:tr>
      <w:tr w:rsidR="009D7AD0" w:rsidRPr="0077720C" w:rsidTr="00221696">
        <w:trPr>
          <w:trHeight w:val="300"/>
        </w:trPr>
        <w:tc>
          <w:tcPr>
            <w:tcW w:w="440"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913" w:type="dxa"/>
            <w:gridSpan w:val="2"/>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Totaal nieuwe mutaties</w:t>
            </w:r>
          </w:p>
        </w:tc>
        <w:tc>
          <w:tcPr>
            <w:tcW w:w="960" w:type="dxa"/>
            <w:tcBorders>
              <w:top w:val="single" w:sz="4" w:space="0" w:color="auto"/>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85.639</w:t>
            </w:r>
          </w:p>
        </w:tc>
      </w:tr>
      <w:tr w:rsidR="009D7AD0" w:rsidRPr="0077720C" w:rsidTr="00221696">
        <w:trPr>
          <w:trHeight w:val="315"/>
        </w:trPr>
        <w:tc>
          <w:tcPr>
            <w:tcW w:w="440"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p>
        </w:tc>
        <w:tc>
          <w:tcPr>
            <w:tcW w:w="547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15"/>
        </w:trPr>
        <w:tc>
          <w:tcPr>
            <w:tcW w:w="5913" w:type="dxa"/>
            <w:gridSpan w:val="2"/>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1e suppletoire begroting 2017</w:t>
            </w:r>
          </w:p>
        </w:tc>
        <w:tc>
          <w:tcPr>
            <w:tcW w:w="960"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2.285.224</w:t>
            </w:r>
          </w:p>
        </w:tc>
      </w:tr>
    </w:tbl>
    <w:p w:rsidR="009D7AD0" w:rsidRDefault="009D7AD0" w:rsidP="009D7AD0">
      <w:pPr>
        <w:pStyle w:val="Plattetekst"/>
        <w:spacing w:line="210" w:lineRule="atLeast"/>
        <w:ind w:left="3200"/>
        <w:rPr>
          <w:rFonts w:ascii="Verdana" w:hAnsi="Verdana" w:cs="Arial"/>
          <w:sz w:val="18"/>
          <w:szCs w:val="18"/>
        </w:rPr>
      </w:pPr>
    </w:p>
    <w:p w:rsidR="009D7AD0" w:rsidRPr="006E1751" w:rsidRDefault="009D7AD0" w:rsidP="009D7AD0">
      <w:pPr>
        <w:pStyle w:val="Plattetekst"/>
        <w:spacing w:line="210" w:lineRule="atLeast"/>
        <w:ind w:left="3200"/>
        <w:rPr>
          <w:rFonts w:ascii="Verdana" w:hAnsi="Verdana" w:cs="Arial"/>
          <w:sz w:val="18"/>
          <w:szCs w:val="18"/>
        </w:rPr>
      </w:pPr>
      <w:r w:rsidRPr="006E1751">
        <w:rPr>
          <w:rFonts w:ascii="Verdana" w:hAnsi="Verdana" w:cs="Arial"/>
          <w:sz w:val="18"/>
          <w:szCs w:val="18"/>
        </w:rPr>
        <w:t>Toelichting op de beleids</w:t>
      </w:r>
      <w:r>
        <w:rPr>
          <w:rFonts w:ascii="Verdana" w:hAnsi="Verdana" w:cs="Arial"/>
          <w:sz w:val="18"/>
          <w:szCs w:val="18"/>
        </w:rPr>
        <w:t>mutaties</w:t>
      </w:r>
    </w:p>
    <w:p w:rsidR="009D7AD0" w:rsidRPr="006E1751" w:rsidRDefault="009D7AD0" w:rsidP="009D7AD0">
      <w:pPr>
        <w:spacing w:line="210" w:lineRule="atLeast"/>
        <w:ind w:left="3200"/>
        <w:rPr>
          <w:rFonts w:ascii="Verdana" w:hAnsi="Verdana" w:cs="Arial"/>
          <w:sz w:val="18"/>
          <w:szCs w:val="18"/>
        </w:rPr>
      </w:pPr>
    </w:p>
    <w:p w:rsidR="009D7AD0" w:rsidRPr="006E1751" w:rsidRDefault="009D7AD0" w:rsidP="009D7AD0">
      <w:pPr>
        <w:spacing w:line="210" w:lineRule="atLeast"/>
        <w:ind w:left="3200"/>
        <w:rPr>
          <w:rFonts w:ascii="Verdana" w:hAnsi="Verdana" w:cs="Arial"/>
          <w:i/>
          <w:sz w:val="18"/>
          <w:szCs w:val="18"/>
        </w:rPr>
      </w:pPr>
      <w:r w:rsidRPr="006E1751">
        <w:rPr>
          <w:rFonts w:ascii="Verdana" w:hAnsi="Verdana" w:cs="Arial"/>
          <w:color w:val="000000"/>
          <w:sz w:val="18"/>
          <w:szCs w:val="18"/>
        </w:rPr>
        <w:t xml:space="preserve">1a </w:t>
      </w:r>
      <w:r w:rsidRPr="006E1751">
        <w:rPr>
          <w:rFonts w:ascii="Verdana" w:hAnsi="Verdana" w:cs="Arial"/>
          <w:i/>
          <w:sz w:val="18"/>
          <w:szCs w:val="18"/>
        </w:rPr>
        <w:t>en b) Wijziging betalingsverloop decentralisatie-uitkeringen 201</w:t>
      </w:r>
      <w:r>
        <w:rPr>
          <w:rFonts w:ascii="Verdana" w:hAnsi="Verdana" w:cs="Arial"/>
          <w:i/>
          <w:sz w:val="18"/>
          <w:szCs w:val="18"/>
        </w:rPr>
        <w:t>6</w:t>
      </w:r>
    </w:p>
    <w:p w:rsidR="009D7AD0" w:rsidRPr="006E1751" w:rsidRDefault="009D7AD0" w:rsidP="009D7AD0">
      <w:pPr>
        <w:spacing w:line="210" w:lineRule="atLeast"/>
        <w:ind w:left="3198"/>
        <w:rPr>
          <w:rFonts w:ascii="Verdana" w:hAnsi="Verdana" w:cs="Arial"/>
          <w:sz w:val="18"/>
          <w:szCs w:val="18"/>
        </w:rPr>
      </w:pPr>
      <w:r w:rsidRPr="006E1751">
        <w:rPr>
          <w:rFonts w:ascii="Verdana" w:hAnsi="Verdana" w:cs="Arial"/>
          <w:sz w:val="18"/>
          <w:szCs w:val="18"/>
        </w:rPr>
        <w:t xml:space="preserve">In </w:t>
      </w:r>
      <w:r>
        <w:rPr>
          <w:rFonts w:ascii="Verdana" w:hAnsi="Verdana" w:cs="Arial"/>
          <w:sz w:val="18"/>
          <w:szCs w:val="18"/>
        </w:rPr>
        <w:t>de</w:t>
      </w:r>
      <w:r w:rsidRPr="006E1751">
        <w:rPr>
          <w:rFonts w:ascii="Verdana" w:hAnsi="Verdana" w:cs="Arial"/>
          <w:sz w:val="18"/>
          <w:szCs w:val="18"/>
        </w:rPr>
        <w:t xml:space="preserve"> Slotwet 201</w:t>
      </w:r>
      <w:r>
        <w:rPr>
          <w:rFonts w:ascii="Verdana" w:hAnsi="Verdana" w:cs="Arial"/>
          <w:sz w:val="18"/>
          <w:szCs w:val="18"/>
        </w:rPr>
        <w:t>6</w:t>
      </w:r>
      <w:r w:rsidRPr="006E1751">
        <w:rPr>
          <w:rFonts w:ascii="Verdana" w:hAnsi="Verdana" w:cs="Arial"/>
          <w:sz w:val="18"/>
          <w:szCs w:val="18"/>
        </w:rPr>
        <w:t xml:space="preserve"> van het provinciefonds is vastgesteld hoe de in 201</w:t>
      </w:r>
      <w:r>
        <w:rPr>
          <w:rFonts w:ascii="Verdana" w:hAnsi="Verdana" w:cs="Arial"/>
          <w:sz w:val="18"/>
          <w:szCs w:val="18"/>
        </w:rPr>
        <w:t>6</w:t>
      </w:r>
      <w:r w:rsidRPr="006E1751">
        <w:rPr>
          <w:rFonts w:ascii="Verdana" w:hAnsi="Verdana" w:cs="Arial"/>
          <w:sz w:val="18"/>
          <w:szCs w:val="18"/>
        </w:rPr>
        <w:t xml:space="preserve"> gerealiseerde uitbetalingen voor de algemene-uitkering en decentralisatie-uitkeringen aan de provincies zich verhouden tot het bedrag dat bij de 2</w:t>
      </w:r>
      <w:r w:rsidRPr="00091C61">
        <w:rPr>
          <w:rFonts w:ascii="Verdana" w:hAnsi="Verdana" w:cs="Arial"/>
          <w:sz w:val="18"/>
          <w:szCs w:val="18"/>
          <w:vertAlign w:val="superscript"/>
        </w:rPr>
        <w:t>e</w:t>
      </w:r>
      <w:r>
        <w:rPr>
          <w:rFonts w:ascii="Verdana" w:hAnsi="Verdana" w:cs="Arial"/>
          <w:sz w:val="18"/>
          <w:szCs w:val="18"/>
        </w:rPr>
        <w:t xml:space="preserve"> </w:t>
      </w:r>
      <w:r w:rsidRPr="006E1751">
        <w:rPr>
          <w:rFonts w:ascii="Verdana" w:hAnsi="Verdana" w:cs="Arial"/>
          <w:sz w:val="18"/>
          <w:szCs w:val="18"/>
        </w:rPr>
        <w:t>suppletoire begroting 201</w:t>
      </w:r>
      <w:r>
        <w:rPr>
          <w:rFonts w:ascii="Verdana" w:hAnsi="Verdana" w:cs="Arial"/>
          <w:sz w:val="18"/>
          <w:szCs w:val="18"/>
        </w:rPr>
        <w:t>6</w:t>
      </w:r>
      <w:r w:rsidRPr="006E1751">
        <w:rPr>
          <w:rFonts w:ascii="Verdana" w:hAnsi="Verdana" w:cs="Arial"/>
          <w:sz w:val="18"/>
          <w:szCs w:val="18"/>
        </w:rPr>
        <w:t xml:space="preserve"> voor de uitbetalingen is geraamd. Daarbij is gebleken dat er bij de </w:t>
      </w:r>
      <w:r>
        <w:rPr>
          <w:rFonts w:ascii="Verdana" w:hAnsi="Verdana" w:cs="Arial"/>
          <w:sz w:val="18"/>
          <w:szCs w:val="18"/>
        </w:rPr>
        <w:t>decentralisatie-</w:t>
      </w:r>
      <w:r w:rsidRPr="006E1751">
        <w:rPr>
          <w:rFonts w:ascii="Verdana" w:hAnsi="Verdana" w:cs="Arial"/>
          <w:sz w:val="18"/>
          <w:szCs w:val="18"/>
        </w:rPr>
        <w:t xml:space="preserve">uitkering </w:t>
      </w:r>
      <w:r w:rsidRPr="009D27C6">
        <w:rPr>
          <w:rFonts w:ascii="Verdana" w:hAnsi="Verdana" w:cs="Arial"/>
          <w:sz w:val="18"/>
          <w:szCs w:val="18"/>
        </w:rPr>
        <w:t>hogere</w:t>
      </w:r>
      <w:r w:rsidRPr="006E1751">
        <w:rPr>
          <w:rFonts w:ascii="Verdana" w:hAnsi="Verdana" w:cs="Arial"/>
          <w:sz w:val="18"/>
          <w:szCs w:val="18"/>
        </w:rPr>
        <w:t xml:space="preserve"> uitbetalingen zijn gedaan dan bij Najaarsnota 201</w:t>
      </w:r>
      <w:r>
        <w:rPr>
          <w:rFonts w:ascii="Verdana" w:hAnsi="Verdana" w:cs="Arial"/>
          <w:sz w:val="18"/>
          <w:szCs w:val="18"/>
        </w:rPr>
        <w:t>6</w:t>
      </w:r>
      <w:r w:rsidRPr="006E1751">
        <w:rPr>
          <w:rFonts w:ascii="Verdana" w:hAnsi="Verdana" w:cs="Arial"/>
          <w:sz w:val="18"/>
          <w:szCs w:val="18"/>
        </w:rPr>
        <w:t xml:space="preserve"> werden verwacht. Het gaat hierbij om een verschil van </w:t>
      </w:r>
      <w:r>
        <w:rPr>
          <w:rFonts w:ascii="Verdana" w:hAnsi="Verdana" w:cs="Arial"/>
          <w:sz w:val="18"/>
          <w:szCs w:val="18"/>
        </w:rPr>
        <w:t>€ 1.000.</w:t>
      </w:r>
      <w:r w:rsidRPr="006E1751">
        <w:rPr>
          <w:rFonts w:ascii="Verdana" w:hAnsi="Verdana" w:cs="Arial"/>
          <w:sz w:val="18"/>
          <w:szCs w:val="18"/>
        </w:rPr>
        <w:t xml:space="preserve"> </w:t>
      </w:r>
      <w:r>
        <w:rPr>
          <w:rFonts w:ascii="Verdana" w:hAnsi="Verdana" w:cs="Arial"/>
          <w:sz w:val="18"/>
          <w:szCs w:val="18"/>
        </w:rPr>
        <w:t xml:space="preserve">Deze verschillen kunnen ontstaan doordat op het moment van uitbetaling nog niet alle verdeelmaatstaven, of uit te keren bedragen per provincie, definitief zijn. Zie ook </w:t>
      </w:r>
      <w:r w:rsidRPr="006E1751">
        <w:rPr>
          <w:rFonts w:ascii="Verdana" w:hAnsi="Verdana" w:cs="Arial"/>
          <w:sz w:val="18"/>
          <w:szCs w:val="18"/>
        </w:rPr>
        <w:t>de Slotwet</w:t>
      </w:r>
      <w:r>
        <w:rPr>
          <w:rFonts w:ascii="Verdana" w:hAnsi="Verdana" w:cs="Arial"/>
          <w:sz w:val="18"/>
          <w:szCs w:val="18"/>
        </w:rPr>
        <w:t xml:space="preserve"> 2016</w:t>
      </w:r>
      <w:r w:rsidRPr="006E1751">
        <w:rPr>
          <w:rFonts w:ascii="Verdana" w:hAnsi="Verdana" w:cs="Arial"/>
          <w:sz w:val="18"/>
          <w:szCs w:val="18"/>
        </w:rPr>
        <w:t xml:space="preserve"> van het</w:t>
      </w:r>
      <w:r>
        <w:rPr>
          <w:rFonts w:ascii="Verdana" w:hAnsi="Verdana" w:cs="Arial"/>
          <w:sz w:val="18"/>
          <w:szCs w:val="18"/>
        </w:rPr>
        <w:t xml:space="preserve"> provinciefonds (</w:t>
      </w:r>
      <w:r w:rsidRPr="00387331">
        <w:rPr>
          <w:rFonts w:ascii="Verdana" w:hAnsi="Verdana" w:cs="Arial"/>
          <w:sz w:val="18"/>
          <w:szCs w:val="18"/>
        </w:rPr>
        <w:t>TK 34 725 C, nr. 4</w:t>
      </w:r>
      <w:r w:rsidRPr="006E1751">
        <w:rPr>
          <w:rFonts w:ascii="Verdana" w:hAnsi="Verdana" w:cs="Arial"/>
          <w:sz w:val="18"/>
          <w:szCs w:val="18"/>
        </w:rPr>
        <w:t>). In deze 1</w:t>
      </w:r>
      <w:r w:rsidRPr="006E1751">
        <w:rPr>
          <w:rFonts w:ascii="Verdana" w:hAnsi="Verdana" w:cs="Arial"/>
          <w:sz w:val="18"/>
          <w:szCs w:val="18"/>
          <w:vertAlign w:val="superscript"/>
        </w:rPr>
        <w:t>e</w:t>
      </w:r>
      <w:r w:rsidRPr="006E1751">
        <w:rPr>
          <w:rFonts w:ascii="Verdana" w:hAnsi="Verdana" w:cs="Arial"/>
          <w:sz w:val="18"/>
          <w:szCs w:val="18"/>
        </w:rPr>
        <w:t xml:space="preserve"> suppletoire begroting 201</w:t>
      </w:r>
      <w:r>
        <w:rPr>
          <w:rFonts w:ascii="Verdana" w:hAnsi="Verdana" w:cs="Arial"/>
          <w:sz w:val="18"/>
          <w:szCs w:val="18"/>
        </w:rPr>
        <w:t>7</w:t>
      </w:r>
      <w:r w:rsidRPr="006E1751">
        <w:rPr>
          <w:rFonts w:ascii="Verdana" w:hAnsi="Verdana" w:cs="Arial"/>
          <w:sz w:val="18"/>
          <w:szCs w:val="18"/>
        </w:rPr>
        <w:t xml:space="preserve"> van het provinciefonds worden de </w:t>
      </w:r>
      <w:r w:rsidRPr="007E47BE">
        <w:rPr>
          <w:rFonts w:ascii="Verdana" w:hAnsi="Verdana" w:cs="Arial"/>
          <w:sz w:val="18"/>
          <w:szCs w:val="18"/>
        </w:rPr>
        <w:t xml:space="preserve">decentralisatie-uitkeringen met </w:t>
      </w:r>
      <w:r>
        <w:rPr>
          <w:rFonts w:ascii="Verdana" w:hAnsi="Verdana" w:cs="Arial"/>
          <w:sz w:val="18"/>
          <w:szCs w:val="18"/>
        </w:rPr>
        <w:t>- € 1.000</w:t>
      </w:r>
      <w:r w:rsidRPr="007E47BE">
        <w:rPr>
          <w:rFonts w:ascii="Verdana" w:hAnsi="Verdana" w:cs="Arial"/>
          <w:bCs/>
          <w:color w:val="000000"/>
          <w:sz w:val="18"/>
          <w:szCs w:val="18"/>
        </w:rPr>
        <w:t xml:space="preserve"> </w:t>
      </w:r>
      <w:r w:rsidRPr="007E47BE">
        <w:rPr>
          <w:rFonts w:ascii="Verdana" w:hAnsi="Verdana" w:cs="Arial"/>
          <w:sz w:val="18"/>
          <w:szCs w:val="18"/>
        </w:rPr>
        <w:t>bijgesteld.</w:t>
      </w:r>
    </w:p>
    <w:p w:rsidR="009D7AD0" w:rsidRPr="006E1751" w:rsidRDefault="009D7AD0" w:rsidP="009D7AD0">
      <w:pPr>
        <w:spacing w:line="210" w:lineRule="atLeast"/>
        <w:ind w:left="3200"/>
        <w:rPr>
          <w:rFonts w:ascii="Verdana" w:hAnsi="Verdana" w:cs="Arial"/>
          <w:sz w:val="18"/>
          <w:szCs w:val="18"/>
        </w:rPr>
      </w:pPr>
    </w:p>
    <w:p w:rsidR="009D7AD0" w:rsidRPr="006E1751" w:rsidRDefault="009D7AD0" w:rsidP="009D7AD0">
      <w:pPr>
        <w:keepNext/>
        <w:autoSpaceDE w:val="0"/>
        <w:autoSpaceDN w:val="0"/>
        <w:adjustRightInd w:val="0"/>
        <w:spacing w:line="210" w:lineRule="atLeast"/>
        <w:ind w:left="3200"/>
        <w:rPr>
          <w:rFonts w:ascii="Verdana" w:hAnsi="Verdana" w:cs="Arial"/>
          <w:i/>
          <w:sz w:val="18"/>
          <w:szCs w:val="18"/>
          <w:lang w:val="en-US"/>
        </w:rPr>
      </w:pPr>
      <w:r w:rsidRPr="00361C22">
        <w:rPr>
          <w:rFonts w:ascii="Verdana" w:hAnsi="Verdana" w:cs="Arial"/>
          <w:i/>
          <w:sz w:val="18"/>
          <w:szCs w:val="18"/>
          <w:lang w:val="en-US"/>
        </w:rPr>
        <w:t>2</w:t>
      </w:r>
      <w:r w:rsidRPr="006E1751">
        <w:rPr>
          <w:rFonts w:ascii="Verdana" w:hAnsi="Verdana" w:cs="Arial"/>
          <w:i/>
          <w:sz w:val="18"/>
          <w:szCs w:val="18"/>
          <w:lang w:val="en-US"/>
        </w:rPr>
        <w:t>a en b) Accres tranche 201</w:t>
      </w:r>
      <w:r>
        <w:rPr>
          <w:rFonts w:ascii="Verdana" w:hAnsi="Verdana" w:cs="Arial"/>
          <w:i/>
          <w:sz w:val="18"/>
          <w:szCs w:val="18"/>
          <w:lang w:val="en-US"/>
        </w:rPr>
        <w:t>6</w:t>
      </w:r>
    </w:p>
    <w:p w:rsidR="009D7AD0" w:rsidRPr="006E1751" w:rsidRDefault="009D7AD0" w:rsidP="009D7AD0">
      <w:pPr>
        <w:keepNext/>
        <w:autoSpaceDE w:val="0"/>
        <w:autoSpaceDN w:val="0"/>
        <w:adjustRightInd w:val="0"/>
        <w:spacing w:line="210" w:lineRule="atLeast"/>
        <w:ind w:left="3198"/>
        <w:rPr>
          <w:rFonts w:ascii="Verdana" w:hAnsi="Verdana" w:cs="Arial"/>
          <w:sz w:val="18"/>
          <w:szCs w:val="18"/>
          <w:lang w:val="nl-NL"/>
        </w:rPr>
      </w:pPr>
      <w:r w:rsidRPr="00A534BA">
        <w:rPr>
          <w:rFonts w:ascii="Verdana" w:hAnsi="Verdana" w:cs="Arial"/>
          <w:sz w:val="18"/>
          <w:szCs w:val="18"/>
          <w:lang w:val="nl-NL"/>
        </w:rPr>
        <w:t>Het definitieve accres over begrotingsjaar 201</w:t>
      </w:r>
      <w:r>
        <w:rPr>
          <w:rFonts w:ascii="Verdana" w:hAnsi="Verdana" w:cs="Arial"/>
          <w:sz w:val="18"/>
          <w:szCs w:val="18"/>
          <w:lang w:val="nl-NL"/>
        </w:rPr>
        <w:t>6</w:t>
      </w:r>
      <w:r w:rsidRPr="00A534BA">
        <w:rPr>
          <w:rFonts w:ascii="Verdana" w:hAnsi="Verdana" w:cs="Arial"/>
          <w:sz w:val="18"/>
          <w:szCs w:val="18"/>
          <w:lang w:val="nl-NL"/>
        </w:rPr>
        <w:t xml:space="preserve"> wordt berekend op basis van de stand van het Financieel </w:t>
      </w:r>
      <w:r>
        <w:rPr>
          <w:rFonts w:ascii="Verdana" w:hAnsi="Verdana" w:cs="Arial"/>
          <w:sz w:val="18"/>
          <w:szCs w:val="18"/>
          <w:lang w:val="nl-NL"/>
        </w:rPr>
        <w:t>j</w:t>
      </w:r>
      <w:r w:rsidRPr="00A534BA">
        <w:rPr>
          <w:rFonts w:ascii="Verdana" w:hAnsi="Verdana" w:cs="Arial"/>
          <w:sz w:val="18"/>
          <w:szCs w:val="18"/>
          <w:lang w:val="nl-NL"/>
        </w:rPr>
        <w:t>aarverslag</w:t>
      </w:r>
      <w:r>
        <w:rPr>
          <w:rFonts w:ascii="Verdana" w:hAnsi="Verdana" w:cs="Arial"/>
          <w:sz w:val="18"/>
          <w:szCs w:val="18"/>
          <w:lang w:val="nl-NL"/>
        </w:rPr>
        <w:t xml:space="preserve"> van het</w:t>
      </w:r>
      <w:r w:rsidRPr="00A534BA">
        <w:rPr>
          <w:rFonts w:ascii="Verdana" w:hAnsi="Verdana" w:cs="Arial"/>
          <w:sz w:val="18"/>
          <w:szCs w:val="18"/>
          <w:lang w:val="nl-NL"/>
        </w:rPr>
        <w:t xml:space="preserve"> Rijk en wordt verwerkt in deze 1</w:t>
      </w:r>
      <w:r w:rsidRPr="00A534BA">
        <w:rPr>
          <w:rFonts w:ascii="Verdana" w:hAnsi="Verdana" w:cs="Arial"/>
          <w:sz w:val="18"/>
          <w:szCs w:val="18"/>
          <w:vertAlign w:val="superscript"/>
          <w:lang w:val="nl-NL"/>
        </w:rPr>
        <w:t>e</w:t>
      </w:r>
      <w:r w:rsidRPr="00A534BA">
        <w:rPr>
          <w:rFonts w:ascii="Verdana" w:hAnsi="Verdana" w:cs="Arial"/>
          <w:sz w:val="18"/>
          <w:szCs w:val="18"/>
          <w:lang w:val="nl-NL"/>
        </w:rPr>
        <w:t xml:space="preserve"> suppletoire begroting 201</w:t>
      </w:r>
      <w:r>
        <w:rPr>
          <w:rFonts w:ascii="Verdana" w:hAnsi="Verdana" w:cs="Arial"/>
          <w:sz w:val="18"/>
          <w:szCs w:val="18"/>
          <w:lang w:val="nl-NL"/>
        </w:rPr>
        <w:t>7</w:t>
      </w:r>
      <w:r w:rsidRPr="00A534BA">
        <w:rPr>
          <w:rFonts w:ascii="Verdana" w:hAnsi="Verdana" w:cs="Arial"/>
          <w:sz w:val="18"/>
          <w:szCs w:val="18"/>
          <w:lang w:val="nl-NL"/>
        </w:rPr>
        <w:t xml:space="preserve"> van het provinciefonds. Voor 201</w:t>
      </w:r>
      <w:r>
        <w:rPr>
          <w:rFonts w:ascii="Verdana" w:hAnsi="Verdana" w:cs="Arial"/>
          <w:sz w:val="18"/>
          <w:szCs w:val="18"/>
          <w:lang w:val="nl-NL"/>
        </w:rPr>
        <w:t>6</w:t>
      </w:r>
      <w:r w:rsidRPr="00A534BA">
        <w:rPr>
          <w:rFonts w:ascii="Verdana" w:hAnsi="Verdana" w:cs="Arial"/>
          <w:sz w:val="18"/>
          <w:szCs w:val="18"/>
          <w:lang w:val="nl-NL"/>
        </w:rPr>
        <w:t xml:space="preserve"> wordt het accres ten opzichte van de stand ontwerpbegroting 201</w:t>
      </w:r>
      <w:r>
        <w:rPr>
          <w:rFonts w:ascii="Verdana" w:hAnsi="Verdana" w:cs="Arial"/>
          <w:sz w:val="18"/>
          <w:szCs w:val="18"/>
          <w:lang w:val="nl-NL"/>
        </w:rPr>
        <w:t>7</w:t>
      </w:r>
      <w:r w:rsidRPr="00A534BA">
        <w:rPr>
          <w:rFonts w:ascii="Verdana" w:hAnsi="Verdana" w:cs="Arial"/>
          <w:sz w:val="18"/>
          <w:szCs w:val="18"/>
          <w:lang w:val="nl-NL"/>
        </w:rPr>
        <w:t xml:space="preserve"> </w:t>
      </w:r>
      <w:r w:rsidRPr="0068313F">
        <w:rPr>
          <w:rFonts w:ascii="Verdana" w:hAnsi="Verdana" w:cs="Arial"/>
          <w:sz w:val="18"/>
          <w:szCs w:val="18"/>
          <w:lang w:val="nl-NL"/>
        </w:rPr>
        <w:t>verhoogd met € 3,1 miljoen.</w:t>
      </w:r>
      <w:r w:rsidRPr="00A534BA">
        <w:rPr>
          <w:rFonts w:ascii="Verdana" w:hAnsi="Verdana" w:cs="Arial"/>
          <w:sz w:val="18"/>
          <w:szCs w:val="18"/>
          <w:lang w:val="nl-NL"/>
        </w:rPr>
        <w:t xml:space="preserve"> Het totale accres voor 201</w:t>
      </w:r>
      <w:r>
        <w:rPr>
          <w:rFonts w:ascii="Verdana" w:hAnsi="Verdana" w:cs="Arial"/>
          <w:sz w:val="18"/>
          <w:szCs w:val="18"/>
          <w:lang w:val="nl-NL"/>
        </w:rPr>
        <w:t>6</w:t>
      </w:r>
      <w:r w:rsidRPr="00A534BA">
        <w:rPr>
          <w:rFonts w:ascii="Verdana" w:hAnsi="Verdana" w:cs="Arial"/>
          <w:sz w:val="18"/>
          <w:szCs w:val="18"/>
          <w:lang w:val="nl-NL"/>
        </w:rPr>
        <w:t xml:space="preserve"> wordt daarmee € </w:t>
      </w:r>
      <w:r>
        <w:rPr>
          <w:rFonts w:ascii="Verdana" w:hAnsi="Verdana" w:cs="Arial"/>
          <w:sz w:val="18"/>
          <w:szCs w:val="18"/>
          <w:lang w:val="nl-NL"/>
        </w:rPr>
        <w:t>47,3</w:t>
      </w:r>
      <w:r w:rsidRPr="00A534BA">
        <w:rPr>
          <w:rFonts w:ascii="Verdana" w:hAnsi="Verdana" w:cs="Arial"/>
          <w:sz w:val="18"/>
          <w:szCs w:val="18"/>
          <w:lang w:val="nl-NL"/>
        </w:rPr>
        <w:t xml:space="preserve"> miljoen. Daarnaast wordt de structurele doorwerking van het accres 201</w:t>
      </w:r>
      <w:r>
        <w:rPr>
          <w:rFonts w:ascii="Verdana" w:hAnsi="Verdana" w:cs="Arial"/>
          <w:sz w:val="18"/>
          <w:szCs w:val="18"/>
          <w:lang w:val="nl-NL"/>
        </w:rPr>
        <w:t>6</w:t>
      </w:r>
      <w:r w:rsidRPr="00A534BA">
        <w:rPr>
          <w:rFonts w:ascii="Verdana" w:hAnsi="Verdana" w:cs="Arial"/>
          <w:sz w:val="18"/>
          <w:szCs w:val="18"/>
          <w:lang w:val="nl-NL"/>
        </w:rPr>
        <w:t xml:space="preserve"> verwerkt in deze 1</w:t>
      </w:r>
      <w:r w:rsidRPr="00A534BA">
        <w:rPr>
          <w:rFonts w:ascii="Verdana" w:hAnsi="Verdana" w:cs="Arial"/>
          <w:sz w:val="18"/>
          <w:szCs w:val="18"/>
          <w:vertAlign w:val="superscript"/>
          <w:lang w:val="nl-NL"/>
        </w:rPr>
        <w:t>e</w:t>
      </w:r>
      <w:r w:rsidRPr="00A534BA">
        <w:rPr>
          <w:rFonts w:ascii="Verdana" w:hAnsi="Verdana" w:cs="Arial"/>
          <w:sz w:val="18"/>
          <w:szCs w:val="18"/>
          <w:lang w:val="nl-NL"/>
        </w:rPr>
        <w:t xml:space="preserve"> suppletoire begroting 201</w:t>
      </w:r>
      <w:r>
        <w:rPr>
          <w:rFonts w:ascii="Verdana" w:hAnsi="Verdana" w:cs="Arial"/>
          <w:sz w:val="18"/>
          <w:szCs w:val="18"/>
          <w:lang w:val="nl-NL"/>
        </w:rPr>
        <w:t>7</w:t>
      </w:r>
      <w:r w:rsidRPr="00A534BA">
        <w:rPr>
          <w:rFonts w:ascii="Verdana" w:hAnsi="Verdana" w:cs="Arial"/>
          <w:sz w:val="18"/>
          <w:szCs w:val="18"/>
          <w:lang w:val="nl-NL"/>
        </w:rPr>
        <w:t xml:space="preserve"> van het provinciefonds. </w:t>
      </w:r>
    </w:p>
    <w:p w:rsidR="009D7AD0" w:rsidRPr="006E1751" w:rsidRDefault="009D7AD0" w:rsidP="009D7AD0">
      <w:pPr>
        <w:autoSpaceDE w:val="0"/>
        <w:autoSpaceDN w:val="0"/>
        <w:adjustRightInd w:val="0"/>
        <w:spacing w:line="210" w:lineRule="atLeast"/>
        <w:ind w:left="3198"/>
        <w:rPr>
          <w:rFonts w:ascii="Verdana" w:hAnsi="Verdana" w:cs="Arial"/>
          <w:sz w:val="18"/>
          <w:szCs w:val="18"/>
          <w:lang w:val="nl-NL"/>
        </w:rPr>
      </w:pPr>
    </w:p>
    <w:p w:rsidR="009D7AD0" w:rsidRPr="006E1751" w:rsidRDefault="009D7AD0" w:rsidP="009D7AD0">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3) Accres tranche 201</w:t>
      </w:r>
      <w:r>
        <w:rPr>
          <w:rFonts w:ascii="Verdana" w:hAnsi="Verdana" w:cs="Arial"/>
          <w:i/>
          <w:sz w:val="18"/>
          <w:szCs w:val="18"/>
        </w:rPr>
        <w:t>7</w:t>
      </w:r>
    </w:p>
    <w:p w:rsidR="009D7AD0" w:rsidRPr="006E1751" w:rsidRDefault="009D7AD0" w:rsidP="009D7AD0">
      <w:pPr>
        <w:spacing w:line="210" w:lineRule="atLeast"/>
        <w:ind w:left="3200"/>
        <w:rPr>
          <w:rFonts w:ascii="Verdana" w:hAnsi="Verdana" w:cs="Arial"/>
          <w:sz w:val="18"/>
          <w:szCs w:val="18"/>
        </w:rPr>
      </w:pPr>
      <w:r w:rsidRPr="00443C8D">
        <w:rPr>
          <w:rFonts w:ascii="Verdana" w:hAnsi="Verdana" w:cs="Arial"/>
          <w:sz w:val="18"/>
          <w:szCs w:val="18"/>
        </w:rPr>
        <w:t>Het accres 201</w:t>
      </w:r>
      <w:r>
        <w:rPr>
          <w:rFonts w:ascii="Verdana" w:hAnsi="Verdana" w:cs="Arial"/>
          <w:sz w:val="18"/>
          <w:szCs w:val="18"/>
        </w:rPr>
        <w:t>7</w:t>
      </w:r>
      <w:r w:rsidRPr="00443C8D">
        <w:rPr>
          <w:rFonts w:ascii="Verdana" w:hAnsi="Verdana" w:cs="Arial"/>
          <w:sz w:val="18"/>
          <w:szCs w:val="18"/>
        </w:rPr>
        <w:t xml:space="preserve"> is onderdeel van de normeringssystematiek. Als </w:t>
      </w:r>
      <w:r w:rsidRPr="0077720C">
        <w:rPr>
          <w:rFonts w:ascii="Verdana" w:hAnsi="Verdana" w:cs="Arial"/>
          <w:sz w:val="18"/>
          <w:szCs w:val="18"/>
        </w:rPr>
        <w:t xml:space="preserve">gevolg van mutaties in de netto gecorrigeerde rijksuitgaven wordt het accres 2017, ten opzichte van de stand miljoenennota 2017, verhoogd met € </w:t>
      </w:r>
      <w:r>
        <w:rPr>
          <w:rFonts w:ascii="Verdana" w:hAnsi="Verdana" w:cs="Arial"/>
          <w:sz w:val="18"/>
          <w:szCs w:val="18"/>
        </w:rPr>
        <w:t>11,3</w:t>
      </w:r>
      <w:r w:rsidRPr="0077720C">
        <w:rPr>
          <w:rFonts w:ascii="Verdana" w:hAnsi="Verdana" w:cs="Arial"/>
          <w:sz w:val="18"/>
          <w:szCs w:val="18"/>
        </w:rPr>
        <w:t xml:space="preserve"> miljoen.</w:t>
      </w:r>
    </w:p>
    <w:p w:rsidR="009D7AD0" w:rsidRPr="006E1751" w:rsidRDefault="009D7AD0" w:rsidP="009D7AD0">
      <w:pPr>
        <w:autoSpaceDE w:val="0"/>
        <w:autoSpaceDN w:val="0"/>
        <w:adjustRightInd w:val="0"/>
        <w:spacing w:line="210" w:lineRule="atLeast"/>
        <w:ind w:left="3200"/>
        <w:rPr>
          <w:rFonts w:ascii="Verdana" w:hAnsi="Verdana" w:cs="Arial"/>
          <w:sz w:val="18"/>
          <w:szCs w:val="18"/>
        </w:rPr>
      </w:pPr>
    </w:p>
    <w:p w:rsidR="009D7AD0" w:rsidRDefault="009D7AD0" w:rsidP="009D7AD0">
      <w:pPr>
        <w:autoSpaceDE w:val="0"/>
        <w:autoSpaceDN w:val="0"/>
        <w:adjustRightInd w:val="0"/>
        <w:spacing w:line="210" w:lineRule="atLeast"/>
        <w:ind w:left="3198"/>
        <w:rPr>
          <w:rFonts w:ascii="Verdana" w:hAnsi="Verdana" w:cs="Arial"/>
          <w:i/>
          <w:sz w:val="18"/>
          <w:szCs w:val="18"/>
        </w:rPr>
      </w:pPr>
      <w:r w:rsidRPr="000F0D2B">
        <w:rPr>
          <w:rFonts w:ascii="Verdana" w:hAnsi="Verdana" w:cs="Arial"/>
          <w:i/>
          <w:sz w:val="18"/>
          <w:szCs w:val="18"/>
        </w:rPr>
        <w:t xml:space="preserve">4) </w:t>
      </w:r>
      <w:r>
        <w:rPr>
          <w:rFonts w:ascii="Verdana" w:hAnsi="Verdana" w:cs="Arial"/>
          <w:i/>
          <w:sz w:val="18"/>
          <w:szCs w:val="18"/>
        </w:rPr>
        <w:t>Plafond BTW-compensatiefonds</w:t>
      </w:r>
    </w:p>
    <w:p w:rsidR="009D7AD0" w:rsidRDefault="009D7AD0" w:rsidP="009D7AD0">
      <w:pPr>
        <w:autoSpaceDE w:val="0"/>
        <w:autoSpaceDN w:val="0"/>
        <w:adjustRightInd w:val="0"/>
        <w:spacing w:line="210" w:lineRule="atLeast"/>
        <w:ind w:left="3198" w:firstLine="2"/>
        <w:rPr>
          <w:rFonts w:ascii="Verdana" w:hAnsi="Verdana" w:cs="Arial"/>
          <w:sz w:val="18"/>
          <w:szCs w:val="18"/>
          <w:lang w:val="nl-NL"/>
        </w:rPr>
      </w:pPr>
      <w:r w:rsidRPr="00FC147A">
        <w:rPr>
          <w:rFonts w:ascii="Verdana" w:hAnsi="Verdana" w:cs="Arial"/>
          <w:sz w:val="18"/>
          <w:szCs w:val="18"/>
          <w:lang w:val="nl-NL"/>
        </w:rPr>
        <w:t>De ontwikkeling van het BTW-compensatiefonds en het bijbehorende plafond leiden conform het Financieel Akkoord Rijk/VNG/IPO met ingang van 2015 tot een toename of afname van de algemene</w:t>
      </w:r>
      <w:r>
        <w:rPr>
          <w:rFonts w:ascii="Verdana" w:hAnsi="Verdana" w:cs="Arial"/>
          <w:sz w:val="18"/>
          <w:szCs w:val="18"/>
          <w:lang w:val="nl-NL"/>
        </w:rPr>
        <w:t xml:space="preserve"> uitkering van de fondsen. Bij ontwerpbegroting 2017 werd de ruimte onder het plafond voor 2016 geraamd op € 28,6 miljoen. Bij de definitieve afrekening blijkt deze ruimte met € 8</w:t>
      </w:r>
      <w:r w:rsidRPr="0068313F">
        <w:rPr>
          <w:rFonts w:ascii="Verdana" w:hAnsi="Verdana" w:cs="Arial"/>
          <w:sz w:val="18"/>
          <w:szCs w:val="18"/>
          <w:lang w:val="nl-NL"/>
        </w:rPr>
        <w:t>,4 miljoe</w:t>
      </w:r>
      <w:r>
        <w:rPr>
          <w:rFonts w:ascii="Verdana" w:hAnsi="Verdana" w:cs="Arial"/>
          <w:sz w:val="18"/>
          <w:szCs w:val="18"/>
          <w:lang w:val="nl-NL"/>
        </w:rPr>
        <w:t>n afgenomen. Dit bedrag wordt terug gestort naar het BTW-compensatiefonds.</w:t>
      </w:r>
    </w:p>
    <w:p w:rsidR="009D7AD0" w:rsidRDefault="009D7AD0" w:rsidP="009D7AD0">
      <w:pPr>
        <w:autoSpaceDE w:val="0"/>
        <w:autoSpaceDN w:val="0"/>
        <w:adjustRightInd w:val="0"/>
        <w:spacing w:line="210" w:lineRule="atLeast"/>
        <w:ind w:left="3198" w:firstLine="2"/>
        <w:rPr>
          <w:rFonts w:ascii="Verdana" w:hAnsi="Verdana" w:cs="Arial"/>
          <w:sz w:val="18"/>
          <w:szCs w:val="18"/>
          <w:lang w:val="nl-NL"/>
        </w:rPr>
      </w:pPr>
    </w:p>
    <w:p w:rsidR="009D7AD0" w:rsidRPr="007C2A88" w:rsidRDefault="009D7AD0" w:rsidP="009D7AD0">
      <w:pPr>
        <w:ind w:left="2631" w:firstLine="567"/>
        <w:rPr>
          <w:rFonts w:ascii="Verdana" w:hAnsi="Verdana" w:cs="Arial"/>
          <w:i/>
          <w:sz w:val="18"/>
          <w:szCs w:val="18"/>
        </w:rPr>
      </w:pPr>
      <w:r>
        <w:rPr>
          <w:rFonts w:ascii="Verdana" w:hAnsi="Verdana" w:cs="Arial"/>
          <w:i/>
          <w:sz w:val="18"/>
          <w:szCs w:val="18"/>
        </w:rPr>
        <w:t>5</w:t>
      </w:r>
      <w:r w:rsidRPr="007C2A88">
        <w:rPr>
          <w:rFonts w:ascii="Verdana" w:hAnsi="Verdana" w:cs="Arial"/>
          <w:i/>
          <w:sz w:val="18"/>
          <w:szCs w:val="18"/>
        </w:rPr>
        <w:t xml:space="preserve">) </w:t>
      </w:r>
      <w:r>
        <w:rPr>
          <w:rFonts w:ascii="Verdana" w:hAnsi="Verdana" w:cs="Arial"/>
          <w:i/>
          <w:sz w:val="18"/>
          <w:szCs w:val="18"/>
        </w:rPr>
        <w:t>Programma Rijke Waddenzee</w:t>
      </w:r>
      <w:r w:rsidRPr="007C2A88">
        <w:rPr>
          <w:rFonts w:ascii="Verdana" w:hAnsi="Verdana" w:cs="Arial"/>
          <w:i/>
          <w:sz w:val="18"/>
          <w:szCs w:val="18"/>
        </w:rPr>
        <w:t xml:space="preserve"> (decentralisatie-uitkering)</w:t>
      </w:r>
    </w:p>
    <w:p w:rsidR="009D7AD0" w:rsidRDefault="009D7AD0" w:rsidP="009D7AD0">
      <w:pPr>
        <w:ind w:left="3198" w:firstLine="2"/>
        <w:rPr>
          <w:rFonts w:ascii="Verdana" w:hAnsi="Verdana"/>
          <w:sz w:val="18"/>
          <w:szCs w:val="18"/>
        </w:rPr>
      </w:pPr>
      <w:r>
        <w:rPr>
          <w:rFonts w:ascii="Verdana" w:hAnsi="Verdana"/>
          <w:sz w:val="18"/>
          <w:szCs w:val="18"/>
        </w:rPr>
        <w:t>In het kader van het programma Rijke Waddenzee levert het Ministerie van Infrastructuur en Milieu een bijdrage aan de provincie Friesland voor de realisatie van een vismigratierivier in de Afsluitdijk.</w:t>
      </w:r>
    </w:p>
    <w:p w:rsidR="009D7AD0" w:rsidRPr="002233BB" w:rsidRDefault="009D7AD0" w:rsidP="009D7AD0">
      <w:pPr>
        <w:autoSpaceDE w:val="0"/>
        <w:autoSpaceDN w:val="0"/>
        <w:adjustRightInd w:val="0"/>
        <w:spacing w:line="210" w:lineRule="atLeast"/>
        <w:ind w:left="3198"/>
        <w:rPr>
          <w:rFonts w:ascii="Verdana" w:hAnsi="Verdana" w:cs="Arial"/>
          <w:sz w:val="18"/>
          <w:szCs w:val="18"/>
          <w:lang w:val="nl-NL"/>
        </w:rPr>
      </w:pPr>
    </w:p>
    <w:p w:rsidR="009D7AD0" w:rsidRDefault="009D7AD0" w:rsidP="009D7AD0">
      <w:pPr>
        <w:ind w:left="3198"/>
        <w:rPr>
          <w:rFonts w:ascii="Verdana" w:hAnsi="Verdana" w:cs="Arial"/>
          <w:i/>
          <w:sz w:val="18"/>
          <w:szCs w:val="18"/>
        </w:rPr>
      </w:pPr>
    </w:p>
    <w:p w:rsidR="009D7AD0" w:rsidRPr="007C2A88" w:rsidRDefault="009D7AD0" w:rsidP="009D7AD0">
      <w:pPr>
        <w:ind w:left="3198"/>
        <w:rPr>
          <w:rFonts w:ascii="Verdana" w:hAnsi="Verdana" w:cs="Arial"/>
          <w:i/>
          <w:sz w:val="18"/>
          <w:szCs w:val="18"/>
        </w:rPr>
      </w:pPr>
      <w:r>
        <w:rPr>
          <w:rFonts w:ascii="Verdana" w:hAnsi="Verdana" w:cs="Arial"/>
          <w:i/>
          <w:sz w:val="18"/>
          <w:szCs w:val="18"/>
        </w:rPr>
        <w:lastRenderedPageBreak/>
        <w:t>6</w:t>
      </w:r>
      <w:r w:rsidRPr="007C2A88">
        <w:rPr>
          <w:rFonts w:ascii="Verdana" w:hAnsi="Verdana" w:cs="Arial"/>
          <w:i/>
          <w:sz w:val="18"/>
          <w:szCs w:val="18"/>
        </w:rPr>
        <w:t xml:space="preserve">) </w:t>
      </w:r>
      <w:r>
        <w:rPr>
          <w:rFonts w:ascii="Verdana" w:hAnsi="Verdana" w:cs="Arial"/>
          <w:i/>
          <w:sz w:val="18"/>
          <w:szCs w:val="18"/>
        </w:rPr>
        <w:t>Verduurzaming ketens energie-chemie Eemselta</w:t>
      </w:r>
      <w:r w:rsidRPr="007C2A88">
        <w:rPr>
          <w:rFonts w:ascii="Verdana" w:hAnsi="Verdana" w:cs="Arial"/>
          <w:i/>
          <w:sz w:val="18"/>
          <w:szCs w:val="18"/>
        </w:rPr>
        <w:t xml:space="preserve"> (decentralisatie-uitkering)</w:t>
      </w:r>
    </w:p>
    <w:p w:rsidR="009D7AD0" w:rsidRPr="002233BB" w:rsidRDefault="009D7AD0" w:rsidP="009D7AD0">
      <w:pPr>
        <w:spacing w:line="240" w:lineRule="atLeast"/>
        <w:ind w:left="3198"/>
        <w:rPr>
          <w:rFonts w:ascii="Verdana" w:hAnsi="Verdana"/>
          <w:sz w:val="18"/>
          <w:szCs w:val="18"/>
        </w:rPr>
      </w:pPr>
      <w:r>
        <w:rPr>
          <w:rFonts w:ascii="Verdana" w:hAnsi="Verdana"/>
          <w:sz w:val="18"/>
          <w:szCs w:val="18"/>
        </w:rPr>
        <w:t xml:space="preserve">Dit betreft een bijdrage </w:t>
      </w:r>
      <w:r w:rsidRPr="002233BB">
        <w:rPr>
          <w:rFonts w:ascii="Verdana" w:hAnsi="Verdana"/>
          <w:sz w:val="18"/>
          <w:szCs w:val="18"/>
        </w:rPr>
        <w:t xml:space="preserve">van het </w:t>
      </w:r>
      <w:r>
        <w:rPr>
          <w:rFonts w:ascii="Verdana" w:hAnsi="Verdana"/>
          <w:sz w:val="18"/>
          <w:szCs w:val="18"/>
        </w:rPr>
        <w:t>M</w:t>
      </w:r>
      <w:r w:rsidRPr="002233BB">
        <w:rPr>
          <w:rFonts w:ascii="Verdana" w:hAnsi="Verdana"/>
          <w:sz w:val="18"/>
          <w:szCs w:val="18"/>
        </w:rPr>
        <w:t>inisterie van Economische Zaken aan de provincie Groningen voor de agenda Verduurzaming Ketens Energie-Chemie Eemsdelta</w:t>
      </w:r>
      <w:r>
        <w:rPr>
          <w:rFonts w:ascii="Verdana" w:hAnsi="Verdana"/>
          <w:sz w:val="18"/>
          <w:szCs w:val="18"/>
        </w:rPr>
        <w:t xml:space="preserve"> in verband met </w:t>
      </w:r>
      <w:r w:rsidRPr="002233BB">
        <w:rPr>
          <w:rFonts w:ascii="Verdana" w:hAnsi="Verdana"/>
          <w:sz w:val="18"/>
          <w:szCs w:val="18"/>
        </w:rPr>
        <w:t>het opstellen en realiseren van de Industrieagenda Eemsdelta. Deze agenda bevat de route naar verduurzaming van de energie en vergroening van de grondstoffen voor de chemische industrie en moet ook verbinding geven aan de vele initiatieven die er al zijn in dit gebied.</w:t>
      </w:r>
    </w:p>
    <w:p w:rsidR="009D7AD0" w:rsidRPr="002233BB" w:rsidRDefault="009D7AD0" w:rsidP="009D7AD0">
      <w:pPr>
        <w:autoSpaceDE w:val="0"/>
        <w:autoSpaceDN w:val="0"/>
        <w:adjustRightInd w:val="0"/>
        <w:spacing w:line="210" w:lineRule="atLeast"/>
        <w:ind w:left="3198"/>
        <w:rPr>
          <w:rFonts w:ascii="Verdana" w:hAnsi="Verdana" w:cs="Arial"/>
          <w:sz w:val="18"/>
          <w:szCs w:val="18"/>
        </w:rPr>
      </w:pPr>
    </w:p>
    <w:p w:rsidR="009D7AD0" w:rsidRPr="007C2A88" w:rsidRDefault="009D7AD0" w:rsidP="009D7AD0">
      <w:pPr>
        <w:ind w:left="2631" w:firstLine="567"/>
        <w:rPr>
          <w:rFonts w:ascii="Verdana" w:hAnsi="Verdana" w:cs="Arial"/>
          <w:i/>
          <w:sz w:val="18"/>
          <w:szCs w:val="18"/>
        </w:rPr>
      </w:pPr>
      <w:r>
        <w:rPr>
          <w:rFonts w:ascii="Verdana" w:hAnsi="Verdana" w:cs="Arial"/>
          <w:i/>
          <w:sz w:val="18"/>
          <w:szCs w:val="18"/>
        </w:rPr>
        <w:t>7</w:t>
      </w:r>
      <w:r w:rsidRPr="007C2A88">
        <w:rPr>
          <w:rFonts w:ascii="Verdana" w:hAnsi="Verdana" w:cs="Arial"/>
          <w:i/>
          <w:sz w:val="18"/>
          <w:szCs w:val="18"/>
        </w:rPr>
        <w:t xml:space="preserve">) </w:t>
      </w:r>
      <w:r>
        <w:rPr>
          <w:rFonts w:ascii="Verdana" w:hAnsi="Verdana" w:cs="Arial"/>
          <w:i/>
          <w:sz w:val="18"/>
          <w:szCs w:val="18"/>
        </w:rPr>
        <w:t xml:space="preserve">Verkeer en vervoer Maaslijn electrificatie </w:t>
      </w:r>
      <w:r w:rsidRPr="007C2A88">
        <w:rPr>
          <w:rFonts w:ascii="Verdana" w:hAnsi="Verdana" w:cs="Arial"/>
          <w:i/>
          <w:sz w:val="18"/>
          <w:szCs w:val="18"/>
        </w:rPr>
        <w:t>(decentralisatie-uitkering)</w:t>
      </w:r>
    </w:p>
    <w:p w:rsidR="009D7AD0" w:rsidRPr="002233BB" w:rsidRDefault="009D7AD0" w:rsidP="009D7AD0">
      <w:pPr>
        <w:spacing w:line="240" w:lineRule="atLeast"/>
        <w:ind w:left="3198" w:firstLine="2"/>
        <w:rPr>
          <w:rFonts w:ascii="Verdana" w:hAnsi="Verdana"/>
          <w:sz w:val="18"/>
          <w:szCs w:val="18"/>
        </w:rPr>
      </w:pPr>
      <w:r>
        <w:rPr>
          <w:rFonts w:ascii="Verdana" w:hAnsi="Verdana"/>
          <w:sz w:val="18"/>
          <w:szCs w:val="18"/>
        </w:rPr>
        <w:t>Ten onrechte is h</w:t>
      </w:r>
      <w:r w:rsidRPr="002233BB">
        <w:rPr>
          <w:rFonts w:ascii="Verdana" w:hAnsi="Verdana"/>
          <w:sz w:val="18"/>
          <w:szCs w:val="18"/>
        </w:rPr>
        <w:t>et budget voor Maaslijn Electrificatie, als onderdeel van de decentralisatie-uitkering verkeer en vervoer, inclusief BTW overgeboekt naar het provinciefonds. De provincie Limburg kan de BTW declareren uit het BTW Compensatie</w:t>
      </w:r>
      <w:r>
        <w:rPr>
          <w:rFonts w:ascii="Verdana" w:hAnsi="Verdana"/>
          <w:sz w:val="18"/>
          <w:szCs w:val="18"/>
        </w:rPr>
        <w:t>f</w:t>
      </w:r>
      <w:r w:rsidRPr="002233BB">
        <w:rPr>
          <w:rFonts w:ascii="Verdana" w:hAnsi="Verdana"/>
          <w:sz w:val="18"/>
          <w:szCs w:val="18"/>
        </w:rPr>
        <w:t>onds. Daarom wordt met deze mutatie het bedrag van de BTW teruggeboe</w:t>
      </w:r>
      <w:r>
        <w:rPr>
          <w:rFonts w:ascii="Verdana" w:hAnsi="Verdana"/>
          <w:sz w:val="18"/>
          <w:szCs w:val="18"/>
        </w:rPr>
        <w:t>kt naar het Ministerie van Infrastructuur en Milieu.</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EF50E2"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t>8</w:t>
      </w:r>
      <w:r w:rsidRPr="00EF50E2">
        <w:rPr>
          <w:rFonts w:ascii="Verdana" w:hAnsi="Verdana" w:cs="Arial"/>
          <w:i/>
          <w:sz w:val="18"/>
          <w:szCs w:val="18"/>
        </w:rPr>
        <w:t>) Hydrologische maatregelen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Het M</w:t>
      </w:r>
      <w:r w:rsidRPr="00004467">
        <w:rPr>
          <w:rFonts w:ascii="Verdana" w:hAnsi="Verdana" w:cs="Arial"/>
          <w:sz w:val="18"/>
          <w:szCs w:val="18"/>
        </w:rPr>
        <w:t xml:space="preserve">inisterie van lnfrastructuur en Milieu stelt </w:t>
      </w:r>
      <w:r>
        <w:rPr>
          <w:rFonts w:ascii="Verdana" w:hAnsi="Verdana" w:cs="Arial"/>
          <w:sz w:val="18"/>
          <w:szCs w:val="18"/>
        </w:rPr>
        <w:t xml:space="preserve">voor 2017 </w:t>
      </w:r>
      <w:r w:rsidRPr="00004467">
        <w:rPr>
          <w:rFonts w:ascii="Verdana" w:hAnsi="Verdana" w:cs="Arial"/>
          <w:sz w:val="18"/>
          <w:szCs w:val="18"/>
        </w:rPr>
        <w:t>€ 5</w:t>
      </w:r>
      <w:r>
        <w:rPr>
          <w:rFonts w:ascii="Verdana" w:hAnsi="Verdana" w:cs="Arial"/>
          <w:sz w:val="18"/>
          <w:szCs w:val="18"/>
        </w:rPr>
        <w:t>,9</w:t>
      </w:r>
      <w:r w:rsidRPr="00004467">
        <w:rPr>
          <w:rFonts w:ascii="Verdana" w:hAnsi="Verdana" w:cs="Arial"/>
          <w:sz w:val="18"/>
          <w:szCs w:val="18"/>
        </w:rPr>
        <w:t xml:space="preserve"> miljoen beschikbaar </w:t>
      </w:r>
      <w:r>
        <w:rPr>
          <w:rFonts w:ascii="Verdana" w:hAnsi="Verdana" w:cs="Arial"/>
          <w:sz w:val="18"/>
          <w:szCs w:val="18"/>
        </w:rPr>
        <w:t>voor</w:t>
      </w:r>
      <w:r w:rsidRPr="00004467">
        <w:rPr>
          <w:rFonts w:ascii="Verdana" w:hAnsi="Verdana" w:cs="Arial"/>
          <w:sz w:val="18"/>
          <w:szCs w:val="18"/>
        </w:rPr>
        <w:t xml:space="preserve"> het uitvoeren van hydrologische maatregelen</w:t>
      </w:r>
      <w:r>
        <w:rPr>
          <w:rFonts w:ascii="Verdana" w:hAnsi="Verdana" w:cs="Arial"/>
          <w:sz w:val="18"/>
          <w:szCs w:val="18"/>
        </w:rPr>
        <w:t xml:space="preserve"> door de provincies</w:t>
      </w:r>
      <w:r w:rsidRPr="00004467">
        <w:rPr>
          <w:rFonts w:ascii="Verdana" w:hAnsi="Verdana" w:cs="Arial"/>
          <w:sz w:val="18"/>
          <w:szCs w:val="18"/>
        </w:rPr>
        <w:t xml:space="preserve">. </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2233BB" w:rsidRDefault="009D7AD0" w:rsidP="009D7AD0">
      <w:pPr>
        <w:autoSpaceDE w:val="0"/>
        <w:autoSpaceDN w:val="0"/>
        <w:adjustRightInd w:val="0"/>
        <w:spacing w:line="210" w:lineRule="atLeast"/>
        <w:ind w:left="3198"/>
        <w:rPr>
          <w:rFonts w:ascii="Verdana" w:hAnsi="Verdana" w:cs="Arial"/>
          <w:i/>
          <w:sz w:val="18"/>
          <w:szCs w:val="18"/>
        </w:rPr>
      </w:pPr>
      <w:r w:rsidRPr="002233BB">
        <w:rPr>
          <w:rFonts w:ascii="Verdana" w:hAnsi="Verdana" w:cs="Arial"/>
          <w:i/>
          <w:sz w:val="18"/>
          <w:szCs w:val="18"/>
        </w:rPr>
        <w:t>9) Luchtvaarttaken (algemene uitkering)</w:t>
      </w:r>
    </w:p>
    <w:p w:rsidR="009D7AD0" w:rsidRPr="000371FC" w:rsidRDefault="009D7AD0" w:rsidP="009D7AD0">
      <w:pPr>
        <w:autoSpaceDE w:val="0"/>
        <w:autoSpaceDN w:val="0"/>
        <w:adjustRightInd w:val="0"/>
        <w:spacing w:line="240" w:lineRule="atLeast"/>
        <w:ind w:left="3198"/>
        <w:rPr>
          <w:rFonts w:ascii="Verdana" w:hAnsi="Verdana"/>
          <w:sz w:val="18"/>
          <w:szCs w:val="18"/>
        </w:rPr>
      </w:pPr>
      <w:r w:rsidRPr="000371FC">
        <w:rPr>
          <w:rFonts w:ascii="Verdana" w:hAnsi="Verdana"/>
          <w:sz w:val="18"/>
          <w:szCs w:val="18"/>
        </w:rPr>
        <w:t xml:space="preserve">Met de invoering van de RBML (Regelgeving Burgerluchthavens en Militaire Luchthavens) zijn de provincies sinds 1 november 2009 het bevoegd gezag over de kleine, regionale (niet-nationale) luchtvaartterreinen. </w:t>
      </w:r>
      <w:r>
        <w:rPr>
          <w:rFonts w:ascii="Verdana" w:hAnsi="Verdana"/>
          <w:sz w:val="18"/>
          <w:szCs w:val="18"/>
        </w:rPr>
        <w:t xml:space="preserve">Tot en met 2016 werden de provincies van financiële middelen voorzien in de vorm van een decentralisatie-uitkering. Het Rijk en IPO zijn overeengekomen dat financiering met ingang van 2017 via de algemene uitkering zal gebeuren. Tevens zijn Rijk en IPO een verlaging van de bijdrage vanuit het Rijk overeengekomen met ingang van 1 oktober 2017. </w:t>
      </w:r>
      <w:r w:rsidRPr="000371FC">
        <w:rPr>
          <w:rFonts w:ascii="Verdana" w:hAnsi="Verdana"/>
          <w:sz w:val="18"/>
          <w:szCs w:val="18"/>
        </w:rPr>
        <w:t>Voor 2017 ontvangen de provincies in totaal een bedrag van € 824.651</w:t>
      </w:r>
      <w:r>
        <w:rPr>
          <w:rFonts w:ascii="Verdana" w:hAnsi="Verdana"/>
          <w:sz w:val="18"/>
          <w:szCs w:val="18"/>
        </w:rPr>
        <w:t>;</w:t>
      </w:r>
      <w:r w:rsidRPr="000371FC">
        <w:rPr>
          <w:rFonts w:ascii="Verdana" w:hAnsi="Verdana"/>
          <w:sz w:val="18"/>
          <w:szCs w:val="18"/>
        </w:rPr>
        <w:t xml:space="preserve"> voor 2018 en verder gaat het om een bedrag van € 498.689 per jaar.</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166A1E" w:rsidRDefault="009D7AD0" w:rsidP="009D7AD0">
      <w:pPr>
        <w:spacing w:line="210" w:lineRule="atLeast"/>
        <w:ind w:left="3198"/>
        <w:rPr>
          <w:rFonts w:ascii="Verdana" w:hAnsi="Verdana" w:cs="Arial"/>
          <w:i/>
          <w:sz w:val="18"/>
          <w:szCs w:val="18"/>
        </w:rPr>
      </w:pPr>
      <w:r w:rsidRPr="00166A1E">
        <w:rPr>
          <w:rFonts w:ascii="Verdana" w:hAnsi="Verdana" w:cs="Arial"/>
          <w:i/>
          <w:sz w:val="18"/>
          <w:szCs w:val="18"/>
        </w:rPr>
        <w:t>1</w:t>
      </w:r>
      <w:r>
        <w:rPr>
          <w:rFonts w:ascii="Verdana" w:hAnsi="Verdana" w:cs="Arial"/>
          <w:i/>
          <w:sz w:val="18"/>
          <w:szCs w:val="18"/>
        </w:rPr>
        <w:t>0</w:t>
      </w:r>
      <w:r w:rsidRPr="00166A1E">
        <w:rPr>
          <w:rFonts w:ascii="Verdana" w:hAnsi="Verdana" w:cs="Arial"/>
          <w:i/>
          <w:sz w:val="18"/>
          <w:szCs w:val="18"/>
        </w:rPr>
        <w:t>) MKB Innovatiestimulering T</w:t>
      </w:r>
      <w:r>
        <w:rPr>
          <w:rFonts w:ascii="Verdana" w:hAnsi="Verdana" w:cs="Arial"/>
          <w:i/>
          <w:sz w:val="18"/>
          <w:szCs w:val="18"/>
        </w:rPr>
        <w:t>o</w:t>
      </w:r>
      <w:r w:rsidRPr="00166A1E">
        <w:rPr>
          <w:rFonts w:ascii="Verdana" w:hAnsi="Verdana" w:cs="Arial"/>
          <w:i/>
          <w:sz w:val="18"/>
          <w:szCs w:val="18"/>
        </w:rPr>
        <w:t>psectoren (MIT) (decentralisatie-uitkering)</w:t>
      </w:r>
    </w:p>
    <w:p w:rsidR="009D7AD0" w:rsidRDefault="009D7AD0" w:rsidP="009D7AD0">
      <w:pPr>
        <w:spacing w:line="210" w:lineRule="atLeast"/>
        <w:ind w:left="3198"/>
        <w:rPr>
          <w:rFonts w:ascii="Verdana" w:hAnsi="Verdana" w:cs="Arial"/>
          <w:sz w:val="18"/>
          <w:szCs w:val="18"/>
        </w:rPr>
      </w:pPr>
      <w:r>
        <w:rPr>
          <w:rFonts w:ascii="Verdana" w:hAnsi="Verdana" w:cs="Arial"/>
          <w:sz w:val="18"/>
          <w:szCs w:val="18"/>
        </w:rPr>
        <w:t xml:space="preserve">Acht provincies ontvangen van het Ministerie van Economische Zaken </w:t>
      </w:r>
    </w:p>
    <w:p w:rsidR="009D7AD0" w:rsidRDefault="009D7AD0" w:rsidP="009D7AD0">
      <w:pPr>
        <w:spacing w:line="210" w:lineRule="atLeast"/>
        <w:ind w:left="3198"/>
        <w:rPr>
          <w:rFonts w:ascii="Verdana" w:hAnsi="Verdana" w:cs="Arial"/>
          <w:sz w:val="18"/>
          <w:szCs w:val="18"/>
        </w:rPr>
      </w:pPr>
      <w:r>
        <w:rPr>
          <w:rFonts w:ascii="Verdana" w:hAnsi="Verdana" w:cs="Arial"/>
          <w:sz w:val="18"/>
          <w:szCs w:val="18"/>
        </w:rPr>
        <w:t xml:space="preserve">€ 1,5 miljoen ten behoeve van de </w:t>
      </w:r>
      <w:r w:rsidRPr="00841851">
        <w:rPr>
          <w:rFonts w:ascii="Verdana" w:hAnsi="Verdana" w:cs="Arial"/>
          <w:sz w:val="18"/>
          <w:szCs w:val="18"/>
        </w:rPr>
        <w:t>regeling MKB Innovatiestimuleri</w:t>
      </w:r>
      <w:r>
        <w:rPr>
          <w:rFonts w:ascii="Verdana" w:hAnsi="Verdana" w:cs="Arial"/>
          <w:sz w:val="18"/>
          <w:szCs w:val="18"/>
        </w:rPr>
        <w:t>ng To</w:t>
      </w:r>
      <w:r w:rsidRPr="00841851">
        <w:rPr>
          <w:rFonts w:ascii="Verdana" w:hAnsi="Verdana" w:cs="Arial"/>
          <w:sz w:val="18"/>
          <w:szCs w:val="18"/>
        </w:rPr>
        <w:t>psectoren</w:t>
      </w:r>
      <w:r>
        <w:rPr>
          <w:rFonts w:ascii="Verdana" w:hAnsi="Verdana" w:cs="Arial"/>
          <w:sz w:val="18"/>
          <w:szCs w:val="18"/>
        </w:rPr>
        <w:t>.</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166A1E" w:rsidRDefault="009D7AD0" w:rsidP="009D7AD0">
      <w:pPr>
        <w:spacing w:line="210" w:lineRule="atLeast"/>
        <w:ind w:left="3198"/>
        <w:rPr>
          <w:rFonts w:ascii="Verdana" w:hAnsi="Verdana" w:cs="Arial"/>
          <w:i/>
          <w:sz w:val="18"/>
          <w:szCs w:val="18"/>
        </w:rPr>
      </w:pPr>
      <w:r w:rsidRPr="00166A1E">
        <w:rPr>
          <w:rFonts w:ascii="Verdana" w:hAnsi="Verdana" w:cs="Arial"/>
          <w:i/>
          <w:sz w:val="18"/>
          <w:szCs w:val="18"/>
        </w:rPr>
        <w:t>1</w:t>
      </w:r>
      <w:r>
        <w:rPr>
          <w:rFonts w:ascii="Verdana" w:hAnsi="Verdana" w:cs="Arial"/>
          <w:i/>
          <w:sz w:val="18"/>
          <w:szCs w:val="18"/>
        </w:rPr>
        <w:t>1</w:t>
      </w:r>
      <w:r w:rsidRPr="00166A1E">
        <w:rPr>
          <w:rFonts w:ascii="Verdana" w:hAnsi="Verdana" w:cs="Arial"/>
          <w:i/>
          <w:sz w:val="18"/>
          <w:szCs w:val="18"/>
        </w:rPr>
        <w:t>) Innovatie</w:t>
      </w:r>
      <w:r>
        <w:rPr>
          <w:rFonts w:ascii="Verdana" w:hAnsi="Verdana" w:cs="Arial"/>
          <w:i/>
          <w:sz w:val="18"/>
          <w:szCs w:val="18"/>
        </w:rPr>
        <w:t xml:space="preserve">budget handelsregister </w:t>
      </w:r>
      <w:r w:rsidRPr="00166A1E">
        <w:rPr>
          <w:rFonts w:ascii="Verdana" w:hAnsi="Verdana" w:cs="Arial"/>
          <w:i/>
          <w:sz w:val="18"/>
          <w:szCs w:val="18"/>
        </w:rPr>
        <w:t>(</w:t>
      </w:r>
      <w:r>
        <w:rPr>
          <w:rFonts w:ascii="Verdana" w:hAnsi="Verdana" w:cs="Arial"/>
          <w:i/>
          <w:sz w:val="18"/>
          <w:szCs w:val="18"/>
        </w:rPr>
        <w:t>algemene</w:t>
      </w:r>
      <w:r w:rsidRPr="00166A1E">
        <w:rPr>
          <w:rFonts w:ascii="Verdana" w:hAnsi="Verdana" w:cs="Arial"/>
          <w:i/>
          <w:sz w:val="18"/>
          <w:szCs w:val="18"/>
        </w:rPr>
        <w:t>-uitkering)</w:t>
      </w:r>
    </w:p>
    <w:p w:rsidR="009D7AD0" w:rsidRPr="00977A25" w:rsidRDefault="009D7AD0" w:rsidP="009D7AD0">
      <w:pPr>
        <w:pStyle w:val="Tekstzonderopmaak"/>
        <w:spacing w:line="240" w:lineRule="atLeast"/>
        <w:ind w:left="3198"/>
        <w:rPr>
          <w:rFonts w:ascii="Verdana" w:hAnsi="Verdana"/>
          <w:b/>
          <w:sz w:val="18"/>
          <w:szCs w:val="18"/>
        </w:rPr>
      </w:pPr>
      <w:r w:rsidRPr="00977A25">
        <w:rPr>
          <w:rFonts w:ascii="Verdana" w:hAnsi="Verdana"/>
          <w:sz w:val="18"/>
          <w:szCs w:val="18"/>
        </w:rPr>
        <w:t xml:space="preserve">Provincies hebben in 2012 ingestemd met de budgetfinanciering Handelsregister via een uitname uit het Provinciefonds. Voor de jaren 2017, 2018 en 2019 heeft het IPO ingestemd met een tijdelijke verhoging van de jaarlijkse bijdrage van provincies voor innovatie van het Handelsregister met € 14.000 per jaar. </w:t>
      </w:r>
    </w:p>
    <w:p w:rsidR="009D7AD0" w:rsidRPr="00977A25" w:rsidRDefault="009D7AD0" w:rsidP="009D7AD0">
      <w:pPr>
        <w:autoSpaceDE w:val="0"/>
        <w:autoSpaceDN w:val="0"/>
        <w:adjustRightInd w:val="0"/>
        <w:spacing w:line="210" w:lineRule="atLeast"/>
        <w:ind w:left="3198"/>
        <w:rPr>
          <w:rFonts w:ascii="Verdana" w:hAnsi="Verdana" w:cs="Arial"/>
          <w:sz w:val="18"/>
          <w:szCs w:val="18"/>
          <w:lang w:val="nl-NL"/>
        </w:rPr>
      </w:pPr>
    </w:p>
    <w:p w:rsidR="009D7AD0" w:rsidRPr="00977A25" w:rsidRDefault="009D7AD0" w:rsidP="009D7AD0">
      <w:pPr>
        <w:spacing w:line="240" w:lineRule="atLeast"/>
        <w:ind w:left="3198"/>
        <w:rPr>
          <w:rFonts w:ascii="Verdana" w:hAnsi="Verdana"/>
          <w:i/>
          <w:sz w:val="18"/>
          <w:szCs w:val="18"/>
        </w:rPr>
      </w:pPr>
      <w:r>
        <w:rPr>
          <w:rFonts w:ascii="Verdana" w:hAnsi="Verdana"/>
          <w:i/>
          <w:sz w:val="18"/>
          <w:szCs w:val="18"/>
        </w:rPr>
        <w:t xml:space="preserve">12) </w:t>
      </w:r>
      <w:r w:rsidRPr="00977A25">
        <w:rPr>
          <w:rFonts w:ascii="Verdana" w:hAnsi="Verdana"/>
          <w:i/>
          <w:sz w:val="18"/>
          <w:szCs w:val="18"/>
        </w:rPr>
        <w:t>Meerjarenprogramma Eems-Dollard</w:t>
      </w:r>
      <w:r>
        <w:rPr>
          <w:rFonts w:ascii="Verdana" w:hAnsi="Verdana"/>
          <w:i/>
          <w:sz w:val="18"/>
          <w:szCs w:val="18"/>
        </w:rPr>
        <w:t xml:space="preserve"> (decentralisatie-uitkering)</w:t>
      </w:r>
    </w:p>
    <w:p w:rsidR="009D7AD0" w:rsidRPr="00C10E13" w:rsidRDefault="009D7AD0" w:rsidP="009D7AD0">
      <w:pPr>
        <w:autoSpaceDE w:val="0"/>
        <w:autoSpaceDN w:val="0"/>
        <w:adjustRightInd w:val="0"/>
        <w:spacing w:line="240" w:lineRule="atLeast"/>
        <w:ind w:left="3198"/>
        <w:rPr>
          <w:rFonts w:ascii="Verdana" w:hAnsi="Verdana"/>
        </w:rPr>
      </w:pPr>
      <w:r w:rsidRPr="00977A25">
        <w:rPr>
          <w:rFonts w:ascii="Verdana" w:hAnsi="Verdana"/>
          <w:sz w:val="18"/>
          <w:szCs w:val="18"/>
        </w:rPr>
        <w:t xml:space="preserve">Dit betreft een bijdrage aan de provincie Groningen vanuit het </w:t>
      </w:r>
      <w:r>
        <w:rPr>
          <w:rFonts w:ascii="Verdana" w:hAnsi="Verdana"/>
          <w:sz w:val="18"/>
          <w:szCs w:val="18"/>
        </w:rPr>
        <w:t>M</w:t>
      </w:r>
      <w:r w:rsidRPr="00977A25">
        <w:rPr>
          <w:rFonts w:ascii="Verdana" w:hAnsi="Verdana"/>
          <w:sz w:val="18"/>
          <w:szCs w:val="18"/>
        </w:rPr>
        <w:t xml:space="preserve">inisterie van Economische zaken voor het meerjarenprogramma Eems-Dollard. </w:t>
      </w:r>
    </w:p>
    <w:p w:rsidR="009D7AD0" w:rsidRDefault="009D7AD0" w:rsidP="009D7AD0">
      <w:pPr>
        <w:spacing w:line="240" w:lineRule="atLeast"/>
        <w:ind w:left="3198"/>
        <w:rPr>
          <w:rFonts w:ascii="Verdana" w:hAnsi="Verdana"/>
          <w:i/>
          <w:sz w:val="18"/>
          <w:szCs w:val="18"/>
        </w:rPr>
      </w:pPr>
    </w:p>
    <w:p w:rsidR="009D7AD0" w:rsidRPr="00977A25" w:rsidRDefault="009D7AD0" w:rsidP="009D7AD0">
      <w:pPr>
        <w:spacing w:line="240" w:lineRule="atLeast"/>
        <w:ind w:left="3198"/>
        <w:rPr>
          <w:rFonts w:ascii="Verdana" w:hAnsi="Verdana"/>
          <w:i/>
          <w:sz w:val="18"/>
          <w:szCs w:val="18"/>
        </w:rPr>
      </w:pPr>
      <w:r>
        <w:rPr>
          <w:rFonts w:ascii="Verdana" w:hAnsi="Verdana"/>
          <w:i/>
          <w:sz w:val="18"/>
          <w:szCs w:val="18"/>
        </w:rPr>
        <w:t xml:space="preserve">13) </w:t>
      </w:r>
      <w:r w:rsidRPr="00977A25">
        <w:rPr>
          <w:rFonts w:ascii="Verdana" w:hAnsi="Verdana"/>
          <w:i/>
          <w:sz w:val="18"/>
          <w:szCs w:val="18"/>
        </w:rPr>
        <w:t>MIRT-project IJsseldelta Fase 2</w:t>
      </w:r>
      <w:r>
        <w:rPr>
          <w:rFonts w:ascii="Verdana" w:hAnsi="Verdana"/>
          <w:i/>
          <w:sz w:val="18"/>
          <w:szCs w:val="18"/>
        </w:rPr>
        <w:t xml:space="preserve"> (decentralisatie-uitkering)</w:t>
      </w:r>
    </w:p>
    <w:p w:rsidR="009D7AD0" w:rsidRDefault="009D7AD0" w:rsidP="009D7AD0">
      <w:pPr>
        <w:pStyle w:val="Default"/>
        <w:spacing w:line="240" w:lineRule="atLeast"/>
        <w:ind w:left="3198"/>
        <w:rPr>
          <w:sz w:val="18"/>
          <w:szCs w:val="18"/>
        </w:rPr>
      </w:pPr>
      <w:r>
        <w:rPr>
          <w:sz w:val="18"/>
          <w:szCs w:val="18"/>
        </w:rPr>
        <w:t>Dit betreft een bijdrage vanuit het Ministerie van Infrastructuur en Milieu aan de provincie Overijssel voor het MIRT-</w:t>
      </w:r>
      <w:r w:rsidRPr="00977A25">
        <w:rPr>
          <w:sz w:val="18"/>
          <w:szCs w:val="18"/>
        </w:rPr>
        <w:t>pr</w:t>
      </w:r>
      <w:r>
        <w:rPr>
          <w:sz w:val="18"/>
          <w:szCs w:val="18"/>
        </w:rPr>
        <w:t>oject IJsseldelta Fase 2</w:t>
      </w:r>
      <w:r w:rsidRPr="00977A25">
        <w:rPr>
          <w:sz w:val="18"/>
          <w:szCs w:val="18"/>
        </w:rPr>
        <w:t xml:space="preserve">. Dit is vastgelegd in de Bestuursovereenkomst IJsseldelta Fase 2 welke op 14 december 2016 is ondertekend. </w:t>
      </w:r>
    </w:p>
    <w:p w:rsidR="009D7AD0" w:rsidRDefault="009D7AD0" w:rsidP="009D7AD0">
      <w:pPr>
        <w:pStyle w:val="Default"/>
        <w:spacing w:line="240" w:lineRule="atLeast"/>
        <w:ind w:left="3198"/>
        <w:rPr>
          <w:sz w:val="18"/>
          <w:szCs w:val="18"/>
        </w:rPr>
      </w:pPr>
    </w:p>
    <w:p w:rsidR="009D7AD0" w:rsidRPr="00CB5E25"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lastRenderedPageBreak/>
        <w:t>14</w:t>
      </w:r>
      <w:r w:rsidRPr="00CB5E25">
        <w:rPr>
          <w:rFonts w:ascii="Verdana" w:hAnsi="Verdana" w:cs="Arial"/>
          <w:i/>
          <w:sz w:val="18"/>
          <w:szCs w:val="18"/>
        </w:rPr>
        <w:t>) Beter Benutten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Deze mutatie betreft bijdragen van het Ministerie van Infrastructuur en Milieu vanuit het programma Beter Benutten aan diverse projecten in een tiental provincies.</w:t>
      </w:r>
    </w:p>
    <w:p w:rsidR="009D7AD0" w:rsidRPr="0019575C" w:rsidRDefault="009D7AD0" w:rsidP="009D7AD0">
      <w:pPr>
        <w:pStyle w:val="Default"/>
        <w:spacing w:line="240" w:lineRule="atLeast"/>
        <w:ind w:left="3198"/>
        <w:rPr>
          <w:rFonts w:cs="Arial"/>
          <w:sz w:val="18"/>
          <w:szCs w:val="18"/>
          <w:lang w:val="nl"/>
        </w:rPr>
      </w:pPr>
    </w:p>
    <w:p w:rsidR="009D7AD0" w:rsidRPr="00CB5E25"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t>15</w:t>
      </w:r>
      <w:r w:rsidRPr="00CB5E25">
        <w:rPr>
          <w:rFonts w:ascii="Verdana" w:hAnsi="Verdana" w:cs="Arial"/>
          <w:i/>
          <w:sz w:val="18"/>
          <w:szCs w:val="18"/>
        </w:rPr>
        <w:t>) Erfgoed en ruimte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sidRPr="00CB5E25">
        <w:rPr>
          <w:rFonts w:ascii="Verdana" w:hAnsi="Verdana" w:cs="Arial"/>
          <w:sz w:val="18"/>
          <w:szCs w:val="18"/>
        </w:rPr>
        <w:t xml:space="preserve">Het </w:t>
      </w:r>
      <w:r>
        <w:rPr>
          <w:rFonts w:ascii="Verdana" w:hAnsi="Verdana" w:cs="Arial"/>
          <w:sz w:val="18"/>
          <w:szCs w:val="18"/>
        </w:rPr>
        <w:t>M</w:t>
      </w:r>
      <w:r w:rsidRPr="00CB5E25">
        <w:rPr>
          <w:rFonts w:ascii="Verdana" w:hAnsi="Verdana" w:cs="Arial"/>
          <w:sz w:val="18"/>
          <w:szCs w:val="18"/>
        </w:rPr>
        <w:t>inisterie van O</w:t>
      </w:r>
      <w:r>
        <w:rPr>
          <w:rFonts w:ascii="Verdana" w:hAnsi="Verdana" w:cs="Arial"/>
          <w:sz w:val="18"/>
          <w:szCs w:val="18"/>
        </w:rPr>
        <w:t xml:space="preserve">nderwijs </w:t>
      </w:r>
      <w:r w:rsidRPr="00CB5E25">
        <w:rPr>
          <w:rFonts w:ascii="Verdana" w:hAnsi="Verdana" w:cs="Arial"/>
          <w:sz w:val="18"/>
          <w:szCs w:val="18"/>
        </w:rPr>
        <w:t>C</w:t>
      </w:r>
      <w:r>
        <w:rPr>
          <w:rFonts w:ascii="Verdana" w:hAnsi="Verdana" w:cs="Arial"/>
          <w:sz w:val="18"/>
          <w:szCs w:val="18"/>
        </w:rPr>
        <w:t xml:space="preserve">ultuur en </w:t>
      </w:r>
      <w:r w:rsidRPr="00CB5E25">
        <w:rPr>
          <w:rFonts w:ascii="Verdana" w:hAnsi="Verdana" w:cs="Arial"/>
          <w:sz w:val="18"/>
          <w:szCs w:val="18"/>
        </w:rPr>
        <w:t>W</w:t>
      </w:r>
      <w:r>
        <w:rPr>
          <w:rFonts w:ascii="Verdana" w:hAnsi="Verdana" w:cs="Arial"/>
          <w:sz w:val="18"/>
          <w:szCs w:val="18"/>
        </w:rPr>
        <w:t>etenschap heeft aan alle</w:t>
      </w:r>
      <w:r w:rsidRPr="00CB5E25">
        <w:rPr>
          <w:rFonts w:ascii="Verdana" w:hAnsi="Verdana" w:cs="Arial"/>
          <w:sz w:val="18"/>
          <w:szCs w:val="18"/>
        </w:rPr>
        <w:t xml:space="preserve"> provincie</w:t>
      </w:r>
      <w:r>
        <w:rPr>
          <w:rFonts w:ascii="Verdana" w:hAnsi="Verdana" w:cs="Arial"/>
          <w:sz w:val="18"/>
          <w:szCs w:val="18"/>
        </w:rPr>
        <w:t>s</w:t>
      </w:r>
      <w:r w:rsidRPr="00CB5E25">
        <w:rPr>
          <w:rFonts w:ascii="Verdana" w:hAnsi="Verdana" w:cs="Arial"/>
          <w:sz w:val="18"/>
          <w:szCs w:val="18"/>
        </w:rPr>
        <w:t xml:space="preserve"> </w:t>
      </w:r>
      <w:r>
        <w:rPr>
          <w:rFonts w:ascii="Verdana" w:hAnsi="Verdana" w:cs="Arial"/>
          <w:sz w:val="18"/>
          <w:szCs w:val="18"/>
        </w:rPr>
        <w:t xml:space="preserve">bijdragen </w:t>
      </w:r>
      <w:r w:rsidRPr="00CB5E25">
        <w:rPr>
          <w:rFonts w:ascii="Verdana" w:hAnsi="Verdana" w:cs="Arial"/>
          <w:sz w:val="18"/>
          <w:szCs w:val="18"/>
        </w:rPr>
        <w:t xml:space="preserve">toegekend vanuit de beleidsnota Visie Erfgoed </w:t>
      </w:r>
      <w:r>
        <w:rPr>
          <w:rFonts w:ascii="Verdana" w:hAnsi="Verdana" w:cs="Arial"/>
          <w:sz w:val="18"/>
          <w:szCs w:val="18"/>
        </w:rPr>
        <w:t>en Ruimte</w:t>
      </w:r>
      <w:r w:rsidRPr="00CB5E25">
        <w:rPr>
          <w:rFonts w:ascii="Verdana" w:hAnsi="Verdana" w:cs="Arial"/>
          <w:sz w:val="18"/>
          <w:szCs w:val="18"/>
        </w:rPr>
        <w:t>.</w:t>
      </w:r>
    </w:p>
    <w:p w:rsidR="009D7AD0" w:rsidRPr="0019575C" w:rsidRDefault="009D7AD0" w:rsidP="009D7AD0">
      <w:pPr>
        <w:autoSpaceDE w:val="0"/>
        <w:autoSpaceDN w:val="0"/>
        <w:adjustRightInd w:val="0"/>
        <w:spacing w:line="210" w:lineRule="atLeast"/>
        <w:ind w:left="3198"/>
        <w:rPr>
          <w:rFonts w:ascii="Verdana" w:hAnsi="Verdana" w:cs="Arial"/>
          <w:i/>
          <w:sz w:val="18"/>
          <w:szCs w:val="18"/>
        </w:rPr>
      </w:pPr>
    </w:p>
    <w:p w:rsidR="009D7AD0" w:rsidRPr="0019575C" w:rsidRDefault="009D7AD0" w:rsidP="009D7AD0">
      <w:pPr>
        <w:spacing w:line="240" w:lineRule="atLeast"/>
        <w:ind w:left="3198"/>
        <w:rPr>
          <w:rFonts w:ascii="Verdana" w:hAnsi="Verdana"/>
          <w:i/>
          <w:sz w:val="18"/>
          <w:szCs w:val="18"/>
        </w:rPr>
      </w:pPr>
      <w:r>
        <w:rPr>
          <w:rFonts w:ascii="Verdana" w:hAnsi="Verdana"/>
          <w:i/>
          <w:sz w:val="18"/>
          <w:szCs w:val="18"/>
        </w:rPr>
        <w:t xml:space="preserve">16) </w:t>
      </w:r>
      <w:r w:rsidRPr="0019575C">
        <w:rPr>
          <w:rFonts w:ascii="Verdana" w:hAnsi="Verdana"/>
          <w:i/>
          <w:sz w:val="18"/>
          <w:szCs w:val="18"/>
        </w:rPr>
        <w:t>Ontwikkelingsbedrijf NOM</w:t>
      </w:r>
      <w:r>
        <w:rPr>
          <w:rFonts w:ascii="Verdana" w:hAnsi="Verdana"/>
          <w:i/>
          <w:sz w:val="18"/>
          <w:szCs w:val="18"/>
        </w:rPr>
        <w:t xml:space="preserve"> (decentralisatie-uitkering)</w:t>
      </w:r>
    </w:p>
    <w:p w:rsidR="009D7AD0" w:rsidRDefault="009D7AD0" w:rsidP="009D7AD0">
      <w:pPr>
        <w:autoSpaceDE w:val="0"/>
        <w:autoSpaceDN w:val="0"/>
        <w:adjustRightInd w:val="0"/>
        <w:ind w:left="3198"/>
        <w:rPr>
          <w:rFonts w:ascii="Verdana" w:hAnsi="Verdana"/>
          <w:sz w:val="18"/>
          <w:szCs w:val="18"/>
        </w:rPr>
      </w:pPr>
      <w:r w:rsidRPr="0019575C">
        <w:rPr>
          <w:rFonts w:ascii="Verdana" w:hAnsi="Verdana"/>
          <w:sz w:val="18"/>
          <w:szCs w:val="18"/>
        </w:rPr>
        <w:t xml:space="preserve">Bijdrage </w:t>
      </w:r>
      <w:r>
        <w:rPr>
          <w:rFonts w:ascii="Verdana" w:hAnsi="Verdana"/>
          <w:sz w:val="18"/>
          <w:szCs w:val="18"/>
        </w:rPr>
        <w:t xml:space="preserve">vanuit het Ministerie van Economische Zaken </w:t>
      </w:r>
      <w:r w:rsidRPr="0019575C">
        <w:rPr>
          <w:rFonts w:ascii="Verdana" w:hAnsi="Verdana"/>
          <w:sz w:val="18"/>
          <w:szCs w:val="18"/>
        </w:rPr>
        <w:t xml:space="preserve">aan de </w:t>
      </w:r>
      <w:r>
        <w:rPr>
          <w:rFonts w:ascii="Verdana" w:hAnsi="Verdana"/>
          <w:sz w:val="18"/>
          <w:szCs w:val="18"/>
        </w:rPr>
        <w:t>p</w:t>
      </w:r>
      <w:r w:rsidRPr="0019575C">
        <w:rPr>
          <w:rFonts w:ascii="Verdana" w:hAnsi="Verdana"/>
          <w:sz w:val="18"/>
          <w:szCs w:val="18"/>
        </w:rPr>
        <w:t xml:space="preserve">rovincie Drenthe bestemd voor een aanvulling op de jaarlijkse </w:t>
      </w:r>
      <w:r>
        <w:rPr>
          <w:rFonts w:ascii="Verdana" w:hAnsi="Verdana"/>
          <w:sz w:val="18"/>
          <w:szCs w:val="18"/>
        </w:rPr>
        <w:t>bijdrage in verband met</w:t>
      </w:r>
      <w:r w:rsidRPr="0019575C">
        <w:rPr>
          <w:rFonts w:ascii="Verdana" w:hAnsi="Verdana"/>
          <w:sz w:val="18"/>
          <w:szCs w:val="18"/>
        </w:rPr>
        <w:t xml:space="preserve"> het Ontwikkelingsbedrijf van de NOM (Investerings- en Ontwikkelingsmaatschappij Noord-Nederland).</w:t>
      </w:r>
    </w:p>
    <w:p w:rsidR="009D7AD0" w:rsidRDefault="009D7AD0" w:rsidP="009D7AD0">
      <w:pPr>
        <w:autoSpaceDE w:val="0"/>
        <w:autoSpaceDN w:val="0"/>
        <w:adjustRightInd w:val="0"/>
        <w:ind w:left="3198"/>
        <w:rPr>
          <w:rFonts w:ascii="Verdana" w:hAnsi="Verdana"/>
          <w:sz w:val="18"/>
          <w:szCs w:val="18"/>
        </w:rPr>
      </w:pPr>
    </w:p>
    <w:p w:rsidR="009D7AD0" w:rsidRPr="00117F4F" w:rsidRDefault="009D7AD0" w:rsidP="009D7AD0">
      <w:pPr>
        <w:autoSpaceDE w:val="0"/>
        <w:autoSpaceDN w:val="0"/>
        <w:adjustRightInd w:val="0"/>
        <w:ind w:left="3198"/>
        <w:rPr>
          <w:rFonts w:ascii="Verdana" w:hAnsi="Verdana"/>
          <w:i/>
          <w:sz w:val="18"/>
          <w:szCs w:val="18"/>
        </w:rPr>
      </w:pPr>
      <w:r w:rsidRPr="00117F4F">
        <w:rPr>
          <w:rFonts w:ascii="Verdana" w:hAnsi="Verdana"/>
          <w:i/>
          <w:sz w:val="18"/>
          <w:szCs w:val="18"/>
        </w:rPr>
        <w:t>17) Monumentenzorg Eusebius kerk (decentralisatie-uitkering)</w:t>
      </w:r>
    </w:p>
    <w:p w:rsidR="009D7AD0" w:rsidRPr="0019575C" w:rsidRDefault="009D7AD0" w:rsidP="009D7AD0">
      <w:pPr>
        <w:autoSpaceDE w:val="0"/>
        <w:autoSpaceDN w:val="0"/>
        <w:adjustRightInd w:val="0"/>
        <w:ind w:left="3198"/>
        <w:rPr>
          <w:rFonts w:ascii="Verdana" w:hAnsi="Verdana"/>
          <w:sz w:val="18"/>
          <w:szCs w:val="18"/>
        </w:rPr>
      </w:pPr>
      <w:r>
        <w:rPr>
          <w:rFonts w:ascii="Verdana" w:hAnsi="Verdana"/>
          <w:sz w:val="18"/>
          <w:szCs w:val="18"/>
        </w:rPr>
        <w:t>Dit betreft een aanvullende bijdrage vanuit het Ministerie van Onderwijs, Cultuur en Wetenschap aan de provincie Gelderland bestemd voor de restauratie van de Eusebius kerk in Arnhem.</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9D27C6"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t>18) Projectstimuleringsregeling Interreg V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Betreft een bijdrage vanuit het Ministerie van Infrastructur en Milieu aan de provincie Noord-Brabant voor de projectstimuleringsregeling Interreg V.</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9D27C6"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t>19) Innovatie Landbouw Veenkoloniën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Betreft een bijdrage vanuit het Ministerie van Economische Zaken aan de provincie Groningen voor het project Vergroening door middel van groenbemesters in de Veenkolonien.</w:t>
      </w:r>
    </w:p>
    <w:p w:rsidR="009D7AD0" w:rsidRDefault="009D7AD0" w:rsidP="009D7AD0">
      <w:pPr>
        <w:autoSpaceDE w:val="0"/>
        <w:autoSpaceDN w:val="0"/>
        <w:adjustRightInd w:val="0"/>
        <w:spacing w:line="210" w:lineRule="atLeast"/>
        <w:ind w:left="3198"/>
        <w:rPr>
          <w:rFonts w:ascii="Verdana" w:hAnsi="Verdana" w:cs="Arial"/>
          <w:sz w:val="18"/>
          <w:szCs w:val="18"/>
        </w:rPr>
      </w:pPr>
    </w:p>
    <w:p w:rsidR="009D7AD0" w:rsidRPr="009D27C6" w:rsidRDefault="009D7AD0" w:rsidP="009D7AD0">
      <w:pPr>
        <w:autoSpaceDE w:val="0"/>
        <w:autoSpaceDN w:val="0"/>
        <w:adjustRightInd w:val="0"/>
        <w:spacing w:line="210" w:lineRule="atLeast"/>
        <w:ind w:left="3198"/>
        <w:rPr>
          <w:rFonts w:ascii="Verdana" w:hAnsi="Verdana" w:cs="Arial"/>
          <w:i/>
          <w:sz w:val="18"/>
          <w:szCs w:val="18"/>
        </w:rPr>
      </w:pPr>
      <w:r>
        <w:rPr>
          <w:rFonts w:ascii="Verdana" w:hAnsi="Verdana" w:cs="Arial"/>
          <w:i/>
          <w:sz w:val="18"/>
          <w:szCs w:val="18"/>
        </w:rPr>
        <w:t>20) Natuur (decentralisatie-uitkering)</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 xml:space="preserve">Vanuit het Ministerie van Economische Zaken wordt de decentralisatie-uitkering Natuur voor 2017 verhoogd met € 8,9 miljoen voor de uitvoering van het agrarisch natuurbeheer en met </w:t>
      </w:r>
    </w:p>
    <w:p w:rsidR="009D7AD0" w:rsidRDefault="009D7AD0" w:rsidP="009D7AD0">
      <w:pPr>
        <w:autoSpaceDE w:val="0"/>
        <w:autoSpaceDN w:val="0"/>
        <w:adjustRightInd w:val="0"/>
        <w:spacing w:line="210" w:lineRule="atLeast"/>
        <w:ind w:left="3198"/>
        <w:rPr>
          <w:rFonts w:ascii="Verdana" w:hAnsi="Verdana" w:cs="Arial"/>
          <w:sz w:val="18"/>
          <w:szCs w:val="18"/>
        </w:rPr>
      </w:pPr>
      <w:r>
        <w:rPr>
          <w:rFonts w:ascii="Verdana" w:hAnsi="Verdana" w:cs="Arial"/>
          <w:sz w:val="18"/>
          <w:szCs w:val="18"/>
        </w:rPr>
        <w:t>€ 0,6 miljoen voor kleine natuurbeheerders.</w:t>
      </w:r>
    </w:p>
    <w:p w:rsidR="009D7AD0" w:rsidRPr="006E1751" w:rsidRDefault="009D7AD0" w:rsidP="009D7AD0">
      <w:pPr>
        <w:autoSpaceDE w:val="0"/>
        <w:autoSpaceDN w:val="0"/>
        <w:adjustRightInd w:val="0"/>
        <w:spacing w:line="210" w:lineRule="atLeast"/>
        <w:rPr>
          <w:rFonts w:ascii="Verdana" w:hAnsi="Verdana" w:cs="Arial"/>
          <w:sz w:val="18"/>
          <w:szCs w:val="18"/>
        </w:rPr>
      </w:pPr>
    </w:p>
    <w:p w:rsidR="009D7AD0" w:rsidRPr="006E1751" w:rsidRDefault="009D7AD0" w:rsidP="009D7AD0">
      <w:pPr>
        <w:pStyle w:val="Plattetekst"/>
        <w:spacing w:line="210" w:lineRule="atLeast"/>
        <w:ind w:left="3200"/>
        <w:rPr>
          <w:rFonts w:ascii="Verdana" w:hAnsi="Verdana" w:cs="Arial"/>
          <w:sz w:val="18"/>
          <w:szCs w:val="18"/>
        </w:rPr>
      </w:pPr>
      <w:r w:rsidRPr="006E1751">
        <w:rPr>
          <w:rFonts w:ascii="Verdana" w:hAnsi="Verdana" w:cs="Arial"/>
          <w:sz w:val="18"/>
          <w:szCs w:val="18"/>
        </w:rPr>
        <w:t>2. Het beleidsartikel</w:t>
      </w:r>
    </w:p>
    <w:p w:rsidR="009D7AD0" w:rsidRPr="006E1751" w:rsidRDefault="009D7AD0" w:rsidP="009D7AD0">
      <w:pPr>
        <w:spacing w:line="210" w:lineRule="atLeast"/>
        <w:ind w:left="3200"/>
        <w:rPr>
          <w:rFonts w:ascii="Verdana" w:hAnsi="Verdana" w:cs="Arial"/>
          <w:b/>
          <w:sz w:val="18"/>
          <w:szCs w:val="18"/>
        </w:rPr>
      </w:pPr>
    </w:p>
    <w:p w:rsidR="009D7AD0" w:rsidRDefault="009D7AD0" w:rsidP="009D7AD0">
      <w:pPr>
        <w:spacing w:line="210" w:lineRule="atLeast"/>
        <w:ind w:left="3200"/>
        <w:rPr>
          <w:rFonts w:ascii="Verdana" w:hAnsi="Verdana" w:cs="Arial"/>
          <w:sz w:val="18"/>
          <w:szCs w:val="18"/>
        </w:rPr>
      </w:pPr>
      <w:r w:rsidRPr="006E1751">
        <w:rPr>
          <w:rFonts w:ascii="Verdana" w:hAnsi="Verdana" w:cs="Arial"/>
          <w:sz w:val="18"/>
          <w:szCs w:val="18"/>
        </w:rPr>
        <w:t xml:space="preserve">In onderstaande tabel </w:t>
      </w:r>
      <w:r>
        <w:rPr>
          <w:rFonts w:ascii="Verdana" w:hAnsi="Verdana" w:cs="Arial"/>
          <w:sz w:val="18"/>
          <w:szCs w:val="18"/>
        </w:rPr>
        <w:t xml:space="preserve">B2 </w:t>
      </w:r>
      <w:r w:rsidRPr="006E1751">
        <w:rPr>
          <w:rFonts w:ascii="Verdana" w:hAnsi="Verdana" w:cs="Arial"/>
          <w:sz w:val="18"/>
          <w:szCs w:val="18"/>
        </w:rPr>
        <w:t>worden voor de verplichtingen, de uitgaven en de ontvangsten de budgettaire gevolgen van beleid van het provinciefonds weergegeven. Hiermee worden de integrale uitgaven die samenhangen met de samengestelde beleidsdoelstelling (het nastreven van een adequate omvang van het provinciefonds en het nastreven van een adequate verdeling van de middelen over de provincies) inzichtelijk gemaakt.</w:t>
      </w:r>
    </w:p>
    <w:p w:rsidR="009D7AD0" w:rsidRDefault="009D7AD0" w:rsidP="009D7AD0">
      <w:pPr>
        <w:spacing w:line="210" w:lineRule="atLeast"/>
        <w:ind w:left="3200"/>
        <w:rPr>
          <w:rFonts w:ascii="Verdana" w:hAnsi="Verdana" w:cs="Arial"/>
          <w:sz w:val="18"/>
          <w:szCs w:val="18"/>
        </w:rPr>
      </w:pPr>
    </w:p>
    <w:p w:rsidR="009D7AD0" w:rsidRDefault="009D7AD0" w:rsidP="009D7AD0">
      <w:pPr>
        <w:rPr>
          <w:rFonts w:ascii="Verdana" w:hAnsi="Verdana" w:cs="Arial"/>
          <w:b/>
          <w:sz w:val="18"/>
          <w:szCs w:val="18"/>
        </w:rPr>
      </w:pPr>
      <w:r>
        <w:rPr>
          <w:rFonts w:ascii="Verdana" w:hAnsi="Verdana" w:cs="Arial"/>
          <w:b/>
          <w:sz w:val="18"/>
          <w:szCs w:val="18"/>
        </w:rPr>
        <w:br w:type="page"/>
      </w:r>
    </w:p>
    <w:p w:rsidR="009D7AD0" w:rsidRDefault="009D7AD0" w:rsidP="009D7AD0">
      <w:pPr>
        <w:spacing w:line="210" w:lineRule="atLeast"/>
        <w:ind w:left="3200"/>
        <w:rPr>
          <w:rFonts w:ascii="Verdana" w:hAnsi="Verdana" w:cs="Arial"/>
          <w:b/>
          <w:sz w:val="18"/>
          <w:szCs w:val="18"/>
        </w:rPr>
      </w:pPr>
      <w:r w:rsidRPr="00B7646F">
        <w:rPr>
          <w:rFonts w:ascii="Verdana" w:hAnsi="Verdana" w:cs="Arial"/>
          <w:b/>
          <w:sz w:val="18"/>
          <w:szCs w:val="18"/>
        </w:rPr>
        <w:lastRenderedPageBreak/>
        <w:t>T</w:t>
      </w:r>
      <w:r>
        <w:rPr>
          <w:rFonts w:ascii="Verdana" w:hAnsi="Verdana" w:cs="Arial"/>
          <w:b/>
          <w:sz w:val="18"/>
          <w:szCs w:val="18"/>
        </w:rPr>
        <w:t>a</w:t>
      </w:r>
      <w:r w:rsidRPr="00B7646F">
        <w:rPr>
          <w:rFonts w:ascii="Verdana" w:hAnsi="Verdana" w:cs="Arial"/>
          <w:b/>
          <w:sz w:val="18"/>
          <w:szCs w:val="18"/>
        </w:rPr>
        <w:t xml:space="preserve">bel B2: Budgettaire gevolgen van beleid </w:t>
      </w:r>
      <w:r>
        <w:rPr>
          <w:rFonts w:ascii="Verdana" w:hAnsi="Verdana" w:cs="Arial"/>
          <w:b/>
          <w:sz w:val="18"/>
          <w:szCs w:val="18"/>
        </w:rPr>
        <w:t>p</w:t>
      </w:r>
      <w:r w:rsidRPr="00B7646F">
        <w:rPr>
          <w:rFonts w:ascii="Verdana" w:hAnsi="Verdana" w:cs="Arial"/>
          <w:b/>
          <w:sz w:val="18"/>
          <w:szCs w:val="18"/>
        </w:rPr>
        <w:t>rovinciefonds (Eerste supp</w:t>
      </w:r>
      <w:r>
        <w:rPr>
          <w:rFonts w:ascii="Verdana" w:hAnsi="Verdana" w:cs="Arial"/>
          <w:b/>
          <w:sz w:val="18"/>
          <w:szCs w:val="18"/>
        </w:rPr>
        <w:t>l</w:t>
      </w:r>
      <w:r w:rsidRPr="00B7646F">
        <w:rPr>
          <w:rFonts w:ascii="Verdana" w:hAnsi="Verdana" w:cs="Arial"/>
          <w:b/>
          <w:sz w:val="18"/>
          <w:szCs w:val="18"/>
        </w:rPr>
        <w:t>etoire begroting; bedragen x € 1.000)</w:t>
      </w:r>
    </w:p>
    <w:p w:rsidR="009D7AD0" w:rsidRPr="00B7646F" w:rsidRDefault="009D7AD0" w:rsidP="009D7AD0">
      <w:pPr>
        <w:spacing w:line="210" w:lineRule="atLeast"/>
        <w:ind w:left="3200"/>
        <w:rPr>
          <w:rFonts w:ascii="Verdana" w:hAnsi="Verdana" w:cs="Arial"/>
          <w:b/>
          <w:sz w:val="18"/>
          <w:szCs w:val="18"/>
        </w:rPr>
      </w:pPr>
    </w:p>
    <w:tbl>
      <w:tblPr>
        <w:tblW w:w="10600" w:type="dxa"/>
        <w:tblInd w:w="-334" w:type="dxa"/>
        <w:tblCellMar>
          <w:left w:w="70" w:type="dxa"/>
          <w:right w:w="70" w:type="dxa"/>
        </w:tblCellMar>
        <w:tblLook w:val="04A0" w:firstRow="1" w:lastRow="0" w:firstColumn="1" w:lastColumn="0" w:noHBand="0" w:noVBand="1"/>
      </w:tblPr>
      <w:tblGrid>
        <w:gridCol w:w="274"/>
        <w:gridCol w:w="1668"/>
        <w:gridCol w:w="1193"/>
        <w:gridCol w:w="894"/>
        <w:gridCol w:w="1105"/>
        <w:gridCol w:w="1128"/>
        <w:gridCol w:w="1154"/>
        <w:gridCol w:w="796"/>
        <w:gridCol w:w="796"/>
        <w:gridCol w:w="796"/>
        <w:gridCol w:w="796"/>
      </w:tblGrid>
      <w:tr w:rsidR="009D7AD0" w:rsidRPr="0077720C" w:rsidTr="00221696">
        <w:trPr>
          <w:trHeight w:val="915"/>
        </w:trPr>
        <w:tc>
          <w:tcPr>
            <w:tcW w:w="1942" w:type="dxa"/>
            <w:gridSpan w:val="2"/>
            <w:tcBorders>
              <w:top w:val="single" w:sz="8" w:space="0" w:color="auto"/>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1193"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Ontwerp-begroting 2017 (1)</w:t>
            </w:r>
          </w:p>
        </w:tc>
        <w:tc>
          <w:tcPr>
            <w:tcW w:w="894"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Mutaties via NvW (2)</w:t>
            </w:r>
          </w:p>
        </w:tc>
        <w:tc>
          <w:tcPr>
            <w:tcW w:w="1105"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Vastgestelde begroting 2017 (3=1+2)</w:t>
            </w:r>
          </w:p>
        </w:tc>
        <w:tc>
          <w:tcPr>
            <w:tcW w:w="1128"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Mutaties 1e  suppletoire begroting 2017 (4)</w:t>
            </w:r>
          </w:p>
        </w:tc>
        <w:tc>
          <w:tcPr>
            <w:tcW w:w="1154"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b/>
                <w:bCs/>
                <w:sz w:val="16"/>
                <w:szCs w:val="16"/>
                <w:lang w:val="nl-NL"/>
              </w:rPr>
            </w:pPr>
            <w:r w:rsidRPr="0077720C">
              <w:rPr>
                <w:rFonts w:ascii="Arial" w:hAnsi="Arial" w:cs="Arial"/>
                <w:b/>
                <w:bCs/>
                <w:sz w:val="16"/>
                <w:szCs w:val="16"/>
                <w:lang w:val="nl-NL"/>
              </w:rPr>
              <w:t>Stand 1e suppletoire begroting 2017 (5=3+4)</w:t>
            </w:r>
          </w:p>
        </w:tc>
        <w:tc>
          <w:tcPr>
            <w:tcW w:w="796"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 2018</w:t>
            </w:r>
          </w:p>
        </w:tc>
        <w:tc>
          <w:tcPr>
            <w:tcW w:w="796"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 2019</w:t>
            </w:r>
          </w:p>
        </w:tc>
        <w:tc>
          <w:tcPr>
            <w:tcW w:w="796"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 2020</w:t>
            </w:r>
          </w:p>
        </w:tc>
        <w:tc>
          <w:tcPr>
            <w:tcW w:w="796"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r w:rsidRPr="0077720C">
              <w:rPr>
                <w:rFonts w:ascii="Arial" w:hAnsi="Arial" w:cs="Arial"/>
                <w:sz w:val="16"/>
                <w:szCs w:val="16"/>
                <w:lang w:val="nl-NL"/>
              </w:rPr>
              <w:t>Mutatie 2021</w:t>
            </w:r>
          </w:p>
        </w:tc>
      </w:tr>
      <w:tr w:rsidR="009D7AD0" w:rsidRPr="0077720C" w:rsidTr="00221696">
        <w:trPr>
          <w:trHeight w:val="300"/>
        </w:trPr>
        <w:tc>
          <w:tcPr>
            <w:tcW w:w="274" w:type="dxa"/>
            <w:tcBorders>
              <w:top w:val="single" w:sz="8" w:space="0" w:color="auto"/>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1668" w:type="dxa"/>
            <w:tcBorders>
              <w:top w:val="single" w:sz="8" w:space="0" w:color="auto"/>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1193"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894"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1105"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1128"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1154"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b/>
                <w:bCs/>
                <w:sz w:val="16"/>
                <w:szCs w:val="16"/>
                <w:lang w:val="nl-NL"/>
              </w:rPr>
            </w:pPr>
          </w:p>
        </w:tc>
        <w:tc>
          <w:tcPr>
            <w:tcW w:w="796"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796"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796"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c>
          <w:tcPr>
            <w:tcW w:w="796" w:type="dxa"/>
            <w:tcBorders>
              <w:top w:val="nil"/>
              <w:left w:val="nil"/>
              <w:bottom w:val="nil"/>
              <w:right w:val="nil"/>
            </w:tcBorders>
            <w:shd w:val="clear" w:color="auto" w:fill="auto"/>
            <w:vAlign w:val="center"/>
            <w:hideMark/>
          </w:tcPr>
          <w:p w:rsidR="009D7AD0" w:rsidRPr="0077720C" w:rsidRDefault="009D7AD0" w:rsidP="00221696">
            <w:pPr>
              <w:jc w:val="center"/>
              <w:rPr>
                <w:rFonts w:ascii="Arial" w:hAnsi="Arial" w:cs="Arial"/>
                <w:sz w:val="16"/>
                <w:szCs w:val="16"/>
                <w:lang w:val="nl-NL"/>
              </w:rPr>
            </w:pP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Verplichtingen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85.640</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2.285.225</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15.203</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13.640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13.654</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14.909</w:t>
            </w:r>
          </w:p>
        </w:tc>
      </w:tr>
      <w:tr w:rsidR="009D7AD0" w:rsidRPr="0077720C" w:rsidTr="00221696">
        <w:trPr>
          <w:trHeight w:val="30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Uitgaven: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85.639</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2.285.224</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15.203</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13.640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13.654</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14.909</w:t>
            </w:r>
          </w:p>
        </w:tc>
      </w:tr>
      <w:tr w:rsidR="009D7AD0" w:rsidRPr="0077720C" w:rsidTr="00221696">
        <w:trPr>
          <w:trHeight w:val="300"/>
        </w:trPr>
        <w:tc>
          <w:tcPr>
            <w:tcW w:w="1942" w:type="dxa"/>
            <w:gridSpan w:val="2"/>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Waarvan juridisch verplicht</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100%</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100%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Opdracht</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57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1.</w:t>
            </w: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Kosten Financiële-verhoudingswet</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100</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100</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100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r>
      <w:tr w:rsidR="009D7AD0" w:rsidRPr="0077720C" w:rsidTr="00221696">
        <w:trPr>
          <w:trHeight w:val="30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b/>
                <w:bCs/>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Bijdragen aan medeoverheden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99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1.</w:t>
            </w: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Algemene uitkering c.a. en de aanvullende uitkeringen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212.371</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212.371</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9.957</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222.328</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14.895</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14.895</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14.909</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14.909</w:t>
            </w:r>
          </w:p>
        </w:tc>
      </w:tr>
      <w:tr w:rsidR="009D7AD0" w:rsidRPr="0077720C" w:rsidTr="00221696">
        <w:trPr>
          <w:trHeight w:val="54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2.</w:t>
            </w: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Integratie-uitkeringen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r>
      <w:tr w:rsidR="009D7AD0" w:rsidRPr="0077720C" w:rsidTr="00221696">
        <w:trPr>
          <w:trHeight w:val="480"/>
        </w:trPr>
        <w:tc>
          <w:tcPr>
            <w:tcW w:w="274"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3.</w:t>
            </w:r>
          </w:p>
        </w:tc>
        <w:tc>
          <w:tcPr>
            <w:tcW w:w="1668"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Decentralisatie-uitkeringen</w:t>
            </w:r>
          </w:p>
        </w:tc>
        <w:tc>
          <w:tcPr>
            <w:tcW w:w="1193"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1.987.114</w:t>
            </w: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1.987.114</w:t>
            </w:r>
          </w:p>
        </w:tc>
        <w:tc>
          <w:tcPr>
            <w:tcW w:w="1128"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75.682</w:t>
            </w:r>
          </w:p>
        </w:tc>
        <w:tc>
          <w:tcPr>
            <w:tcW w:w="1154"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2.062.796</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308</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-1.255</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-1.255</w:t>
            </w: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0</w:t>
            </w:r>
          </w:p>
        </w:tc>
      </w:tr>
      <w:tr w:rsidR="009D7AD0" w:rsidRPr="0077720C" w:rsidTr="00221696">
        <w:trPr>
          <w:trHeight w:val="300"/>
        </w:trPr>
        <w:tc>
          <w:tcPr>
            <w:tcW w:w="1942" w:type="dxa"/>
            <w:gridSpan w:val="2"/>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1193"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89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05"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28"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1154"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79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15"/>
        </w:trPr>
        <w:tc>
          <w:tcPr>
            <w:tcW w:w="1942" w:type="dxa"/>
            <w:gridSpan w:val="2"/>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Ontvangsten:</w:t>
            </w:r>
          </w:p>
        </w:tc>
        <w:tc>
          <w:tcPr>
            <w:tcW w:w="1193"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894" w:type="dxa"/>
            <w:tcBorders>
              <w:top w:val="nil"/>
              <w:left w:val="nil"/>
              <w:bottom w:val="single" w:sz="8" w:space="0" w:color="auto"/>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1105"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2.199.585</w:t>
            </w:r>
          </w:p>
        </w:tc>
        <w:tc>
          <w:tcPr>
            <w:tcW w:w="1128"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85.639</w:t>
            </w:r>
          </w:p>
        </w:tc>
        <w:tc>
          <w:tcPr>
            <w:tcW w:w="1154"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2.285.224</w:t>
            </w:r>
          </w:p>
        </w:tc>
        <w:tc>
          <w:tcPr>
            <w:tcW w:w="796"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15.203</w:t>
            </w:r>
          </w:p>
        </w:tc>
        <w:tc>
          <w:tcPr>
            <w:tcW w:w="796"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13.640</w:t>
            </w:r>
          </w:p>
        </w:tc>
        <w:tc>
          <w:tcPr>
            <w:tcW w:w="796"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13.654</w:t>
            </w:r>
          </w:p>
        </w:tc>
        <w:tc>
          <w:tcPr>
            <w:tcW w:w="796"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14.909</w:t>
            </w:r>
          </w:p>
        </w:tc>
      </w:tr>
    </w:tbl>
    <w:p w:rsidR="009D7AD0" w:rsidRPr="006E1751" w:rsidRDefault="009D7AD0" w:rsidP="009D7AD0">
      <w:pPr>
        <w:spacing w:line="210" w:lineRule="atLeast"/>
        <w:rPr>
          <w:rFonts w:ascii="Verdana" w:hAnsi="Verdana" w:cs="Arial"/>
          <w:b/>
          <w:sz w:val="18"/>
          <w:szCs w:val="18"/>
        </w:rPr>
      </w:pP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b/>
          <w:sz w:val="18"/>
          <w:szCs w:val="18"/>
        </w:rPr>
        <w:t>Toelichting</w:t>
      </w:r>
    </w:p>
    <w:p w:rsidR="009D7AD0" w:rsidRPr="006E1751" w:rsidRDefault="009D7AD0" w:rsidP="009D7AD0">
      <w:pPr>
        <w:spacing w:line="210" w:lineRule="atLeast"/>
        <w:ind w:left="3200"/>
        <w:rPr>
          <w:rFonts w:ascii="Verdana" w:hAnsi="Verdana" w:cs="Arial"/>
          <w:sz w:val="18"/>
          <w:szCs w:val="18"/>
        </w:rPr>
      </w:pPr>
    </w:p>
    <w:p w:rsidR="009D7AD0" w:rsidRPr="006E1751" w:rsidRDefault="009D7AD0" w:rsidP="009D7AD0">
      <w:pPr>
        <w:spacing w:line="210" w:lineRule="atLeast"/>
        <w:ind w:left="3200"/>
        <w:rPr>
          <w:rFonts w:ascii="Verdana" w:hAnsi="Verdana" w:cs="Arial"/>
          <w:i/>
          <w:sz w:val="18"/>
          <w:szCs w:val="18"/>
        </w:rPr>
      </w:pPr>
      <w:r w:rsidRPr="006E1751">
        <w:rPr>
          <w:rFonts w:ascii="Verdana" w:hAnsi="Verdana" w:cs="Arial"/>
          <w:i/>
          <w:sz w:val="18"/>
          <w:szCs w:val="18"/>
        </w:rPr>
        <w:t>Mutaties 1</w:t>
      </w:r>
      <w:r w:rsidRPr="006E1751">
        <w:rPr>
          <w:rFonts w:ascii="Verdana" w:hAnsi="Verdana" w:cs="Arial"/>
          <w:i/>
          <w:sz w:val="18"/>
          <w:szCs w:val="18"/>
          <w:vertAlign w:val="superscript"/>
        </w:rPr>
        <w:t>e</w:t>
      </w:r>
      <w:r w:rsidRPr="006E1751">
        <w:rPr>
          <w:rFonts w:ascii="Verdana" w:hAnsi="Verdana" w:cs="Arial"/>
          <w:i/>
          <w:sz w:val="18"/>
          <w:szCs w:val="18"/>
        </w:rPr>
        <w:t xml:space="preserve"> suppletoire begroting</w:t>
      </w:r>
    </w:p>
    <w:p w:rsidR="009D7AD0" w:rsidRPr="006E1751" w:rsidRDefault="009D7AD0" w:rsidP="009D7AD0">
      <w:pPr>
        <w:spacing w:line="210" w:lineRule="atLeast"/>
        <w:ind w:left="3200"/>
        <w:rPr>
          <w:rFonts w:ascii="Verdana" w:hAnsi="Verdana" w:cs="Arial"/>
          <w:i/>
          <w:sz w:val="18"/>
          <w:szCs w:val="18"/>
        </w:rPr>
      </w:pPr>
    </w:p>
    <w:p w:rsidR="009D7AD0" w:rsidRPr="006E1751" w:rsidRDefault="009D7AD0" w:rsidP="009D7AD0">
      <w:pPr>
        <w:spacing w:line="210" w:lineRule="atLeast"/>
        <w:ind w:left="3200"/>
        <w:rPr>
          <w:rFonts w:ascii="Verdana" w:hAnsi="Verdana" w:cs="Arial"/>
          <w:i/>
          <w:sz w:val="18"/>
          <w:szCs w:val="18"/>
        </w:rPr>
      </w:pPr>
      <w:r w:rsidRPr="006E1751">
        <w:rPr>
          <w:rFonts w:ascii="Verdana" w:hAnsi="Verdana" w:cs="Arial"/>
          <w:i/>
          <w:sz w:val="18"/>
          <w:szCs w:val="18"/>
        </w:rPr>
        <w:t>Verplichtingen</w:t>
      </w:r>
    </w:p>
    <w:p w:rsidR="009D7AD0" w:rsidRDefault="009D7AD0" w:rsidP="009D7AD0">
      <w:pPr>
        <w:spacing w:line="210" w:lineRule="atLeast"/>
        <w:ind w:left="3200"/>
        <w:rPr>
          <w:rFonts w:ascii="Verdana" w:hAnsi="Verdana" w:cs="Arial"/>
          <w:sz w:val="18"/>
          <w:szCs w:val="18"/>
        </w:rPr>
      </w:pPr>
      <w:r w:rsidRPr="00341A42">
        <w:rPr>
          <w:rFonts w:ascii="Verdana" w:hAnsi="Verdana" w:cs="Arial"/>
          <w:sz w:val="18"/>
          <w:szCs w:val="18"/>
        </w:rPr>
        <w:t>In dit wetsvoorstel wordt voorgesteld de begroting van de verplichtingen van het provinciefonds voor het jaar 201</w:t>
      </w:r>
      <w:r>
        <w:rPr>
          <w:rFonts w:ascii="Verdana" w:hAnsi="Verdana" w:cs="Arial"/>
          <w:sz w:val="18"/>
          <w:szCs w:val="18"/>
        </w:rPr>
        <w:t>7</w:t>
      </w:r>
      <w:r w:rsidRPr="00341A42">
        <w:rPr>
          <w:rFonts w:ascii="Verdana" w:hAnsi="Verdana" w:cs="Arial"/>
          <w:sz w:val="18"/>
          <w:szCs w:val="18"/>
        </w:rPr>
        <w:t xml:space="preserve"> met </w:t>
      </w:r>
      <w:r>
        <w:rPr>
          <w:rFonts w:ascii="Verdana" w:hAnsi="Verdana" w:cs="Arial"/>
          <w:sz w:val="18"/>
          <w:szCs w:val="18"/>
        </w:rPr>
        <w:t xml:space="preserve">           </w:t>
      </w:r>
      <w:r w:rsidRPr="00341A42">
        <w:rPr>
          <w:rFonts w:ascii="Verdana" w:hAnsi="Verdana" w:cs="Arial"/>
          <w:sz w:val="18"/>
          <w:szCs w:val="18"/>
        </w:rPr>
        <w:t xml:space="preserve">€ </w:t>
      </w:r>
      <w:r>
        <w:rPr>
          <w:rFonts w:ascii="Verdana" w:hAnsi="Verdana" w:cs="Arial"/>
          <w:sz w:val="18"/>
          <w:szCs w:val="18"/>
        </w:rPr>
        <w:t>85.</w:t>
      </w:r>
      <w:r w:rsidRPr="0077720C">
        <w:rPr>
          <w:rFonts w:ascii="Verdana" w:hAnsi="Verdana" w:cs="Arial"/>
          <w:sz w:val="18"/>
          <w:szCs w:val="18"/>
        </w:rPr>
        <w:t>640.000</w:t>
      </w:r>
      <w:r w:rsidRPr="0077720C">
        <w:rPr>
          <w:rFonts w:ascii="Verdana" w:hAnsi="Verdana" w:cs="Arial"/>
          <w:color w:val="000000"/>
          <w:sz w:val="18"/>
          <w:szCs w:val="18"/>
          <w:lang w:val="nl-NL"/>
        </w:rPr>
        <w:t xml:space="preserve"> </w:t>
      </w:r>
      <w:r w:rsidRPr="0077720C">
        <w:rPr>
          <w:rFonts w:ascii="Verdana" w:hAnsi="Verdana" w:cs="Arial"/>
          <w:sz w:val="18"/>
          <w:szCs w:val="18"/>
        </w:rPr>
        <w:t>te muteren en te brengen op € 2.285.225.000</w:t>
      </w:r>
      <w:r w:rsidRPr="0077720C">
        <w:rPr>
          <w:rFonts w:ascii="Verdana" w:hAnsi="Verdana" w:cs="Arial"/>
          <w:color w:val="000000"/>
          <w:sz w:val="18"/>
          <w:szCs w:val="18"/>
        </w:rPr>
        <w:t>.</w:t>
      </w:r>
      <w:r w:rsidRPr="0077720C">
        <w:rPr>
          <w:rFonts w:ascii="Verdana" w:hAnsi="Verdana" w:cs="Arial"/>
          <w:sz w:val="18"/>
          <w:szCs w:val="18"/>
        </w:rPr>
        <w:t xml:space="preserve"> De</w:t>
      </w:r>
      <w:r w:rsidRPr="00341A42">
        <w:rPr>
          <w:rFonts w:ascii="Verdana" w:hAnsi="Verdana" w:cs="Arial"/>
          <w:sz w:val="18"/>
          <w:szCs w:val="18"/>
        </w:rPr>
        <w:t xml:space="preserve"> mutaties worden hieronder in tabel B3 opgesomd. De toelichting bij de mutaties die onderdeel vormen van het totaalbedrag dat in deze tabel is vermeld is reeds gegeven in § 1.</w:t>
      </w:r>
    </w:p>
    <w:p w:rsidR="009D7AD0" w:rsidRDefault="009D7AD0" w:rsidP="009D7AD0">
      <w:pPr>
        <w:spacing w:line="210" w:lineRule="atLeast"/>
        <w:ind w:left="3200"/>
        <w:rPr>
          <w:rFonts w:ascii="Verdana" w:hAnsi="Verdana" w:cs="Arial"/>
          <w:b/>
          <w:sz w:val="18"/>
          <w:szCs w:val="18"/>
        </w:rPr>
      </w:pPr>
    </w:p>
    <w:p w:rsidR="009D7AD0" w:rsidRDefault="009D7AD0" w:rsidP="009D7AD0">
      <w:pPr>
        <w:spacing w:line="210" w:lineRule="atLeast"/>
        <w:ind w:left="3200"/>
        <w:rPr>
          <w:rFonts w:ascii="Verdana" w:hAnsi="Verdana" w:cs="Arial"/>
          <w:b/>
          <w:sz w:val="18"/>
          <w:szCs w:val="18"/>
        </w:rPr>
      </w:pPr>
      <w:r w:rsidRPr="00C04B1D">
        <w:rPr>
          <w:rFonts w:ascii="Verdana" w:hAnsi="Verdana" w:cs="Arial"/>
          <w:b/>
          <w:sz w:val="18"/>
          <w:szCs w:val="18"/>
        </w:rPr>
        <w:t>Ta</w:t>
      </w:r>
      <w:r>
        <w:rPr>
          <w:rFonts w:ascii="Verdana" w:hAnsi="Verdana" w:cs="Arial"/>
          <w:b/>
          <w:sz w:val="18"/>
          <w:szCs w:val="18"/>
        </w:rPr>
        <w:t>bel B3</w:t>
      </w:r>
      <w:r w:rsidRPr="00C04B1D">
        <w:rPr>
          <w:rFonts w:ascii="Verdana" w:hAnsi="Verdana" w:cs="Arial"/>
          <w:b/>
          <w:sz w:val="18"/>
          <w:szCs w:val="18"/>
        </w:rPr>
        <w:t xml:space="preserve">: </w:t>
      </w:r>
      <w:r>
        <w:rPr>
          <w:rFonts w:ascii="Verdana" w:hAnsi="Verdana" w:cs="Arial"/>
          <w:b/>
          <w:sz w:val="18"/>
          <w:szCs w:val="18"/>
        </w:rPr>
        <w:t>Mutaties verplichtingenbedrag provinci</w:t>
      </w:r>
      <w:r w:rsidRPr="00C04B1D">
        <w:rPr>
          <w:rFonts w:ascii="Verdana" w:hAnsi="Verdana" w:cs="Arial"/>
          <w:b/>
          <w:sz w:val="18"/>
          <w:szCs w:val="18"/>
        </w:rPr>
        <w:t>efonds 2017 (bedragen x € 1.000)</w:t>
      </w:r>
    </w:p>
    <w:p w:rsidR="009D7AD0" w:rsidRPr="00C04B1D" w:rsidRDefault="009D7AD0" w:rsidP="009D7AD0">
      <w:pPr>
        <w:spacing w:line="210" w:lineRule="atLeast"/>
        <w:ind w:left="3200"/>
        <w:rPr>
          <w:rFonts w:ascii="Verdana" w:hAnsi="Verdana" w:cs="Arial"/>
          <w:b/>
          <w:sz w:val="18"/>
          <w:szCs w:val="18"/>
        </w:rPr>
      </w:pPr>
    </w:p>
    <w:tbl>
      <w:tblPr>
        <w:tblW w:w="7160" w:type="dxa"/>
        <w:tblInd w:w="55" w:type="dxa"/>
        <w:tblCellMar>
          <w:left w:w="70" w:type="dxa"/>
          <w:right w:w="70" w:type="dxa"/>
        </w:tblCellMar>
        <w:tblLook w:val="04A0" w:firstRow="1" w:lastRow="0" w:firstColumn="1" w:lastColumn="0" w:noHBand="0" w:noVBand="1"/>
      </w:tblPr>
      <w:tblGrid>
        <w:gridCol w:w="5220"/>
        <w:gridCol w:w="960"/>
        <w:gridCol w:w="980"/>
      </w:tblGrid>
      <w:tr w:rsidR="009D7AD0" w:rsidRPr="0077720C" w:rsidTr="00221696">
        <w:trPr>
          <w:trHeight w:val="315"/>
        </w:trPr>
        <w:tc>
          <w:tcPr>
            <w:tcW w:w="5220"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verplichtingenbedrag ontwerpbegroting 2017</w:t>
            </w:r>
          </w:p>
        </w:tc>
        <w:tc>
          <w:tcPr>
            <w:tcW w:w="960"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 </w:t>
            </w:r>
          </w:p>
        </w:tc>
        <w:tc>
          <w:tcPr>
            <w:tcW w:w="980"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2.199.585</w:t>
            </w: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96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Mutaties nog niet opgenomen in een begrotingsstuk:</w:t>
            </w:r>
          </w:p>
        </w:tc>
        <w:tc>
          <w:tcPr>
            <w:tcW w:w="96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98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(incidenteel)</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3.133</w:t>
            </w:r>
          </w:p>
        </w:tc>
        <w:tc>
          <w:tcPr>
            <w:tcW w:w="98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(structureel)</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3.133</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2017</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11.277</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Plafond BTW-compensatiefonds 2016</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-8.397</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585"/>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Programma Rijke Waddenzee Vismigratie Afsluitdijk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2.893</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585"/>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lastRenderedPageBreak/>
              <w:t>Verduurzaming ketens Energie-Chemie Eemsdelta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35</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585"/>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BDU Verkeer en vervoer Maaslijn Electrificatie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-1.483</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Hydrologische Maatregelen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5.900</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Luchtvaarttaken (algemene 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825</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MKB Innovatiestimulering Topsectoren MIT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1.515</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Innovatiebudget handelsregister (algemene 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Meerjarenprogramma Eems-Dollard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248</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MIRT-project IJsseldelta Fase 2 (decentralisatie-uiotkering)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5.890</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Beter benutten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44.594</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Erfgoed en ruimte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562</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Ontwikkelingsbedrijf NOM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2.000</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Monumenten Eusebius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4.000</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Pr>
                <w:rFonts w:ascii="Arial" w:hAnsi="Arial" w:cs="Arial"/>
                <w:sz w:val="16"/>
                <w:szCs w:val="16"/>
                <w:lang w:val="nl-NL"/>
              </w:rPr>
              <w:t xml:space="preserve">Projectstimuleringsregeling </w:t>
            </w:r>
            <w:r w:rsidRPr="0077720C">
              <w:rPr>
                <w:rFonts w:ascii="Arial" w:hAnsi="Arial" w:cs="Arial"/>
                <w:sz w:val="16"/>
                <w:szCs w:val="16"/>
                <w:lang w:val="nl-NL"/>
              </w:rPr>
              <w:t>Interreg V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24</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 Landbouw Veenkoloniën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Natuur (decentralisatie-uitkering)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9.500</w:t>
            </w: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Totaal nieuwe mutaties:</w:t>
            </w:r>
          </w:p>
        </w:tc>
        <w:tc>
          <w:tcPr>
            <w:tcW w:w="96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85.640</w:t>
            </w:r>
          </w:p>
        </w:tc>
      </w:tr>
      <w:tr w:rsidR="009D7AD0" w:rsidRPr="0077720C" w:rsidTr="00221696">
        <w:trPr>
          <w:trHeight w:val="315"/>
        </w:trPr>
        <w:tc>
          <w:tcPr>
            <w:tcW w:w="522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96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98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r>
      <w:tr w:rsidR="009D7AD0" w:rsidRPr="0077720C" w:rsidTr="00221696">
        <w:trPr>
          <w:trHeight w:val="300"/>
        </w:trPr>
        <w:tc>
          <w:tcPr>
            <w:tcW w:w="522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verplichtingenbedrag bij 1e suppletoire begroting 2017</w:t>
            </w:r>
          </w:p>
        </w:tc>
        <w:tc>
          <w:tcPr>
            <w:tcW w:w="96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 </w:t>
            </w:r>
          </w:p>
        </w:tc>
        <w:tc>
          <w:tcPr>
            <w:tcW w:w="980" w:type="dxa"/>
            <w:tcBorders>
              <w:top w:val="nil"/>
              <w:left w:val="nil"/>
              <w:bottom w:val="single" w:sz="8" w:space="0" w:color="auto"/>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2.285.225</w:t>
            </w: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verplichtingenbedrag kosten Financiële-verhoudingswet</w:t>
            </w:r>
          </w:p>
        </w:tc>
        <w:tc>
          <w:tcPr>
            <w:tcW w:w="96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 </w:t>
            </w:r>
          </w:p>
        </w:tc>
        <w:tc>
          <w:tcPr>
            <w:tcW w:w="98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100</w:t>
            </w: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verplichtingenbedrag algemene uitkering</w:t>
            </w:r>
          </w:p>
        </w:tc>
        <w:tc>
          <w:tcPr>
            <w:tcW w:w="96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p>
        </w:tc>
        <w:tc>
          <w:tcPr>
            <w:tcW w:w="980"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222.328</w:t>
            </w:r>
          </w:p>
        </w:tc>
      </w:tr>
      <w:tr w:rsidR="009D7AD0" w:rsidRPr="0077720C" w:rsidTr="00221696">
        <w:trPr>
          <w:trHeight w:val="300"/>
        </w:trPr>
        <w:tc>
          <w:tcPr>
            <w:tcW w:w="522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verplichtingenbedrag integratie-uitkeringen</w:t>
            </w:r>
          </w:p>
        </w:tc>
        <w:tc>
          <w:tcPr>
            <w:tcW w:w="960"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p>
        </w:tc>
        <w:tc>
          <w:tcPr>
            <w:tcW w:w="980"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0</w:t>
            </w:r>
          </w:p>
        </w:tc>
      </w:tr>
      <w:tr w:rsidR="009D7AD0" w:rsidRPr="0077720C" w:rsidTr="00221696">
        <w:trPr>
          <w:trHeight w:val="315"/>
        </w:trPr>
        <w:tc>
          <w:tcPr>
            <w:tcW w:w="522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verplichtingenbedrag decentralisatie-uitkeringen</w:t>
            </w:r>
          </w:p>
        </w:tc>
        <w:tc>
          <w:tcPr>
            <w:tcW w:w="960"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 </w:t>
            </w:r>
          </w:p>
        </w:tc>
        <w:tc>
          <w:tcPr>
            <w:tcW w:w="980"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2.062.797</w:t>
            </w:r>
          </w:p>
        </w:tc>
      </w:tr>
    </w:tbl>
    <w:p w:rsidR="009D7AD0" w:rsidRDefault="009D7AD0" w:rsidP="009D7AD0">
      <w:pPr>
        <w:spacing w:line="210" w:lineRule="atLeast"/>
        <w:ind w:left="3200"/>
        <w:rPr>
          <w:rFonts w:ascii="Verdana" w:hAnsi="Verdana" w:cs="Arial"/>
          <w:i/>
          <w:sz w:val="18"/>
          <w:szCs w:val="18"/>
        </w:rPr>
      </w:pPr>
    </w:p>
    <w:p w:rsidR="009D7AD0" w:rsidRPr="006E1751" w:rsidRDefault="009D7AD0" w:rsidP="009D7AD0">
      <w:pPr>
        <w:spacing w:line="210" w:lineRule="atLeast"/>
        <w:ind w:left="3200"/>
        <w:rPr>
          <w:rFonts w:ascii="Verdana" w:hAnsi="Verdana" w:cs="Arial"/>
          <w:i/>
          <w:sz w:val="18"/>
          <w:szCs w:val="18"/>
        </w:rPr>
      </w:pPr>
      <w:r w:rsidRPr="006E1751">
        <w:rPr>
          <w:rFonts w:ascii="Verdana" w:hAnsi="Verdana" w:cs="Arial"/>
          <w:i/>
          <w:sz w:val="18"/>
          <w:szCs w:val="18"/>
        </w:rPr>
        <w:t>Uitgaven</w:t>
      </w:r>
    </w:p>
    <w:p w:rsidR="009D7AD0" w:rsidRDefault="009D7AD0" w:rsidP="009D7AD0">
      <w:pPr>
        <w:spacing w:line="210" w:lineRule="atLeast"/>
        <w:ind w:left="3200"/>
        <w:rPr>
          <w:rFonts w:ascii="Verdana" w:hAnsi="Verdana" w:cs="Arial"/>
          <w:sz w:val="18"/>
          <w:szCs w:val="18"/>
        </w:rPr>
      </w:pPr>
      <w:r w:rsidRPr="00341A42">
        <w:rPr>
          <w:rFonts w:ascii="Verdana" w:hAnsi="Verdana" w:cs="Arial"/>
          <w:sz w:val="18"/>
          <w:szCs w:val="18"/>
        </w:rPr>
        <w:t xml:space="preserve">In dit wetsvoorstel wordt voorgesteld de begroting van de uitgaven van het </w:t>
      </w:r>
      <w:r w:rsidRPr="0077720C">
        <w:rPr>
          <w:rFonts w:ascii="Verdana" w:hAnsi="Verdana" w:cs="Arial"/>
          <w:sz w:val="18"/>
          <w:szCs w:val="18"/>
        </w:rPr>
        <w:t>provinciefonds voor het jaar 2017 met € 85</w:t>
      </w:r>
      <w:r w:rsidRPr="0077720C">
        <w:rPr>
          <w:rFonts w:ascii="Verdana" w:hAnsi="Verdana"/>
          <w:sz w:val="18"/>
          <w:szCs w:val="18"/>
        </w:rPr>
        <w:t>.639.000</w:t>
      </w:r>
      <w:r w:rsidRPr="0077720C">
        <w:rPr>
          <w:rFonts w:ascii="Verdana" w:hAnsi="Verdana" w:cs="Arial"/>
          <w:color w:val="000000"/>
          <w:sz w:val="18"/>
          <w:szCs w:val="18"/>
          <w:lang w:val="nl-NL"/>
        </w:rPr>
        <w:t xml:space="preserve"> </w:t>
      </w:r>
      <w:r w:rsidRPr="0077720C">
        <w:rPr>
          <w:rFonts w:ascii="Verdana" w:hAnsi="Verdana" w:cs="Arial"/>
          <w:sz w:val="18"/>
          <w:szCs w:val="18"/>
        </w:rPr>
        <w:t>te muteren en te brengen op € 2.285.224.000. De mutaties worden in tabel B4 opgesomd. De</w:t>
      </w:r>
      <w:r w:rsidRPr="006E1751">
        <w:rPr>
          <w:rFonts w:ascii="Verdana" w:hAnsi="Verdana" w:cs="Arial"/>
          <w:sz w:val="18"/>
          <w:szCs w:val="18"/>
        </w:rPr>
        <w:t xml:space="preserve"> mutaties die plaatsvinden met betrekking tot de verplichtingen zijn ook van toepassing op de uitgaven. Er </w:t>
      </w:r>
      <w:r>
        <w:rPr>
          <w:rFonts w:ascii="Verdana" w:hAnsi="Verdana" w:cs="Arial"/>
          <w:sz w:val="18"/>
          <w:szCs w:val="18"/>
        </w:rPr>
        <w:t>is</w:t>
      </w:r>
      <w:r w:rsidRPr="006E1751">
        <w:rPr>
          <w:rFonts w:ascii="Verdana" w:hAnsi="Verdana" w:cs="Arial"/>
          <w:sz w:val="18"/>
          <w:szCs w:val="18"/>
        </w:rPr>
        <w:t xml:space="preserve"> echter nog </w:t>
      </w:r>
      <w:r>
        <w:rPr>
          <w:rFonts w:ascii="Verdana" w:hAnsi="Verdana" w:cs="Arial"/>
          <w:sz w:val="18"/>
          <w:szCs w:val="18"/>
        </w:rPr>
        <w:t xml:space="preserve">één </w:t>
      </w:r>
      <w:r w:rsidRPr="006E1751">
        <w:rPr>
          <w:rFonts w:ascii="Verdana" w:hAnsi="Verdana" w:cs="Arial"/>
          <w:sz w:val="18"/>
          <w:szCs w:val="18"/>
        </w:rPr>
        <w:t>mutatie</w:t>
      </w:r>
      <w:r>
        <w:rPr>
          <w:rFonts w:ascii="Verdana" w:hAnsi="Verdana" w:cs="Arial"/>
          <w:sz w:val="18"/>
          <w:szCs w:val="18"/>
        </w:rPr>
        <w:t xml:space="preserve">s </w:t>
      </w:r>
      <w:r w:rsidRPr="006E1751">
        <w:rPr>
          <w:rFonts w:ascii="Verdana" w:hAnsi="Verdana" w:cs="Arial"/>
          <w:sz w:val="18"/>
          <w:szCs w:val="18"/>
        </w:rPr>
        <w:t xml:space="preserve">die wel effect </w:t>
      </w:r>
      <w:r>
        <w:rPr>
          <w:rFonts w:ascii="Verdana" w:hAnsi="Verdana" w:cs="Arial"/>
          <w:sz w:val="18"/>
          <w:szCs w:val="18"/>
        </w:rPr>
        <w:t>heeft</w:t>
      </w:r>
      <w:r w:rsidRPr="006E1751">
        <w:rPr>
          <w:rFonts w:ascii="Verdana" w:hAnsi="Verdana" w:cs="Arial"/>
          <w:sz w:val="18"/>
          <w:szCs w:val="18"/>
        </w:rPr>
        <w:t xml:space="preserve"> op het uitgavenbedrag 201</w:t>
      </w:r>
      <w:r>
        <w:rPr>
          <w:rFonts w:ascii="Verdana" w:hAnsi="Verdana" w:cs="Arial"/>
          <w:sz w:val="18"/>
          <w:szCs w:val="18"/>
        </w:rPr>
        <w:t>7</w:t>
      </w:r>
      <w:r w:rsidRPr="006E1751">
        <w:rPr>
          <w:rFonts w:ascii="Verdana" w:hAnsi="Verdana" w:cs="Arial"/>
          <w:sz w:val="18"/>
          <w:szCs w:val="18"/>
        </w:rPr>
        <w:t>, maar niet op het verplichtingenbedrag 201</w:t>
      </w:r>
      <w:r>
        <w:rPr>
          <w:rFonts w:ascii="Verdana" w:hAnsi="Verdana" w:cs="Arial"/>
          <w:sz w:val="18"/>
          <w:szCs w:val="18"/>
        </w:rPr>
        <w:t>7</w:t>
      </w:r>
      <w:r w:rsidRPr="006E1751">
        <w:rPr>
          <w:rFonts w:ascii="Verdana" w:hAnsi="Verdana" w:cs="Arial"/>
          <w:sz w:val="18"/>
          <w:szCs w:val="18"/>
        </w:rPr>
        <w:t xml:space="preserve">. Het gaat om de </w:t>
      </w:r>
      <w:r>
        <w:rPr>
          <w:rFonts w:ascii="Verdana" w:hAnsi="Verdana" w:cs="Arial"/>
          <w:sz w:val="18"/>
          <w:szCs w:val="18"/>
        </w:rPr>
        <w:t>‘wijziging betalingsverloop decentralisatie-uitkeringen 2016’</w:t>
      </w:r>
      <w:r w:rsidRPr="006E1751">
        <w:rPr>
          <w:rFonts w:ascii="Verdana" w:hAnsi="Verdana" w:cs="Arial"/>
          <w:sz w:val="18"/>
          <w:szCs w:val="18"/>
        </w:rPr>
        <w:t>. De toelichting bij de</w:t>
      </w:r>
      <w:r>
        <w:rPr>
          <w:rFonts w:ascii="Verdana" w:hAnsi="Verdana" w:cs="Arial"/>
          <w:sz w:val="18"/>
          <w:szCs w:val="18"/>
        </w:rPr>
        <w:t>ze</w:t>
      </w:r>
      <w:r w:rsidRPr="006E1751">
        <w:rPr>
          <w:rFonts w:ascii="Verdana" w:hAnsi="Verdana" w:cs="Arial"/>
          <w:sz w:val="18"/>
          <w:szCs w:val="18"/>
        </w:rPr>
        <w:t xml:space="preserve"> mutatie</w:t>
      </w:r>
      <w:r>
        <w:rPr>
          <w:rFonts w:ascii="Verdana" w:hAnsi="Verdana" w:cs="Arial"/>
          <w:sz w:val="18"/>
          <w:szCs w:val="18"/>
        </w:rPr>
        <w:t>s,</w:t>
      </w:r>
      <w:r w:rsidRPr="006E1751">
        <w:rPr>
          <w:rFonts w:ascii="Verdana" w:hAnsi="Verdana" w:cs="Arial"/>
          <w:sz w:val="18"/>
          <w:szCs w:val="18"/>
        </w:rPr>
        <w:t xml:space="preserve"> die onderdeel vorm</w:t>
      </w:r>
      <w:r>
        <w:rPr>
          <w:rFonts w:ascii="Verdana" w:hAnsi="Verdana" w:cs="Arial"/>
          <w:sz w:val="18"/>
          <w:szCs w:val="18"/>
        </w:rPr>
        <w:t>t</w:t>
      </w:r>
      <w:r w:rsidRPr="006E1751">
        <w:rPr>
          <w:rFonts w:ascii="Verdana" w:hAnsi="Verdana" w:cs="Arial"/>
          <w:sz w:val="18"/>
          <w:szCs w:val="18"/>
        </w:rPr>
        <w:t xml:space="preserve"> van het totaalbedrag dat in deze tabel is vermeld</w:t>
      </w:r>
      <w:r>
        <w:rPr>
          <w:rFonts w:ascii="Verdana" w:hAnsi="Verdana" w:cs="Arial"/>
          <w:sz w:val="18"/>
          <w:szCs w:val="18"/>
        </w:rPr>
        <w:t>,</w:t>
      </w:r>
      <w:r w:rsidRPr="006E1751">
        <w:rPr>
          <w:rFonts w:ascii="Verdana" w:hAnsi="Verdana" w:cs="Arial"/>
          <w:sz w:val="18"/>
          <w:szCs w:val="18"/>
        </w:rPr>
        <w:t xml:space="preserve"> is reeds gegeven in § 1.</w:t>
      </w:r>
    </w:p>
    <w:p w:rsidR="009D7AD0" w:rsidRDefault="009D7AD0" w:rsidP="009D7AD0">
      <w:pPr>
        <w:spacing w:line="210" w:lineRule="atLeast"/>
        <w:ind w:left="3200"/>
        <w:rPr>
          <w:rFonts w:ascii="Verdana" w:hAnsi="Verdana" w:cs="Arial"/>
          <w:b/>
          <w:sz w:val="18"/>
          <w:szCs w:val="18"/>
        </w:rPr>
      </w:pPr>
    </w:p>
    <w:p w:rsidR="009D7AD0" w:rsidRDefault="009D7AD0" w:rsidP="009D7AD0">
      <w:pPr>
        <w:spacing w:line="210" w:lineRule="atLeast"/>
        <w:ind w:left="3200"/>
        <w:rPr>
          <w:rFonts w:ascii="Verdana" w:hAnsi="Verdana" w:cs="Arial"/>
          <w:b/>
          <w:sz w:val="18"/>
          <w:szCs w:val="18"/>
        </w:rPr>
      </w:pPr>
      <w:r w:rsidRPr="00C04B1D">
        <w:rPr>
          <w:rFonts w:ascii="Verdana" w:hAnsi="Verdana" w:cs="Arial"/>
          <w:b/>
          <w:sz w:val="18"/>
          <w:szCs w:val="18"/>
        </w:rPr>
        <w:t>Ta</w:t>
      </w:r>
      <w:r>
        <w:rPr>
          <w:rFonts w:ascii="Verdana" w:hAnsi="Verdana" w:cs="Arial"/>
          <w:b/>
          <w:sz w:val="18"/>
          <w:szCs w:val="18"/>
        </w:rPr>
        <w:t>bel B4</w:t>
      </w:r>
      <w:r w:rsidRPr="00C04B1D">
        <w:rPr>
          <w:rFonts w:ascii="Verdana" w:hAnsi="Verdana" w:cs="Arial"/>
          <w:b/>
          <w:sz w:val="18"/>
          <w:szCs w:val="18"/>
        </w:rPr>
        <w:t xml:space="preserve">: </w:t>
      </w:r>
      <w:r>
        <w:rPr>
          <w:rFonts w:ascii="Verdana" w:hAnsi="Verdana" w:cs="Arial"/>
          <w:b/>
          <w:sz w:val="18"/>
          <w:szCs w:val="18"/>
        </w:rPr>
        <w:t>Mutaties uitgavenbedrag</w:t>
      </w:r>
      <w:r w:rsidRPr="00C04B1D">
        <w:rPr>
          <w:rFonts w:ascii="Verdana" w:hAnsi="Verdana" w:cs="Arial"/>
          <w:b/>
          <w:sz w:val="18"/>
          <w:szCs w:val="18"/>
        </w:rPr>
        <w:t xml:space="preserve"> </w:t>
      </w:r>
      <w:r>
        <w:rPr>
          <w:rFonts w:ascii="Verdana" w:hAnsi="Verdana" w:cs="Arial"/>
          <w:b/>
          <w:sz w:val="18"/>
          <w:szCs w:val="18"/>
        </w:rPr>
        <w:t>provinci</w:t>
      </w:r>
      <w:r w:rsidRPr="00C04B1D">
        <w:rPr>
          <w:rFonts w:ascii="Verdana" w:hAnsi="Verdana" w:cs="Arial"/>
          <w:b/>
          <w:sz w:val="18"/>
          <w:szCs w:val="18"/>
        </w:rPr>
        <w:t>efonds 2017 (bedragen x € 1.000)</w:t>
      </w:r>
    </w:p>
    <w:p w:rsidR="009D7AD0" w:rsidRDefault="009D7AD0" w:rsidP="009D7AD0">
      <w:pPr>
        <w:spacing w:line="210" w:lineRule="atLeast"/>
        <w:ind w:left="3200"/>
        <w:rPr>
          <w:rFonts w:ascii="Verdana" w:hAnsi="Verdana" w:cs="Arial"/>
          <w:b/>
          <w:sz w:val="18"/>
          <w:szCs w:val="18"/>
        </w:rPr>
      </w:pPr>
    </w:p>
    <w:tbl>
      <w:tblPr>
        <w:tblW w:w="6840" w:type="dxa"/>
        <w:tblInd w:w="55" w:type="dxa"/>
        <w:tblCellMar>
          <w:left w:w="70" w:type="dxa"/>
          <w:right w:w="70" w:type="dxa"/>
        </w:tblCellMar>
        <w:tblLook w:val="04A0" w:firstRow="1" w:lastRow="0" w:firstColumn="1" w:lastColumn="0" w:noHBand="0" w:noVBand="1"/>
      </w:tblPr>
      <w:tblGrid>
        <w:gridCol w:w="4939"/>
        <w:gridCol w:w="935"/>
        <w:gridCol w:w="966"/>
      </w:tblGrid>
      <w:tr w:rsidR="009D7AD0" w:rsidRPr="0077720C" w:rsidTr="00221696">
        <w:trPr>
          <w:trHeight w:val="315"/>
        </w:trPr>
        <w:tc>
          <w:tcPr>
            <w:tcW w:w="4939"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uitgavenbedrag ontwerpbegroting 2017</w:t>
            </w:r>
          </w:p>
        </w:tc>
        <w:tc>
          <w:tcPr>
            <w:tcW w:w="935"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 </w:t>
            </w:r>
          </w:p>
        </w:tc>
        <w:tc>
          <w:tcPr>
            <w:tcW w:w="966" w:type="dxa"/>
            <w:tcBorders>
              <w:top w:val="single" w:sz="8" w:space="0" w:color="auto"/>
              <w:left w:val="nil"/>
              <w:bottom w:val="single" w:sz="8" w:space="0" w:color="auto"/>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2.199.585</w:t>
            </w: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935"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Mutaties nog niet opgenomen in een begrotingsstuk:</w:t>
            </w:r>
          </w:p>
        </w:tc>
        <w:tc>
          <w:tcPr>
            <w:tcW w:w="935"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p>
        </w:tc>
        <w:tc>
          <w:tcPr>
            <w:tcW w:w="966"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Wijziging betalingsverloop decentralisatie-uitkeringen 2016</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w:t>
            </w:r>
          </w:p>
        </w:tc>
        <w:tc>
          <w:tcPr>
            <w:tcW w:w="966"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(incidenteel)</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3.133</w:t>
            </w:r>
          </w:p>
        </w:tc>
        <w:tc>
          <w:tcPr>
            <w:tcW w:w="966"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2016 (structureel)</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3.133</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Accres tranche 2017</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11.277</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Plafond BTW-compensatiefonds 2016</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-8.397</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45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Programma Rijke Waddenzee Vismigratie Afsluitdijk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2.893</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45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lastRenderedPageBreak/>
              <w:t>Verduurzaming ketens Energie-Chemie Eemsdelta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35</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45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BDU Verkeer en vervoer Maaslijn Electrificatie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-1.483</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Hydrologische Maatregelen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5.900</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Luchtvaarttaken (algemene 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825</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MKB Innovatiestimulering Topsectoren MIT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1.515</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Innovatiebudget handelsregister (algemene 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-14</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Meerjarenprogramma Eems-Dollard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248</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MIRT-project IJsseldelta Fase 2 (decentralisatie-uiotkering)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5.890</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Beter benutten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44.594</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Erfgoed en ruimte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562</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Ontwikkelingsbedrijf NOM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2.000</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Monumenten Eusebius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4.000</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Pr>
                <w:rFonts w:ascii="Arial" w:hAnsi="Arial" w:cs="Arial"/>
                <w:sz w:val="16"/>
                <w:szCs w:val="16"/>
                <w:lang w:val="nl-NL"/>
              </w:rPr>
              <w:t xml:space="preserve">Projectstimuleringsregeling </w:t>
            </w:r>
            <w:r w:rsidRPr="0077720C">
              <w:rPr>
                <w:rFonts w:ascii="Arial" w:hAnsi="Arial" w:cs="Arial"/>
                <w:sz w:val="16"/>
                <w:szCs w:val="16"/>
                <w:lang w:val="nl-NL"/>
              </w:rPr>
              <w:t>Interreg V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24</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Innovatie Landbouw Veenkoloniën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5</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Natuur (decentralisatie-uitkering)</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r w:rsidRPr="0077720C">
              <w:rPr>
                <w:rFonts w:ascii="Arial" w:hAnsi="Arial" w:cs="Arial"/>
                <w:sz w:val="16"/>
                <w:szCs w:val="16"/>
                <w:lang w:val="nl-NL"/>
              </w:rPr>
              <w:t>9.500</w:t>
            </w: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noWrap/>
            <w:vAlign w:val="center"/>
            <w:hideMark/>
          </w:tcPr>
          <w:p w:rsidR="009D7AD0" w:rsidRPr="0077720C" w:rsidRDefault="009D7AD0" w:rsidP="00221696">
            <w:pPr>
              <w:rPr>
                <w:rFonts w:ascii="Arial" w:hAnsi="Arial" w:cs="Arial"/>
                <w:sz w:val="16"/>
                <w:szCs w:val="16"/>
                <w:lang w:val="nl-NL"/>
              </w:rPr>
            </w:pP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Totaal nieuwe mutaties:</w:t>
            </w:r>
          </w:p>
        </w:tc>
        <w:tc>
          <w:tcPr>
            <w:tcW w:w="935"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sz w:val="16"/>
                <w:szCs w:val="16"/>
                <w:lang w:val="nl-NL"/>
              </w:rPr>
            </w:pP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85.639</w:t>
            </w:r>
          </w:p>
        </w:tc>
      </w:tr>
      <w:tr w:rsidR="009D7AD0" w:rsidRPr="0077720C" w:rsidTr="00221696">
        <w:trPr>
          <w:trHeight w:val="315"/>
        </w:trPr>
        <w:tc>
          <w:tcPr>
            <w:tcW w:w="4939"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935"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c>
          <w:tcPr>
            <w:tcW w:w="966"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sz w:val="16"/>
                <w:szCs w:val="16"/>
                <w:lang w:val="nl-NL"/>
              </w:rPr>
            </w:pPr>
            <w:r w:rsidRPr="0077720C">
              <w:rPr>
                <w:rFonts w:ascii="Arial" w:hAnsi="Arial" w:cs="Arial"/>
                <w:sz w:val="16"/>
                <w:szCs w:val="16"/>
                <w:lang w:val="nl-NL"/>
              </w:rPr>
              <w:t> </w:t>
            </w:r>
          </w:p>
        </w:tc>
      </w:tr>
      <w:tr w:rsidR="009D7AD0" w:rsidRPr="0077720C" w:rsidTr="00221696">
        <w:trPr>
          <w:trHeight w:val="315"/>
        </w:trPr>
        <w:tc>
          <w:tcPr>
            <w:tcW w:w="4939"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Stand uitgavenbedrag bij 1e suppletoire begroting 2017</w:t>
            </w:r>
          </w:p>
        </w:tc>
        <w:tc>
          <w:tcPr>
            <w:tcW w:w="935"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b/>
                <w:bCs/>
                <w:sz w:val="16"/>
                <w:szCs w:val="16"/>
                <w:lang w:val="nl-NL"/>
              </w:rPr>
            </w:pPr>
            <w:r w:rsidRPr="0077720C">
              <w:rPr>
                <w:rFonts w:ascii="Arial" w:hAnsi="Arial" w:cs="Arial"/>
                <w:b/>
                <w:bCs/>
                <w:sz w:val="16"/>
                <w:szCs w:val="16"/>
                <w:lang w:val="nl-NL"/>
              </w:rPr>
              <w:t> </w:t>
            </w:r>
          </w:p>
        </w:tc>
        <w:tc>
          <w:tcPr>
            <w:tcW w:w="966" w:type="dxa"/>
            <w:tcBorders>
              <w:top w:val="nil"/>
              <w:left w:val="nil"/>
              <w:bottom w:val="single" w:sz="8" w:space="0" w:color="auto"/>
              <w:right w:val="nil"/>
            </w:tcBorders>
            <w:shd w:val="clear" w:color="auto" w:fill="auto"/>
            <w:vAlign w:val="center"/>
            <w:hideMark/>
          </w:tcPr>
          <w:p w:rsidR="009D7AD0" w:rsidRPr="0077720C" w:rsidRDefault="009D7AD0" w:rsidP="00221696">
            <w:pPr>
              <w:jc w:val="right"/>
              <w:rPr>
                <w:rFonts w:ascii="Arial" w:hAnsi="Arial" w:cs="Arial"/>
                <w:b/>
                <w:bCs/>
                <w:sz w:val="16"/>
                <w:szCs w:val="16"/>
                <w:lang w:val="nl-NL"/>
              </w:rPr>
            </w:pPr>
            <w:r w:rsidRPr="0077720C">
              <w:rPr>
                <w:rFonts w:ascii="Arial" w:hAnsi="Arial" w:cs="Arial"/>
                <w:b/>
                <w:bCs/>
                <w:sz w:val="16"/>
                <w:szCs w:val="16"/>
                <w:lang w:val="nl-NL"/>
              </w:rPr>
              <w:t>2.285.224</w:t>
            </w: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uitgavenbedrag kosten Financiële-verhoudingswet</w:t>
            </w:r>
          </w:p>
        </w:tc>
        <w:tc>
          <w:tcPr>
            <w:tcW w:w="935"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 </w:t>
            </w:r>
          </w:p>
        </w:tc>
        <w:tc>
          <w:tcPr>
            <w:tcW w:w="966"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100</w:t>
            </w: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uitgavenbedrag algemene uitkering</w:t>
            </w:r>
          </w:p>
        </w:tc>
        <w:tc>
          <w:tcPr>
            <w:tcW w:w="935"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p>
        </w:tc>
        <w:tc>
          <w:tcPr>
            <w:tcW w:w="966" w:type="dxa"/>
            <w:tcBorders>
              <w:top w:val="nil"/>
              <w:left w:val="nil"/>
              <w:bottom w:val="nil"/>
              <w:right w:val="nil"/>
            </w:tcBorders>
            <w:shd w:val="clear" w:color="auto" w:fill="auto"/>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222.328</w:t>
            </w:r>
          </w:p>
        </w:tc>
      </w:tr>
      <w:tr w:rsidR="009D7AD0" w:rsidRPr="0077720C" w:rsidTr="00221696">
        <w:trPr>
          <w:trHeight w:val="300"/>
        </w:trPr>
        <w:tc>
          <w:tcPr>
            <w:tcW w:w="4939"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uitgavenbedrag integratie-uitkeringen</w:t>
            </w:r>
          </w:p>
        </w:tc>
        <w:tc>
          <w:tcPr>
            <w:tcW w:w="935" w:type="dxa"/>
            <w:tcBorders>
              <w:top w:val="nil"/>
              <w:left w:val="nil"/>
              <w:bottom w:val="nil"/>
              <w:right w:val="nil"/>
            </w:tcBorders>
            <w:shd w:val="clear" w:color="auto" w:fill="auto"/>
            <w:vAlign w:val="center"/>
            <w:hideMark/>
          </w:tcPr>
          <w:p w:rsidR="009D7AD0" w:rsidRPr="0077720C" w:rsidRDefault="009D7AD0" w:rsidP="00221696">
            <w:pPr>
              <w:rPr>
                <w:rFonts w:ascii="Arial" w:hAnsi="Arial" w:cs="Arial"/>
                <w:i/>
                <w:iCs/>
                <w:sz w:val="16"/>
                <w:szCs w:val="16"/>
                <w:lang w:val="nl-NL"/>
              </w:rPr>
            </w:pPr>
          </w:p>
        </w:tc>
        <w:tc>
          <w:tcPr>
            <w:tcW w:w="966" w:type="dxa"/>
            <w:tcBorders>
              <w:top w:val="nil"/>
              <w:left w:val="nil"/>
              <w:bottom w:val="nil"/>
              <w:right w:val="nil"/>
            </w:tcBorders>
            <w:shd w:val="clear" w:color="auto" w:fill="auto"/>
            <w:noWrap/>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0</w:t>
            </w:r>
          </w:p>
        </w:tc>
      </w:tr>
      <w:tr w:rsidR="009D7AD0" w:rsidRPr="0077720C" w:rsidTr="00221696">
        <w:trPr>
          <w:trHeight w:val="315"/>
        </w:trPr>
        <w:tc>
          <w:tcPr>
            <w:tcW w:w="4939"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Waarvan uitgavenbedrag decentralisatie-uitkeringen</w:t>
            </w:r>
          </w:p>
        </w:tc>
        <w:tc>
          <w:tcPr>
            <w:tcW w:w="935" w:type="dxa"/>
            <w:tcBorders>
              <w:top w:val="nil"/>
              <w:left w:val="nil"/>
              <w:bottom w:val="single" w:sz="8" w:space="0" w:color="auto"/>
              <w:right w:val="nil"/>
            </w:tcBorders>
            <w:shd w:val="clear" w:color="auto" w:fill="auto"/>
            <w:vAlign w:val="center"/>
            <w:hideMark/>
          </w:tcPr>
          <w:p w:rsidR="009D7AD0" w:rsidRPr="0077720C" w:rsidRDefault="009D7AD0" w:rsidP="00221696">
            <w:pPr>
              <w:rPr>
                <w:rFonts w:ascii="Arial" w:hAnsi="Arial" w:cs="Arial"/>
                <w:i/>
                <w:iCs/>
                <w:sz w:val="16"/>
                <w:szCs w:val="16"/>
                <w:lang w:val="nl-NL"/>
              </w:rPr>
            </w:pPr>
            <w:r w:rsidRPr="0077720C">
              <w:rPr>
                <w:rFonts w:ascii="Arial" w:hAnsi="Arial" w:cs="Arial"/>
                <w:i/>
                <w:iCs/>
                <w:sz w:val="16"/>
                <w:szCs w:val="16"/>
                <w:lang w:val="nl-NL"/>
              </w:rPr>
              <w:t> </w:t>
            </w:r>
          </w:p>
        </w:tc>
        <w:tc>
          <w:tcPr>
            <w:tcW w:w="966" w:type="dxa"/>
            <w:tcBorders>
              <w:top w:val="nil"/>
              <w:left w:val="nil"/>
              <w:bottom w:val="single" w:sz="8" w:space="0" w:color="auto"/>
              <w:right w:val="nil"/>
            </w:tcBorders>
            <w:shd w:val="clear" w:color="auto" w:fill="auto"/>
            <w:noWrap/>
            <w:vAlign w:val="center"/>
            <w:hideMark/>
          </w:tcPr>
          <w:p w:rsidR="009D7AD0" w:rsidRPr="0077720C" w:rsidRDefault="009D7AD0" w:rsidP="00221696">
            <w:pPr>
              <w:jc w:val="right"/>
              <w:rPr>
                <w:rFonts w:ascii="Arial" w:hAnsi="Arial" w:cs="Arial"/>
                <w:i/>
                <w:iCs/>
                <w:sz w:val="16"/>
                <w:szCs w:val="16"/>
                <w:lang w:val="nl-NL"/>
              </w:rPr>
            </w:pPr>
            <w:r w:rsidRPr="0077720C">
              <w:rPr>
                <w:rFonts w:ascii="Arial" w:hAnsi="Arial" w:cs="Arial"/>
                <w:i/>
                <w:iCs/>
                <w:sz w:val="16"/>
                <w:szCs w:val="16"/>
                <w:lang w:val="nl-NL"/>
              </w:rPr>
              <w:t>2.062.796</w:t>
            </w:r>
          </w:p>
        </w:tc>
      </w:tr>
    </w:tbl>
    <w:p w:rsidR="009D7AD0" w:rsidRPr="007B65E3" w:rsidRDefault="009D7AD0" w:rsidP="009D7AD0">
      <w:pPr>
        <w:spacing w:line="210" w:lineRule="atLeast"/>
        <w:ind w:left="3200"/>
        <w:rPr>
          <w:rFonts w:ascii="Verdana" w:hAnsi="Verdana" w:cs="Arial"/>
          <w:sz w:val="18"/>
          <w:szCs w:val="18"/>
        </w:rPr>
      </w:pPr>
    </w:p>
    <w:p w:rsidR="009D7AD0" w:rsidRPr="006E1751" w:rsidRDefault="009D7AD0" w:rsidP="009D7AD0">
      <w:pPr>
        <w:spacing w:line="210" w:lineRule="atLeast"/>
        <w:ind w:left="3200"/>
        <w:rPr>
          <w:rFonts w:ascii="Verdana" w:hAnsi="Verdana" w:cs="Arial"/>
          <w:i/>
          <w:sz w:val="18"/>
          <w:szCs w:val="18"/>
        </w:rPr>
      </w:pPr>
      <w:r w:rsidRPr="006E1751">
        <w:rPr>
          <w:rFonts w:ascii="Verdana" w:hAnsi="Verdana" w:cs="Arial"/>
          <w:i/>
          <w:sz w:val="18"/>
          <w:szCs w:val="18"/>
        </w:rPr>
        <w:t>Ontvangsten</w:t>
      </w:r>
    </w:p>
    <w:p w:rsidR="009D7AD0" w:rsidRDefault="009D7AD0" w:rsidP="009D7AD0">
      <w:pPr>
        <w:spacing w:line="210" w:lineRule="atLeast"/>
        <w:ind w:left="3200"/>
        <w:rPr>
          <w:rFonts w:ascii="Verdana" w:hAnsi="Verdana" w:cs="Arial"/>
          <w:sz w:val="18"/>
          <w:szCs w:val="18"/>
        </w:rPr>
      </w:pPr>
      <w:r w:rsidRPr="006E1751">
        <w:rPr>
          <w:rFonts w:ascii="Verdana" w:hAnsi="Verdana" w:cs="Arial"/>
          <w:sz w:val="18"/>
          <w:szCs w:val="18"/>
        </w:rPr>
        <w:t xml:space="preserve">Sinds de invoering van de Financiële-verhoudingswet zijn de uitgaven en de ontvangsten op grond van artikel 4 van die wet over ieder uitkeringsjaar aan elkaar gelijk. Ten opzichte van de oorspronkelijke vastgestelde begroting van het </w:t>
      </w:r>
      <w:r w:rsidRPr="0077720C">
        <w:rPr>
          <w:rFonts w:ascii="Verdana" w:hAnsi="Verdana" w:cs="Arial"/>
          <w:sz w:val="18"/>
          <w:szCs w:val="18"/>
        </w:rPr>
        <w:t>provinciefonds voor 2017 worden de ontvangsten, analoog aan de uitgaven, met € 85.639</w:t>
      </w:r>
      <w:r w:rsidRPr="0077720C">
        <w:rPr>
          <w:rFonts w:ascii="Verdana" w:hAnsi="Verdana"/>
          <w:sz w:val="18"/>
          <w:szCs w:val="18"/>
        </w:rPr>
        <w:t>.000</w:t>
      </w:r>
      <w:r w:rsidRPr="0077720C">
        <w:rPr>
          <w:rFonts w:ascii="Verdana" w:hAnsi="Verdana" w:cs="Arial"/>
          <w:color w:val="000000"/>
          <w:sz w:val="18"/>
          <w:szCs w:val="18"/>
          <w:lang w:val="nl-NL"/>
        </w:rPr>
        <w:t xml:space="preserve"> </w:t>
      </w:r>
      <w:r w:rsidRPr="0077720C">
        <w:rPr>
          <w:rFonts w:ascii="Verdana" w:hAnsi="Verdana" w:cs="Arial"/>
          <w:sz w:val="18"/>
          <w:szCs w:val="18"/>
        </w:rPr>
        <w:t>gewijzigd en gebracht op € 2.285.224.000.</w:t>
      </w:r>
    </w:p>
    <w:p w:rsidR="009D7AD0" w:rsidRDefault="009D7AD0" w:rsidP="009D7AD0">
      <w:pPr>
        <w:spacing w:line="210" w:lineRule="atLeast"/>
        <w:ind w:left="3200"/>
        <w:rPr>
          <w:rFonts w:ascii="Verdana" w:hAnsi="Verdana" w:cs="Arial"/>
          <w:sz w:val="18"/>
          <w:szCs w:val="18"/>
        </w:rPr>
      </w:pP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b/>
          <w:sz w:val="18"/>
          <w:szCs w:val="18"/>
        </w:rPr>
        <w:t>3. Integratie-uitkeringen</w:t>
      </w:r>
    </w:p>
    <w:p w:rsidR="009D7AD0" w:rsidRPr="006E1751" w:rsidRDefault="009D7AD0" w:rsidP="009D7AD0">
      <w:pPr>
        <w:spacing w:line="210" w:lineRule="atLeast"/>
        <w:ind w:left="3200"/>
        <w:rPr>
          <w:rFonts w:ascii="Verdana" w:hAnsi="Verdana" w:cs="Arial"/>
          <w:b/>
          <w:sz w:val="18"/>
          <w:szCs w:val="18"/>
        </w:rPr>
      </w:pPr>
    </w:p>
    <w:p w:rsidR="009D7AD0" w:rsidRPr="006E1751" w:rsidRDefault="009D7AD0" w:rsidP="009D7AD0">
      <w:pPr>
        <w:spacing w:line="210" w:lineRule="atLeast"/>
        <w:ind w:left="3200"/>
        <w:rPr>
          <w:rFonts w:ascii="Verdana" w:hAnsi="Verdana" w:cs="Arial"/>
          <w:sz w:val="18"/>
          <w:szCs w:val="18"/>
        </w:rPr>
      </w:pPr>
      <w:r w:rsidRPr="007B65E3">
        <w:rPr>
          <w:rFonts w:ascii="Verdana" w:hAnsi="Verdana" w:cs="Arial"/>
          <w:sz w:val="18"/>
          <w:szCs w:val="18"/>
        </w:rPr>
        <w:t>Het provinciefonds bevat momenteel geen integratie-uitkeringen. Dientengevolge is tabel B5 (overzicht integratie-uitkeringen provinciefonds) niet opgenomen.</w:t>
      </w:r>
    </w:p>
    <w:p w:rsidR="009D7AD0" w:rsidRPr="006E1751" w:rsidRDefault="009D7AD0" w:rsidP="009D7AD0">
      <w:pPr>
        <w:spacing w:line="210" w:lineRule="atLeast"/>
        <w:ind w:left="3200"/>
        <w:rPr>
          <w:rFonts w:ascii="Verdana" w:hAnsi="Verdana" w:cs="Arial"/>
          <w:b/>
          <w:sz w:val="18"/>
          <w:szCs w:val="18"/>
        </w:rPr>
      </w:pPr>
    </w:p>
    <w:p w:rsidR="009D7AD0" w:rsidRPr="006E1751" w:rsidRDefault="009D7AD0" w:rsidP="009D7AD0">
      <w:pPr>
        <w:spacing w:line="210" w:lineRule="atLeast"/>
        <w:ind w:left="3200"/>
        <w:rPr>
          <w:rFonts w:ascii="Verdana" w:hAnsi="Verdana" w:cs="Arial"/>
          <w:b/>
          <w:sz w:val="18"/>
          <w:szCs w:val="18"/>
        </w:rPr>
      </w:pPr>
      <w:r w:rsidRPr="006E1751">
        <w:rPr>
          <w:rFonts w:ascii="Verdana" w:hAnsi="Verdana" w:cs="Arial"/>
          <w:b/>
          <w:sz w:val="18"/>
          <w:szCs w:val="18"/>
        </w:rPr>
        <w:t>4. Decentralisatie-uitkeringen</w:t>
      </w:r>
    </w:p>
    <w:p w:rsidR="009D7AD0" w:rsidRPr="006E1751" w:rsidRDefault="009D7AD0" w:rsidP="009D7AD0">
      <w:pPr>
        <w:spacing w:line="210" w:lineRule="atLeast"/>
        <w:ind w:left="3200"/>
        <w:rPr>
          <w:rFonts w:ascii="Verdana" w:hAnsi="Verdana" w:cs="Arial"/>
          <w:b/>
          <w:sz w:val="18"/>
          <w:szCs w:val="18"/>
        </w:rPr>
      </w:pPr>
    </w:p>
    <w:p w:rsidR="009D7AD0" w:rsidRPr="006E1751" w:rsidRDefault="009D7AD0" w:rsidP="009D7AD0">
      <w:pPr>
        <w:spacing w:line="210" w:lineRule="atLeast"/>
        <w:ind w:left="3198"/>
        <w:rPr>
          <w:rFonts w:ascii="Verdana" w:hAnsi="Verdana" w:cs="Arial"/>
          <w:sz w:val="18"/>
          <w:szCs w:val="18"/>
        </w:rPr>
      </w:pPr>
      <w:r w:rsidRPr="006E1751">
        <w:rPr>
          <w:rFonts w:ascii="Verdana" w:hAnsi="Verdana" w:cs="Arial"/>
          <w:sz w:val="18"/>
          <w:szCs w:val="18"/>
        </w:rPr>
        <w:t>In tabel B6 is een overzicht opgenomen van de decentralisatie-uitkeringen.</w:t>
      </w:r>
    </w:p>
    <w:p w:rsidR="009D7AD0" w:rsidRDefault="009D7AD0" w:rsidP="009D7AD0">
      <w:pPr>
        <w:spacing w:line="210" w:lineRule="atLeast"/>
        <w:ind w:left="3200"/>
        <w:rPr>
          <w:rFonts w:ascii="Verdana" w:hAnsi="Verdana" w:cs="Arial"/>
          <w:b/>
          <w:sz w:val="18"/>
          <w:szCs w:val="18"/>
        </w:rPr>
      </w:pPr>
    </w:p>
    <w:p w:rsidR="009D7AD0" w:rsidRDefault="009D7AD0" w:rsidP="009D7AD0">
      <w:pPr>
        <w:rPr>
          <w:rFonts w:ascii="Verdana" w:hAnsi="Verdana" w:cs="Arial"/>
          <w:b/>
          <w:sz w:val="18"/>
          <w:szCs w:val="18"/>
        </w:rPr>
      </w:pPr>
      <w:r>
        <w:rPr>
          <w:rFonts w:ascii="Verdana" w:hAnsi="Verdana" w:cs="Arial"/>
          <w:b/>
          <w:sz w:val="18"/>
          <w:szCs w:val="18"/>
        </w:rPr>
        <w:br w:type="page"/>
      </w:r>
    </w:p>
    <w:p w:rsidR="009D7AD0" w:rsidRPr="00031A0B" w:rsidRDefault="009D7AD0" w:rsidP="009D7AD0">
      <w:pPr>
        <w:spacing w:line="210" w:lineRule="atLeast"/>
        <w:ind w:left="3200"/>
        <w:rPr>
          <w:rFonts w:ascii="Verdana" w:hAnsi="Verdana" w:cs="Arial"/>
          <w:b/>
          <w:sz w:val="18"/>
          <w:szCs w:val="18"/>
        </w:rPr>
      </w:pPr>
      <w:r w:rsidRPr="00031A0B">
        <w:rPr>
          <w:rFonts w:ascii="Verdana" w:hAnsi="Verdana" w:cs="Arial"/>
          <w:b/>
          <w:sz w:val="18"/>
          <w:szCs w:val="18"/>
        </w:rPr>
        <w:lastRenderedPageBreak/>
        <w:t>Tabel B</w:t>
      </w:r>
      <w:r>
        <w:rPr>
          <w:rFonts w:ascii="Verdana" w:hAnsi="Verdana" w:cs="Arial"/>
          <w:b/>
          <w:sz w:val="18"/>
          <w:szCs w:val="18"/>
        </w:rPr>
        <w:t>6</w:t>
      </w:r>
      <w:r w:rsidRPr="00031A0B">
        <w:rPr>
          <w:rFonts w:ascii="Verdana" w:hAnsi="Verdana" w:cs="Arial"/>
          <w:b/>
          <w:sz w:val="18"/>
          <w:szCs w:val="18"/>
        </w:rPr>
        <w:t xml:space="preserve">: Overzicht </w:t>
      </w:r>
      <w:r>
        <w:rPr>
          <w:rFonts w:ascii="Verdana" w:hAnsi="Verdana" w:cs="Arial"/>
          <w:b/>
          <w:sz w:val="18"/>
          <w:szCs w:val="18"/>
        </w:rPr>
        <w:t>decentralis</w:t>
      </w:r>
      <w:r w:rsidRPr="00031A0B">
        <w:rPr>
          <w:rFonts w:ascii="Verdana" w:hAnsi="Verdana" w:cs="Arial"/>
          <w:b/>
          <w:sz w:val="18"/>
          <w:szCs w:val="18"/>
        </w:rPr>
        <w:t xml:space="preserve">atie-uitkeringen </w:t>
      </w:r>
      <w:r>
        <w:rPr>
          <w:rFonts w:ascii="Verdana" w:hAnsi="Verdana" w:cs="Arial"/>
          <w:b/>
          <w:sz w:val="18"/>
          <w:szCs w:val="18"/>
        </w:rPr>
        <w:t>provincie</w:t>
      </w:r>
      <w:r w:rsidRPr="00031A0B">
        <w:rPr>
          <w:rFonts w:ascii="Verdana" w:hAnsi="Verdana" w:cs="Arial"/>
          <w:b/>
          <w:sz w:val="18"/>
          <w:szCs w:val="18"/>
        </w:rPr>
        <w:t>fonds 2017 (bedragen x € 1.000)</w:t>
      </w:r>
    </w:p>
    <w:p w:rsidR="009D7AD0" w:rsidRDefault="009D7AD0" w:rsidP="009D7AD0">
      <w:pPr>
        <w:spacing w:line="210" w:lineRule="atLeast"/>
        <w:rPr>
          <w:rFonts w:ascii="Arial" w:hAnsi="Arial" w:cs="Arial"/>
          <w:sz w:val="16"/>
          <w:szCs w:val="16"/>
        </w:rPr>
      </w:pPr>
    </w:p>
    <w:tbl>
      <w:tblPr>
        <w:tblW w:w="5360" w:type="dxa"/>
        <w:tblInd w:w="3341" w:type="dxa"/>
        <w:tblCellMar>
          <w:left w:w="70" w:type="dxa"/>
          <w:right w:w="70" w:type="dxa"/>
        </w:tblCellMar>
        <w:tblLook w:val="04A0" w:firstRow="1" w:lastRow="0" w:firstColumn="1" w:lastColumn="0" w:noHBand="0" w:noVBand="1"/>
      </w:tblPr>
      <w:tblGrid>
        <w:gridCol w:w="4400"/>
        <w:gridCol w:w="960"/>
      </w:tblGrid>
      <w:tr w:rsidR="009D7AD0" w:rsidRPr="00C355E4" w:rsidTr="00221696">
        <w:trPr>
          <w:trHeight w:val="315"/>
        </w:trPr>
        <w:tc>
          <w:tcPr>
            <w:tcW w:w="4400" w:type="dxa"/>
            <w:tcBorders>
              <w:top w:val="single" w:sz="8" w:space="0" w:color="auto"/>
              <w:left w:val="nil"/>
              <w:bottom w:val="single" w:sz="8" w:space="0" w:color="auto"/>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Omschrijving</w:t>
            </w:r>
          </w:p>
        </w:tc>
        <w:tc>
          <w:tcPr>
            <w:tcW w:w="960" w:type="dxa"/>
            <w:tcBorders>
              <w:top w:val="single" w:sz="8" w:space="0" w:color="auto"/>
              <w:left w:val="nil"/>
              <w:bottom w:val="single" w:sz="8" w:space="0" w:color="auto"/>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2017</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Decentralisatie-uitkeringen begroting 2017:</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Besluit Risico Zware Ongevallen-inrichtingen</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10.050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Bodemsanering</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38.150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Brede Doeluitkering Verkeer en vervoer</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1.001.925</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DU Ontwikkel/OEM variabel</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406.438</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Monumenten</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20.000</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Natuur</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446.000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Programma Impuls Omgevingsveiligheid</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14.286</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Programma Rijke Waddenzee (Vismigratierivier Afsluitdijk)</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1.240</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Versnellingsagenda melkveehouderij Noord NL</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60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Waddenfonds</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28.878</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Weidevogels</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25</w:t>
            </w:r>
          </w:p>
        </w:tc>
      </w:tr>
      <w:tr w:rsidR="009D7AD0" w:rsidRPr="00C355E4" w:rsidTr="00221696">
        <w:trPr>
          <w:trHeight w:val="300"/>
        </w:trPr>
        <w:tc>
          <w:tcPr>
            <w:tcW w:w="4400" w:type="dxa"/>
            <w:tcBorders>
              <w:top w:val="nil"/>
              <w:left w:val="nil"/>
              <w:bottom w:val="nil"/>
              <w:right w:val="nil"/>
            </w:tcBorders>
            <w:shd w:val="clear" w:color="auto" w:fill="auto"/>
            <w:noWrap/>
            <w:vAlign w:val="bottom"/>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 xml:space="preserve">Zuiderzeelijn REP-middelen </w:t>
            </w:r>
          </w:p>
        </w:tc>
        <w:tc>
          <w:tcPr>
            <w:tcW w:w="960" w:type="dxa"/>
            <w:tcBorders>
              <w:top w:val="nil"/>
              <w:left w:val="nil"/>
              <w:bottom w:val="nil"/>
              <w:right w:val="nil"/>
            </w:tcBorders>
            <w:shd w:val="clear" w:color="auto" w:fill="auto"/>
            <w:noWrap/>
            <w:vAlign w:val="bottom"/>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20.062</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Subtotaal</w:t>
            </w:r>
          </w:p>
        </w:tc>
        <w:tc>
          <w:tcPr>
            <w:tcW w:w="960" w:type="dxa"/>
            <w:tcBorders>
              <w:top w:val="single" w:sz="4" w:space="0" w:color="auto"/>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1.987.114</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Nog niet eerder opgenomen in een begroting:</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color w:val="000000"/>
                <w:sz w:val="16"/>
                <w:szCs w:val="16"/>
                <w:lang w:val="nl-NL"/>
              </w:rPr>
            </w:pPr>
            <w:r w:rsidRPr="00C355E4">
              <w:rPr>
                <w:rFonts w:ascii="Arial" w:hAnsi="Arial" w:cs="Arial"/>
                <w:color w:val="000000"/>
                <w:sz w:val="16"/>
                <w:szCs w:val="16"/>
                <w:lang w:val="nl-NL"/>
              </w:rPr>
              <w:t>Wijziging betalingsverloop decentralisatie-uitkeringen 2016</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Programma Rijke Waddenzee (Vismigratie Afsluitdijk)</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2.893</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Verduurzaming ketens Energie-Chemie Eemsdelta</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35</w:t>
            </w:r>
          </w:p>
        </w:tc>
      </w:tr>
      <w:tr w:rsidR="009D7AD0" w:rsidRPr="00C355E4" w:rsidTr="00221696">
        <w:trPr>
          <w:trHeight w:val="504"/>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B</w:t>
            </w:r>
            <w:r>
              <w:rPr>
                <w:rFonts w:ascii="Arial" w:hAnsi="Arial" w:cs="Arial"/>
                <w:sz w:val="16"/>
                <w:szCs w:val="16"/>
                <w:lang w:val="nl-NL"/>
              </w:rPr>
              <w:t xml:space="preserve">rede </w:t>
            </w:r>
            <w:r w:rsidRPr="00C355E4">
              <w:rPr>
                <w:rFonts w:ascii="Arial" w:hAnsi="Arial" w:cs="Arial"/>
                <w:sz w:val="16"/>
                <w:szCs w:val="16"/>
                <w:lang w:val="nl-NL"/>
              </w:rPr>
              <w:t>D</w:t>
            </w:r>
            <w:r>
              <w:rPr>
                <w:rFonts w:ascii="Arial" w:hAnsi="Arial" w:cs="Arial"/>
                <w:sz w:val="16"/>
                <w:szCs w:val="16"/>
                <w:lang w:val="nl-NL"/>
              </w:rPr>
              <w:t xml:space="preserve">oeluitkering </w:t>
            </w:r>
            <w:r w:rsidRPr="00C355E4">
              <w:rPr>
                <w:rFonts w:ascii="Arial" w:hAnsi="Arial" w:cs="Arial"/>
                <w:sz w:val="16"/>
                <w:szCs w:val="16"/>
                <w:lang w:val="nl-NL"/>
              </w:rPr>
              <w:t xml:space="preserve"> Verkeer en vervoer </w:t>
            </w:r>
            <w:r>
              <w:rPr>
                <w:rFonts w:ascii="Arial" w:hAnsi="Arial" w:cs="Arial"/>
                <w:sz w:val="16"/>
                <w:szCs w:val="16"/>
                <w:lang w:val="nl-NL"/>
              </w:rPr>
              <w:t>(</w:t>
            </w:r>
            <w:r w:rsidRPr="00C355E4">
              <w:rPr>
                <w:rFonts w:ascii="Arial" w:hAnsi="Arial" w:cs="Arial"/>
                <w:sz w:val="16"/>
                <w:szCs w:val="16"/>
                <w:lang w:val="nl-NL"/>
              </w:rPr>
              <w:t>Maaslijn Electrificatie</w:t>
            </w:r>
            <w:r>
              <w:rPr>
                <w:rFonts w:ascii="Arial" w:hAnsi="Arial" w:cs="Arial"/>
                <w:sz w:val="16"/>
                <w:szCs w:val="16"/>
                <w:lang w:val="nl-NL"/>
              </w:rPr>
              <w:t>)</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-1.483</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Hydrologische Maatregelen</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5.900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MKB Innovatiestimulering Topsectoren (MIT)</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1.515</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Meerjarenprogramma Eems-Dollard</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248</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MIRT-project IJsseldelta Fase 2</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5.890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Beter benutten</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44.594</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Erfgoed en ruimte</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562</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Ontwikkelingsbedrijf NOM</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2.000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 xml:space="preserve">Monumenten </w:t>
            </w:r>
            <w:r>
              <w:rPr>
                <w:rFonts w:ascii="Arial" w:hAnsi="Arial" w:cs="Arial"/>
                <w:sz w:val="16"/>
                <w:szCs w:val="16"/>
                <w:lang w:val="nl-NL"/>
              </w:rPr>
              <w:t>(</w:t>
            </w:r>
            <w:r w:rsidRPr="00C355E4">
              <w:rPr>
                <w:rFonts w:ascii="Arial" w:hAnsi="Arial" w:cs="Arial"/>
                <w:sz w:val="16"/>
                <w:szCs w:val="16"/>
                <w:lang w:val="nl-NL"/>
              </w:rPr>
              <w:t>Eusebius</w:t>
            </w:r>
            <w:r>
              <w:rPr>
                <w:rFonts w:ascii="Arial" w:hAnsi="Arial" w:cs="Arial"/>
                <w:sz w:val="16"/>
                <w:szCs w:val="16"/>
                <w:lang w:val="nl-NL"/>
              </w:rPr>
              <w:t>)</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4.000</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Projectstimuleringsregeling</w:t>
            </w:r>
            <w:r>
              <w:rPr>
                <w:rFonts w:ascii="Arial" w:hAnsi="Arial" w:cs="Arial"/>
                <w:sz w:val="16"/>
                <w:szCs w:val="16"/>
                <w:lang w:val="nl-NL"/>
              </w:rPr>
              <w:t xml:space="preserve"> Interreg V</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24</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Innovatie Landbouw Veenkoloniën</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5</w:t>
            </w:r>
          </w:p>
        </w:tc>
      </w:tr>
      <w:tr w:rsidR="009D7AD0" w:rsidRPr="00C355E4" w:rsidTr="00221696">
        <w:trPr>
          <w:trHeight w:val="300"/>
        </w:trPr>
        <w:tc>
          <w:tcPr>
            <w:tcW w:w="4400" w:type="dxa"/>
            <w:tcBorders>
              <w:top w:val="nil"/>
              <w:left w:val="nil"/>
              <w:bottom w:val="nil"/>
              <w:right w:val="nil"/>
            </w:tcBorders>
            <w:shd w:val="clear" w:color="auto" w:fill="auto"/>
            <w:vAlign w:val="center"/>
            <w:hideMark/>
          </w:tcPr>
          <w:p w:rsidR="009D7AD0" w:rsidRPr="00C355E4" w:rsidRDefault="009D7AD0" w:rsidP="00221696">
            <w:pPr>
              <w:rPr>
                <w:rFonts w:ascii="Arial" w:hAnsi="Arial" w:cs="Arial"/>
                <w:sz w:val="16"/>
                <w:szCs w:val="16"/>
                <w:lang w:val="nl-NL"/>
              </w:rPr>
            </w:pPr>
            <w:r w:rsidRPr="00C355E4">
              <w:rPr>
                <w:rFonts w:ascii="Arial" w:hAnsi="Arial" w:cs="Arial"/>
                <w:sz w:val="16"/>
                <w:szCs w:val="16"/>
                <w:lang w:val="nl-NL"/>
              </w:rPr>
              <w:t>Natuur</w:t>
            </w:r>
          </w:p>
        </w:tc>
        <w:tc>
          <w:tcPr>
            <w:tcW w:w="960" w:type="dxa"/>
            <w:tcBorders>
              <w:top w:val="nil"/>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9.500</w:t>
            </w: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p>
        </w:tc>
        <w:tc>
          <w:tcPr>
            <w:tcW w:w="96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p>
        </w:tc>
      </w:tr>
      <w:tr w:rsidR="009D7AD0" w:rsidRPr="00C355E4" w:rsidTr="00221696">
        <w:trPr>
          <w:trHeight w:val="300"/>
        </w:trPr>
        <w:tc>
          <w:tcPr>
            <w:tcW w:w="4400" w:type="dxa"/>
            <w:tcBorders>
              <w:top w:val="nil"/>
              <w:left w:val="nil"/>
              <w:bottom w:val="nil"/>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Subtotaal</w:t>
            </w:r>
          </w:p>
        </w:tc>
        <w:tc>
          <w:tcPr>
            <w:tcW w:w="960" w:type="dxa"/>
            <w:tcBorders>
              <w:top w:val="single" w:sz="4" w:space="0" w:color="auto"/>
              <w:left w:val="nil"/>
              <w:bottom w:val="nil"/>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75.682</w:t>
            </w:r>
          </w:p>
        </w:tc>
      </w:tr>
      <w:tr w:rsidR="009D7AD0" w:rsidRPr="00C355E4" w:rsidTr="00221696">
        <w:trPr>
          <w:trHeight w:val="315"/>
        </w:trPr>
        <w:tc>
          <w:tcPr>
            <w:tcW w:w="4400" w:type="dxa"/>
            <w:tcBorders>
              <w:top w:val="nil"/>
              <w:left w:val="nil"/>
              <w:bottom w:val="single" w:sz="8" w:space="0" w:color="auto"/>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 </w:t>
            </w:r>
          </w:p>
        </w:tc>
        <w:tc>
          <w:tcPr>
            <w:tcW w:w="960" w:type="dxa"/>
            <w:tcBorders>
              <w:top w:val="nil"/>
              <w:left w:val="nil"/>
              <w:bottom w:val="single" w:sz="8" w:space="0" w:color="auto"/>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 </w:t>
            </w:r>
          </w:p>
        </w:tc>
      </w:tr>
      <w:tr w:rsidR="009D7AD0" w:rsidRPr="00C355E4" w:rsidTr="00221696">
        <w:trPr>
          <w:trHeight w:val="315"/>
        </w:trPr>
        <w:tc>
          <w:tcPr>
            <w:tcW w:w="4400" w:type="dxa"/>
            <w:tcBorders>
              <w:top w:val="nil"/>
              <w:left w:val="nil"/>
              <w:bottom w:val="single" w:sz="8" w:space="0" w:color="auto"/>
              <w:right w:val="nil"/>
            </w:tcBorders>
            <w:shd w:val="clear" w:color="auto" w:fill="auto"/>
            <w:noWrap/>
            <w:vAlign w:val="center"/>
            <w:hideMark/>
          </w:tcPr>
          <w:p w:rsidR="009D7AD0" w:rsidRPr="00C355E4" w:rsidRDefault="009D7AD0" w:rsidP="00221696">
            <w:pPr>
              <w:rPr>
                <w:rFonts w:ascii="Arial" w:hAnsi="Arial" w:cs="Arial"/>
                <w:b/>
                <w:bCs/>
                <w:sz w:val="16"/>
                <w:szCs w:val="16"/>
                <w:lang w:val="nl-NL"/>
              </w:rPr>
            </w:pPr>
            <w:r w:rsidRPr="00C355E4">
              <w:rPr>
                <w:rFonts w:ascii="Arial" w:hAnsi="Arial" w:cs="Arial"/>
                <w:b/>
                <w:bCs/>
                <w:sz w:val="16"/>
                <w:szCs w:val="16"/>
                <w:lang w:val="nl-NL"/>
              </w:rPr>
              <w:t>Totaal:</w:t>
            </w:r>
          </w:p>
        </w:tc>
        <w:tc>
          <w:tcPr>
            <w:tcW w:w="960" w:type="dxa"/>
            <w:tcBorders>
              <w:top w:val="nil"/>
              <w:left w:val="nil"/>
              <w:bottom w:val="single" w:sz="8" w:space="0" w:color="auto"/>
              <w:right w:val="nil"/>
            </w:tcBorders>
            <w:shd w:val="clear" w:color="auto" w:fill="auto"/>
            <w:noWrap/>
            <w:vAlign w:val="center"/>
            <w:hideMark/>
          </w:tcPr>
          <w:p w:rsidR="009D7AD0" w:rsidRPr="00C355E4" w:rsidRDefault="009D7AD0" w:rsidP="00221696">
            <w:pPr>
              <w:jc w:val="right"/>
              <w:rPr>
                <w:rFonts w:ascii="Arial" w:hAnsi="Arial" w:cs="Arial"/>
                <w:b/>
                <w:bCs/>
                <w:sz w:val="16"/>
                <w:szCs w:val="16"/>
                <w:lang w:val="nl-NL"/>
              </w:rPr>
            </w:pPr>
            <w:r w:rsidRPr="00C355E4">
              <w:rPr>
                <w:rFonts w:ascii="Arial" w:hAnsi="Arial" w:cs="Arial"/>
                <w:b/>
                <w:bCs/>
                <w:sz w:val="16"/>
                <w:szCs w:val="16"/>
                <w:lang w:val="nl-NL"/>
              </w:rPr>
              <w:t>2.062.796</w:t>
            </w:r>
          </w:p>
        </w:tc>
      </w:tr>
    </w:tbl>
    <w:p w:rsidR="009D7AD0" w:rsidRPr="00A92711" w:rsidRDefault="009D7AD0" w:rsidP="009D7AD0">
      <w:pPr>
        <w:spacing w:line="210" w:lineRule="atLeast"/>
        <w:ind w:left="3200"/>
        <w:rPr>
          <w:rFonts w:ascii="Arial" w:hAnsi="Arial" w:cs="Arial"/>
          <w:sz w:val="16"/>
          <w:szCs w:val="16"/>
        </w:rPr>
      </w:pPr>
    </w:p>
    <w:p w:rsidR="006C11B8" w:rsidRDefault="006C11B8"/>
    <w:p w:rsidR="009D7AD0" w:rsidRDefault="009D7AD0"/>
    <w:sectPr w:rsidR="009D7AD0" w:rsidSect="00A92711">
      <w:footerReference w:type="default" r:id="rId6"/>
      <w:pgSz w:w="11906" w:h="16838" w:code="9"/>
      <w:pgMar w:top="1418" w:right="992" w:bottom="1418" w:left="992" w:header="709" w:footer="709" w:gutter="284"/>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A8" w:rsidRPr="00AC63EA" w:rsidRDefault="009D7AD0" w:rsidP="003E7002">
    <w:pPr>
      <w:pStyle w:val="Voettekst"/>
      <w:framePr w:wrap="around" w:vAnchor="text" w:hAnchor="margin" w:xAlign="right" w:y="1"/>
      <w:rPr>
        <w:rStyle w:val="Paginanummer"/>
      </w:rPr>
    </w:pPr>
    <w:r w:rsidRPr="00AC63EA">
      <w:rPr>
        <w:rStyle w:val="Paginanummer"/>
      </w:rPr>
      <w:fldChar w:fldCharType="begin"/>
    </w:r>
    <w:r w:rsidRPr="00AC63EA">
      <w:rPr>
        <w:rStyle w:val="Paginanummer"/>
      </w:rPr>
      <w:instrText xml:space="preserve">PAGE  </w:instrText>
    </w:r>
    <w:r w:rsidRPr="00AC63EA">
      <w:rPr>
        <w:rStyle w:val="Paginanummer"/>
      </w:rPr>
      <w:fldChar w:fldCharType="separate"/>
    </w:r>
    <w:r>
      <w:rPr>
        <w:rStyle w:val="Paginanummer"/>
        <w:noProof/>
      </w:rPr>
      <w:t>2</w:t>
    </w:r>
    <w:r w:rsidRPr="00AC63EA">
      <w:rPr>
        <w:rStyle w:val="Paginanummer"/>
      </w:rPr>
      <w:fldChar w:fldCharType="end"/>
    </w:r>
  </w:p>
  <w:p w:rsidR="000B6EA8" w:rsidRPr="00AC63EA" w:rsidRDefault="009D7AD0" w:rsidP="00AC63EA">
    <w:pPr>
      <w:pStyle w:val="Voettekst"/>
      <w:ind w:left="3200" w:right="360"/>
      <w:rPr>
        <w:sz w:val="16"/>
        <w:szCs w:val="16"/>
      </w:rPr>
    </w:pPr>
    <w:r w:rsidRPr="00AC63EA">
      <w:rPr>
        <w:sz w:val="16"/>
        <w:szCs w:val="16"/>
      </w:rPr>
      <w:t>Tweede Kamer, vergade</w:t>
    </w:r>
    <w:r>
      <w:rPr>
        <w:sz w:val="16"/>
        <w:szCs w:val="16"/>
      </w:rPr>
      <w:t xml:space="preserve">rjaar 2016-2017, </w:t>
    </w:r>
    <w:r w:rsidRPr="00A43A53">
      <w:rPr>
        <w:sz w:val="16"/>
        <w:szCs w:val="16"/>
        <w:highlight w:val="yellow"/>
      </w:rPr>
      <w:t>XX</w:t>
    </w:r>
    <w:r>
      <w:rPr>
        <w:sz w:val="16"/>
        <w:szCs w:val="16"/>
      </w:rPr>
      <w:t xml:space="preserve"> </w:t>
    </w:r>
    <w:r w:rsidRPr="00091C61">
      <w:rPr>
        <w:sz w:val="16"/>
        <w:szCs w:val="16"/>
        <w:highlight w:val="yellow"/>
      </w:rPr>
      <w:t>XXX</w:t>
    </w:r>
    <w:r>
      <w:rPr>
        <w:sz w:val="16"/>
        <w:szCs w:val="16"/>
      </w:rPr>
      <w:t xml:space="preserve"> C, Nr. 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70701"/>
    <w:multiLevelType w:val="singleLevel"/>
    <w:tmpl w:val="04130015"/>
    <w:lvl w:ilvl="0">
      <w:start w:val="1"/>
      <w:numFmt w:val="upperLetter"/>
      <w:lvlText w:val="%1."/>
      <w:lvlJc w:val="left"/>
      <w:pPr>
        <w:tabs>
          <w:tab w:val="num" w:pos="3260"/>
        </w:tabs>
        <w:ind w:left="3260" w:hanging="360"/>
      </w:pPr>
      <w:rPr>
        <w:rFonts w:hint="default"/>
      </w:rPr>
    </w:lvl>
  </w:abstractNum>
  <w:abstractNum w:abstractNumId="1">
    <w:nsid w:val="48453AA3"/>
    <w:multiLevelType w:val="hybridMultilevel"/>
    <w:tmpl w:val="94A27936"/>
    <w:lvl w:ilvl="0" w:tplc="E31430A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7E461532"/>
    <w:multiLevelType w:val="hybridMultilevel"/>
    <w:tmpl w:val="55C61E72"/>
    <w:lvl w:ilvl="0" w:tplc="04130011">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D0"/>
    <w:rsid w:val="00433D6E"/>
    <w:rsid w:val="006C11B8"/>
    <w:rsid w:val="009D7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7AD0"/>
    <w:rPr>
      <w:lang w:val="nl"/>
    </w:rPr>
  </w:style>
  <w:style w:type="paragraph" w:styleId="Kop1">
    <w:name w:val="heading 1"/>
    <w:basedOn w:val="Standaard"/>
    <w:next w:val="Standaard"/>
    <w:link w:val="Kop1Char"/>
    <w:qFormat/>
    <w:rsid w:val="009D7AD0"/>
    <w:pPr>
      <w:keepNext/>
      <w:spacing w:before="240" w:after="60"/>
      <w:outlineLvl w:val="0"/>
    </w:pPr>
    <w:rPr>
      <w:rFonts w:ascii="Arial" w:hAnsi="Arial" w:cs="Arial"/>
      <w:b/>
      <w:bCs/>
      <w:kern w:val="32"/>
      <w:sz w:val="32"/>
      <w:szCs w:val="32"/>
    </w:rPr>
  </w:style>
  <w:style w:type="paragraph" w:styleId="Kop3">
    <w:name w:val="heading 3"/>
    <w:basedOn w:val="Standaard"/>
    <w:next w:val="Standaard"/>
    <w:link w:val="Kop3Char"/>
    <w:qFormat/>
    <w:rsid w:val="009D7AD0"/>
    <w:pPr>
      <w:keepNext/>
      <w:spacing w:line="360" w:lineRule="auto"/>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D7AD0"/>
    <w:rPr>
      <w:rFonts w:ascii="Arial" w:hAnsi="Arial" w:cs="Arial"/>
      <w:b/>
      <w:bCs/>
      <w:kern w:val="32"/>
      <w:sz w:val="32"/>
      <w:szCs w:val="32"/>
      <w:lang w:val="nl"/>
    </w:rPr>
  </w:style>
  <w:style w:type="character" w:customStyle="1" w:styleId="Kop3Char">
    <w:name w:val="Kop 3 Char"/>
    <w:basedOn w:val="Standaardalinea-lettertype"/>
    <w:link w:val="Kop3"/>
    <w:rsid w:val="009D7AD0"/>
    <w:rPr>
      <w:rFonts w:ascii="Arial" w:hAnsi="Arial"/>
      <w:b/>
      <w:lang w:val="nl"/>
    </w:rPr>
  </w:style>
  <w:style w:type="paragraph" w:styleId="Plattetekst">
    <w:name w:val="Body Text"/>
    <w:basedOn w:val="Standaard"/>
    <w:link w:val="PlattetekstChar"/>
    <w:rsid w:val="009D7AD0"/>
    <w:pPr>
      <w:spacing w:line="360" w:lineRule="auto"/>
    </w:pPr>
    <w:rPr>
      <w:rFonts w:ascii="Arial" w:hAnsi="Arial"/>
      <w:b/>
      <w:sz w:val="22"/>
    </w:rPr>
  </w:style>
  <w:style w:type="character" w:customStyle="1" w:styleId="PlattetekstChar">
    <w:name w:val="Platte tekst Char"/>
    <w:basedOn w:val="Standaardalinea-lettertype"/>
    <w:link w:val="Plattetekst"/>
    <w:rsid w:val="009D7AD0"/>
    <w:rPr>
      <w:rFonts w:ascii="Arial" w:hAnsi="Arial"/>
      <w:b/>
      <w:sz w:val="22"/>
      <w:lang w:val="nl"/>
    </w:rPr>
  </w:style>
  <w:style w:type="paragraph" w:styleId="Voetnoottekst">
    <w:name w:val="footnote text"/>
    <w:basedOn w:val="Standaard"/>
    <w:link w:val="VoetnoottekstChar"/>
    <w:rsid w:val="009D7AD0"/>
  </w:style>
  <w:style w:type="character" w:customStyle="1" w:styleId="VoetnoottekstChar">
    <w:name w:val="Voetnoottekst Char"/>
    <w:basedOn w:val="Standaardalinea-lettertype"/>
    <w:link w:val="Voetnoottekst"/>
    <w:rsid w:val="009D7AD0"/>
    <w:rPr>
      <w:lang w:val="nl"/>
    </w:rPr>
  </w:style>
  <w:style w:type="paragraph" w:styleId="Voettekst">
    <w:name w:val="footer"/>
    <w:basedOn w:val="Standaard"/>
    <w:link w:val="VoettekstChar"/>
    <w:rsid w:val="009D7AD0"/>
    <w:pPr>
      <w:tabs>
        <w:tab w:val="center" w:pos="4536"/>
        <w:tab w:val="right" w:pos="9072"/>
      </w:tabs>
    </w:pPr>
    <w:rPr>
      <w:rFonts w:ascii="Arial" w:hAnsi="Arial"/>
      <w:lang w:val="nl-NL"/>
    </w:rPr>
  </w:style>
  <w:style w:type="character" w:customStyle="1" w:styleId="VoettekstChar">
    <w:name w:val="Voettekst Char"/>
    <w:basedOn w:val="Standaardalinea-lettertype"/>
    <w:link w:val="Voettekst"/>
    <w:rsid w:val="009D7AD0"/>
    <w:rPr>
      <w:rFonts w:ascii="Arial" w:hAnsi="Arial"/>
    </w:rPr>
  </w:style>
  <w:style w:type="paragraph" w:customStyle="1" w:styleId="Plattetekst21">
    <w:name w:val="Platte tekst 21"/>
    <w:basedOn w:val="Standaard"/>
    <w:rsid w:val="009D7AD0"/>
    <w:pPr>
      <w:overflowPunct w:val="0"/>
      <w:autoSpaceDE w:val="0"/>
      <w:autoSpaceDN w:val="0"/>
      <w:adjustRightInd w:val="0"/>
      <w:ind w:left="1701"/>
      <w:textAlignment w:val="baseline"/>
    </w:pPr>
    <w:rPr>
      <w:rFonts w:ascii="Arial" w:hAnsi="Arial"/>
      <w:lang w:val="nl-NL"/>
    </w:rPr>
  </w:style>
  <w:style w:type="character" w:styleId="Verwijzingopmerking">
    <w:name w:val="annotation reference"/>
    <w:basedOn w:val="Standaardalinea-lettertype"/>
    <w:rsid w:val="009D7AD0"/>
    <w:rPr>
      <w:sz w:val="16"/>
      <w:szCs w:val="16"/>
    </w:rPr>
  </w:style>
  <w:style w:type="paragraph" w:styleId="Tekstopmerking">
    <w:name w:val="annotation text"/>
    <w:basedOn w:val="Standaard"/>
    <w:link w:val="TekstopmerkingChar"/>
    <w:rsid w:val="009D7AD0"/>
  </w:style>
  <w:style w:type="character" w:customStyle="1" w:styleId="TekstopmerkingChar">
    <w:name w:val="Tekst opmerking Char"/>
    <w:basedOn w:val="Standaardalinea-lettertype"/>
    <w:link w:val="Tekstopmerking"/>
    <w:rsid w:val="009D7AD0"/>
    <w:rPr>
      <w:lang w:val="nl"/>
    </w:rPr>
  </w:style>
  <w:style w:type="paragraph" w:styleId="Ballontekst">
    <w:name w:val="Balloon Text"/>
    <w:basedOn w:val="Standaard"/>
    <w:link w:val="BallontekstChar"/>
    <w:rsid w:val="009D7AD0"/>
    <w:rPr>
      <w:rFonts w:ascii="Tahoma" w:hAnsi="Tahoma" w:cs="Tahoma"/>
      <w:sz w:val="16"/>
      <w:szCs w:val="16"/>
    </w:rPr>
  </w:style>
  <w:style w:type="character" w:customStyle="1" w:styleId="BallontekstChar">
    <w:name w:val="Ballontekst Char"/>
    <w:basedOn w:val="Standaardalinea-lettertype"/>
    <w:link w:val="Ballontekst"/>
    <w:rsid w:val="009D7AD0"/>
    <w:rPr>
      <w:rFonts w:ascii="Tahoma" w:hAnsi="Tahoma" w:cs="Tahoma"/>
      <w:sz w:val="16"/>
      <w:szCs w:val="16"/>
      <w:lang w:val="nl"/>
    </w:rPr>
  </w:style>
  <w:style w:type="paragraph" w:styleId="Onderwerpvanopmerking">
    <w:name w:val="annotation subject"/>
    <w:basedOn w:val="Tekstopmerking"/>
    <w:next w:val="Tekstopmerking"/>
    <w:link w:val="OnderwerpvanopmerkingChar"/>
    <w:rsid w:val="009D7AD0"/>
    <w:rPr>
      <w:b/>
      <w:bCs/>
    </w:rPr>
  </w:style>
  <w:style w:type="character" w:customStyle="1" w:styleId="OnderwerpvanopmerkingChar">
    <w:name w:val="Onderwerp van opmerking Char"/>
    <w:basedOn w:val="TekstopmerkingChar"/>
    <w:link w:val="Onderwerpvanopmerking"/>
    <w:rsid w:val="009D7AD0"/>
    <w:rPr>
      <w:b/>
      <w:bCs/>
      <w:lang w:val="nl"/>
    </w:rPr>
  </w:style>
  <w:style w:type="paragraph" w:styleId="Normaalweb">
    <w:name w:val="Normal (Web)"/>
    <w:basedOn w:val="Standaard"/>
    <w:next w:val="Standaard"/>
    <w:autoRedefine/>
    <w:uiPriority w:val="99"/>
    <w:rsid w:val="009D7AD0"/>
    <w:pPr>
      <w:spacing w:before="100" w:beforeAutospacing="1" w:after="100" w:afterAutospacing="1"/>
    </w:pPr>
    <w:rPr>
      <w:rFonts w:ascii="Arial" w:hAnsi="Arial"/>
      <w:szCs w:val="24"/>
      <w:lang w:val="nl-NL"/>
    </w:rPr>
  </w:style>
  <w:style w:type="character" w:styleId="Paginanummer">
    <w:name w:val="page number"/>
    <w:basedOn w:val="Standaardalinea-lettertype"/>
    <w:rsid w:val="009D7AD0"/>
  </w:style>
  <w:style w:type="paragraph" w:styleId="Koptekst">
    <w:name w:val="header"/>
    <w:basedOn w:val="Standaard"/>
    <w:link w:val="KoptekstChar"/>
    <w:rsid w:val="009D7AD0"/>
    <w:pPr>
      <w:tabs>
        <w:tab w:val="center" w:pos="4536"/>
        <w:tab w:val="right" w:pos="9072"/>
      </w:tabs>
    </w:pPr>
  </w:style>
  <w:style w:type="character" w:customStyle="1" w:styleId="KoptekstChar">
    <w:name w:val="Koptekst Char"/>
    <w:basedOn w:val="Standaardalinea-lettertype"/>
    <w:link w:val="Koptekst"/>
    <w:rsid w:val="009D7AD0"/>
    <w:rPr>
      <w:lang w:val="nl"/>
    </w:rPr>
  </w:style>
  <w:style w:type="paragraph" w:customStyle="1" w:styleId="CharCharCharCharCharCharCharCharCharChar">
    <w:name w:val="Char Char Char Char Char Char Char Char Char Char"/>
    <w:aliases w:val="Standaardalinea-lettertype Char11 Char, Char Char Char Char Char Char11 Char,Standaardalinea-lettertype Char Char1 Char,Standaardalinea-lettertype Char2,Standaardalinea-lettertype Char Char"/>
    <w:basedOn w:val="Standaard"/>
    <w:rsid w:val="009D7AD0"/>
    <w:pPr>
      <w:widowControl w:val="0"/>
      <w:adjustRightInd w:val="0"/>
      <w:spacing w:after="160" w:line="240" w:lineRule="exact"/>
      <w:jc w:val="both"/>
      <w:textAlignment w:val="baseline"/>
    </w:pPr>
    <w:rPr>
      <w:rFonts w:ascii="Tahoma" w:hAnsi="Tahoma"/>
      <w:lang w:val="en-US" w:eastAsia="en-US"/>
    </w:rPr>
  </w:style>
  <w:style w:type="character" w:styleId="Zwaar">
    <w:name w:val="Strong"/>
    <w:basedOn w:val="Standaardalinea-lettertype"/>
    <w:qFormat/>
    <w:rsid w:val="009D7AD0"/>
    <w:rPr>
      <w:b/>
      <w:bCs/>
    </w:rPr>
  </w:style>
  <w:style w:type="paragraph" w:customStyle="1" w:styleId="CharChar">
    <w:name w:val="Char Char"/>
    <w:basedOn w:val="Standaard"/>
    <w:rsid w:val="009D7AD0"/>
    <w:pPr>
      <w:spacing w:after="160" w:line="240" w:lineRule="exact"/>
    </w:pPr>
    <w:rPr>
      <w:rFonts w:ascii="Tahoma" w:hAnsi="Tahoma"/>
      <w:lang w:val="en-US" w:eastAsia="en-US"/>
    </w:rPr>
  </w:style>
  <w:style w:type="character" w:styleId="Nadruk">
    <w:name w:val="Emphasis"/>
    <w:basedOn w:val="Standaardalinea-lettertype"/>
    <w:qFormat/>
    <w:rsid w:val="009D7AD0"/>
    <w:rPr>
      <w:i/>
      <w:iCs/>
    </w:rPr>
  </w:style>
  <w:style w:type="paragraph" w:customStyle="1" w:styleId="broodtekst">
    <w:name w:val="broodtekst"/>
    <w:basedOn w:val="Standaard"/>
    <w:rsid w:val="009D7AD0"/>
    <w:pPr>
      <w:spacing w:line="240" w:lineRule="atLeast"/>
    </w:pPr>
    <w:rPr>
      <w:rFonts w:ascii="Verdana" w:hAnsi="Verdana"/>
      <w:sz w:val="18"/>
      <w:szCs w:val="24"/>
      <w:lang w:val="nl-NL"/>
    </w:rPr>
  </w:style>
  <w:style w:type="character" w:styleId="Voetnootmarkering">
    <w:name w:val="footnote reference"/>
    <w:basedOn w:val="Standaardalinea-lettertype"/>
    <w:unhideWhenUsed/>
    <w:rsid w:val="009D7AD0"/>
    <w:rPr>
      <w:vertAlign w:val="superscript"/>
    </w:rPr>
  </w:style>
  <w:style w:type="paragraph" w:styleId="Tekstzonderopmaak">
    <w:name w:val="Plain Text"/>
    <w:basedOn w:val="Standaard"/>
    <w:link w:val="TekstzonderopmaakChar"/>
    <w:uiPriority w:val="99"/>
    <w:unhideWhenUsed/>
    <w:rsid w:val="009D7AD0"/>
    <w:rPr>
      <w:rFonts w:ascii="Consolas" w:eastAsiaTheme="minorHAnsi" w:hAnsi="Consolas" w:cstheme="minorBidi"/>
      <w:sz w:val="21"/>
      <w:szCs w:val="21"/>
      <w:lang w:val="nl-NL" w:eastAsia="en-US"/>
    </w:rPr>
  </w:style>
  <w:style w:type="character" w:customStyle="1" w:styleId="TekstzonderopmaakChar">
    <w:name w:val="Tekst zonder opmaak Char"/>
    <w:basedOn w:val="Standaardalinea-lettertype"/>
    <w:link w:val="Tekstzonderopmaak"/>
    <w:uiPriority w:val="99"/>
    <w:rsid w:val="009D7AD0"/>
    <w:rPr>
      <w:rFonts w:ascii="Consolas" w:eastAsiaTheme="minorHAnsi" w:hAnsi="Consolas" w:cstheme="minorBidi"/>
      <w:sz w:val="21"/>
      <w:szCs w:val="21"/>
      <w:lang w:eastAsia="en-US"/>
    </w:rPr>
  </w:style>
  <w:style w:type="paragraph" w:customStyle="1" w:styleId="Default">
    <w:name w:val="Default"/>
    <w:rsid w:val="009D7AD0"/>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7AD0"/>
    <w:rPr>
      <w:lang w:val="nl"/>
    </w:rPr>
  </w:style>
  <w:style w:type="paragraph" w:styleId="Kop1">
    <w:name w:val="heading 1"/>
    <w:basedOn w:val="Standaard"/>
    <w:next w:val="Standaard"/>
    <w:link w:val="Kop1Char"/>
    <w:qFormat/>
    <w:rsid w:val="009D7AD0"/>
    <w:pPr>
      <w:keepNext/>
      <w:spacing w:before="240" w:after="60"/>
      <w:outlineLvl w:val="0"/>
    </w:pPr>
    <w:rPr>
      <w:rFonts w:ascii="Arial" w:hAnsi="Arial" w:cs="Arial"/>
      <w:b/>
      <w:bCs/>
      <w:kern w:val="32"/>
      <w:sz w:val="32"/>
      <w:szCs w:val="32"/>
    </w:rPr>
  </w:style>
  <w:style w:type="paragraph" w:styleId="Kop3">
    <w:name w:val="heading 3"/>
    <w:basedOn w:val="Standaard"/>
    <w:next w:val="Standaard"/>
    <w:link w:val="Kop3Char"/>
    <w:qFormat/>
    <w:rsid w:val="009D7AD0"/>
    <w:pPr>
      <w:keepNext/>
      <w:spacing w:line="360" w:lineRule="auto"/>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D7AD0"/>
    <w:rPr>
      <w:rFonts w:ascii="Arial" w:hAnsi="Arial" w:cs="Arial"/>
      <w:b/>
      <w:bCs/>
      <w:kern w:val="32"/>
      <w:sz w:val="32"/>
      <w:szCs w:val="32"/>
      <w:lang w:val="nl"/>
    </w:rPr>
  </w:style>
  <w:style w:type="character" w:customStyle="1" w:styleId="Kop3Char">
    <w:name w:val="Kop 3 Char"/>
    <w:basedOn w:val="Standaardalinea-lettertype"/>
    <w:link w:val="Kop3"/>
    <w:rsid w:val="009D7AD0"/>
    <w:rPr>
      <w:rFonts w:ascii="Arial" w:hAnsi="Arial"/>
      <w:b/>
      <w:lang w:val="nl"/>
    </w:rPr>
  </w:style>
  <w:style w:type="paragraph" w:styleId="Plattetekst">
    <w:name w:val="Body Text"/>
    <w:basedOn w:val="Standaard"/>
    <w:link w:val="PlattetekstChar"/>
    <w:rsid w:val="009D7AD0"/>
    <w:pPr>
      <w:spacing w:line="360" w:lineRule="auto"/>
    </w:pPr>
    <w:rPr>
      <w:rFonts w:ascii="Arial" w:hAnsi="Arial"/>
      <w:b/>
      <w:sz w:val="22"/>
    </w:rPr>
  </w:style>
  <w:style w:type="character" w:customStyle="1" w:styleId="PlattetekstChar">
    <w:name w:val="Platte tekst Char"/>
    <w:basedOn w:val="Standaardalinea-lettertype"/>
    <w:link w:val="Plattetekst"/>
    <w:rsid w:val="009D7AD0"/>
    <w:rPr>
      <w:rFonts w:ascii="Arial" w:hAnsi="Arial"/>
      <w:b/>
      <w:sz w:val="22"/>
      <w:lang w:val="nl"/>
    </w:rPr>
  </w:style>
  <w:style w:type="paragraph" w:styleId="Voetnoottekst">
    <w:name w:val="footnote text"/>
    <w:basedOn w:val="Standaard"/>
    <w:link w:val="VoetnoottekstChar"/>
    <w:rsid w:val="009D7AD0"/>
  </w:style>
  <w:style w:type="character" w:customStyle="1" w:styleId="VoetnoottekstChar">
    <w:name w:val="Voetnoottekst Char"/>
    <w:basedOn w:val="Standaardalinea-lettertype"/>
    <w:link w:val="Voetnoottekst"/>
    <w:rsid w:val="009D7AD0"/>
    <w:rPr>
      <w:lang w:val="nl"/>
    </w:rPr>
  </w:style>
  <w:style w:type="paragraph" w:styleId="Voettekst">
    <w:name w:val="footer"/>
    <w:basedOn w:val="Standaard"/>
    <w:link w:val="VoettekstChar"/>
    <w:rsid w:val="009D7AD0"/>
    <w:pPr>
      <w:tabs>
        <w:tab w:val="center" w:pos="4536"/>
        <w:tab w:val="right" w:pos="9072"/>
      </w:tabs>
    </w:pPr>
    <w:rPr>
      <w:rFonts w:ascii="Arial" w:hAnsi="Arial"/>
      <w:lang w:val="nl-NL"/>
    </w:rPr>
  </w:style>
  <w:style w:type="character" w:customStyle="1" w:styleId="VoettekstChar">
    <w:name w:val="Voettekst Char"/>
    <w:basedOn w:val="Standaardalinea-lettertype"/>
    <w:link w:val="Voettekst"/>
    <w:rsid w:val="009D7AD0"/>
    <w:rPr>
      <w:rFonts w:ascii="Arial" w:hAnsi="Arial"/>
    </w:rPr>
  </w:style>
  <w:style w:type="paragraph" w:customStyle="1" w:styleId="Plattetekst21">
    <w:name w:val="Platte tekst 21"/>
    <w:basedOn w:val="Standaard"/>
    <w:rsid w:val="009D7AD0"/>
    <w:pPr>
      <w:overflowPunct w:val="0"/>
      <w:autoSpaceDE w:val="0"/>
      <w:autoSpaceDN w:val="0"/>
      <w:adjustRightInd w:val="0"/>
      <w:ind w:left="1701"/>
      <w:textAlignment w:val="baseline"/>
    </w:pPr>
    <w:rPr>
      <w:rFonts w:ascii="Arial" w:hAnsi="Arial"/>
      <w:lang w:val="nl-NL"/>
    </w:rPr>
  </w:style>
  <w:style w:type="character" w:styleId="Verwijzingopmerking">
    <w:name w:val="annotation reference"/>
    <w:basedOn w:val="Standaardalinea-lettertype"/>
    <w:rsid w:val="009D7AD0"/>
    <w:rPr>
      <w:sz w:val="16"/>
      <w:szCs w:val="16"/>
    </w:rPr>
  </w:style>
  <w:style w:type="paragraph" w:styleId="Tekstopmerking">
    <w:name w:val="annotation text"/>
    <w:basedOn w:val="Standaard"/>
    <w:link w:val="TekstopmerkingChar"/>
    <w:rsid w:val="009D7AD0"/>
  </w:style>
  <w:style w:type="character" w:customStyle="1" w:styleId="TekstopmerkingChar">
    <w:name w:val="Tekst opmerking Char"/>
    <w:basedOn w:val="Standaardalinea-lettertype"/>
    <w:link w:val="Tekstopmerking"/>
    <w:rsid w:val="009D7AD0"/>
    <w:rPr>
      <w:lang w:val="nl"/>
    </w:rPr>
  </w:style>
  <w:style w:type="paragraph" w:styleId="Ballontekst">
    <w:name w:val="Balloon Text"/>
    <w:basedOn w:val="Standaard"/>
    <w:link w:val="BallontekstChar"/>
    <w:rsid w:val="009D7AD0"/>
    <w:rPr>
      <w:rFonts w:ascii="Tahoma" w:hAnsi="Tahoma" w:cs="Tahoma"/>
      <w:sz w:val="16"/>
      <w:szCs w:val="16"/>
    </w:rPr>
  </w:style>
  <w:style w:type="character" w:customStyle="1" w:styleId="BallontekstChar">
    <w:name w:val="Ballontekst Char"/>
    <w:basedOn w:val="Standaardalinea-lettertype"/>
    <w:link w:val="Ballontekst"/>
    <w:rsid w:val="009D7AD0"/>
    <w:rPr>
      <w:rFonts w:ascii="Tahoma" w:hAnsi="Tahoma" w:cs="Tahoma"/>
      <w:sz w:val="16"/>
      <w:szCs w:val="16"/>
      <w:lang w:val="nl"/>
    </w:rPr>
  </w:style>
  <w:style w:type="paragraph" w:styleId="Onderwerpvanopmerking">
    <w:name w:val="annotation subject"/>
    <w:basedOn w:val="Tekstopmerking"/>
    <w:next w:val="Tekstopmerking"/>
    <w:link w:val="OnderwerpvanopmerkingChar"/>
    <w:rsid w:val="009D7AD0"/>
    <w:rPr>
      <w:b/>
      <w:bCs/>
    </w:rPr>
  </w:style>
  <w:style w:type="character" w:customStyle="1" w:styleId="OnderwerpvanopmerkingChar">
    <w:name w:val="Onderwerp van opmerking Char"/>
    <w:basedOn w:val="TekstopmerkingChar"/>
    <w:link w:val="Onderwerpvanopmerking"/>
    <w:rsid w:val="009D7AD0"/>
    <w:rPr>
      <w:b/>
      <w:bCs/>
      <w:lang w:val="nl"/>
    </w:rPr>
  </w:style>
  <w:style w:type="paragraph" w:styleId="Normaalweb">
    <w:name w:val="Normal (Web)"/>
    <w:basedOn w:val="Standaard"/>
    <w:next w:val="Standaard"/>
    <w:autoRedefine/>
    <w:uiPriority w:val="99"/>
    <w:rsid w:val="009D7AD0"/>
    <w:pPr>
      <w:spacing w:before="100" w:beforeAutospacing="1" w:after="100" w:afterAutospacing="1"/>
    </w:pPr>
    <w:rPr>
      <w:rFonts w:ascii="Arial" w:hAnsi="Arial"/>
      <w:szCs w:val="24"/>
      <w:lang w:val="nl-NL"/>
    </w:rPr>
  </w:style>
  <w:style w:type="character" w:styleId="Paginanummer">
    <w:name w:val="page number"/>
    <w:basedOn w:val="Standaardalinea-lettertype"/>
    <w:rsid w:val="009D7AD0"/>
  </w:style>
  <w:style w:type="paragraph" w:styleId="Koptekst">
    <w:name w:val="header"/>
    <w:basedOn w:val="Standaard"/>
    <w:link w:val="KoptekstChar"/>
    <w:rsid w:val="009D7AD0"/>
    <w:pPr>
      <w:tabs>
        <w:tab w:val="center" w:pos="4536"/>
        <w:tab w:val="right" w:pos="9072"/>
      </w:tabs>
    </w:pPr>
  </w:style>
  <w:style w:type="character" w:customStyle="1" w:styleId="KoptekstChar">
    <w:name w:val="Koptekst Char"/>
    <w:basedOn w:val="Standaardalinea-lettertype"/>
    <w:link w:val="Koptekst"/>
    <w:rsid w:val="009D7AD0"/>
    <w:rPr>
      <w:lang w:val="nl"/>
    </w:rPr>
  </w:style>
  <w:style w:type="paragraph" w:customStyle="1" w:styleId="CharCharCharCharCharCharCharCharCharChar">
    <w:name w:val="Char Char Char Char Char Char Char Char Char Char"/>
    <w:aliases w:val="Standaardalinea-lettertype Char11 Char, Char Char Char Char Char Char11 Char,Standaardalinea-lettertype Char Char1 Char,Standaardalinea-lettertype Char2,Standaardalinea-lettertype Char Char"/>
    <w:basedOn w:val="Standaard"/>
    <w:rsid w:val="009D7AD0"/>
    <w:pPr>
      <w:widowControl w:val="0"/>
      <w:adjustRightInd w:val="0"/>
      <w:spacing w:after="160" w:line="240" w:lineRule="exact"/>
      <w:jc w:val="both"/>
      <w:textAlignment w:val="baseline"/>
    </w:pPr>
    <w:rPr>
      <w:rFonts w:ascii="Tahoma" w:hAnsi="Tahoma"/>
      <w:lang w:val="en-US" w:eastAsia="en-US"/>
    </w:rPr>
  </w:style>
  <w:style w:type="character" w:styleId="Zwaar">
    <w:name w:val="Strong"/>
    <w:basedOn w:val="Standaardalinea-lettertype"/>
    <w:qFormat/>
    <w:rsid w:val="009D7AD0"/>
    <w:rPr>
      <w:b/>
      <w:bCs/>
    </w:rPr>
  </w:style>
  <w:style w:type="paragraph" w:customStyle="1" w:styleId="CharChar">
    <w:name w:val="Char Char"/>
    <w:basedOn w:val="Standaard"/>
    <w:rsid w:val="009D7AD0"/>
    <w:pPr>
      <w:spacing w:after="160" w:line="240" w:lineRule="exact"/>
    </w:pPr>
    <w:rPr>
      <w:rFonts w:ascii="Tahoma" w:hAnsi="Tahoma"/>
      <w:lang w:val="en-US" w:eastAsia="en-US"/>
    </w:rPr>
  </w:style>
  <w:style w:type="character" w:styleId="Nadruk">
    <w:name w:val="Emphasis"/>
    <w:basedOn w:val="Standaardalinea-lettertype"/>
    <w:qFormat/>
    <w:rsid w:val="009D7AD0"/>
    <w:rPr>
      <w:i/>
      <w:iCs/>
    </w:rPr>
  </w:style>
  <w:style w:type="paragraph" w:customStyle="1" w:styleId="broodtekst">
    <w:name w:val="broodtekst"/>
    <w:basedOn w:val="Standaard"/>
    <w:rsid w:val="009D7AD0"/>
    <w:pPr>
      <w:spacing w:line="240" w:lineRule="atLeast"/>
    </w:pPr>
    <w:rPr>
      <w:rFonts w:ascii="Verdana" w:hAnsi="Verdana"/>
      <w:sz w:val="18"/>
      <w:szCs w:val="24"/>
      <w:lang w:val="nl-NL"/>
    </w:rPr>
  </w:style>
  <w:style w:type="character" w:styleId="Voetnootmarkering">
    <w:name w:val="footnote reference"/>
    <w:basedOn w:val="Standaardalinea-lettertype"/>
    <w:unhideWhenUsed/>
    <w:rsid w:val="009D7AD0"/>
    <w:rPr>
      <w:vertAlign w:val="superscript"/>
    </w:rPr>
  </w:style>
  <w:style w:type="paragraph" w:styleId="Tekstzonderopmaak">
    <w:name w:val="Plain Text"/>
    <w:basedOn w:val="Standaard"/>
    <w:link w:val="TekstzonderopmaakChar"/>
    <w:uiPriority w:val="99"/>
    <w:unhideWhenUsed/>
    <w:rsid w:val="009D7AD0"/>
    <w:rPr>
      <w:rFonts w:ascii="Consolas" w:eastAsiaTheme="minorHAnsi" w:hAnsi="Consolas" w:cstheme="minorBidi"/>
      <w:sz w:val="21"/>
      <w:szCs w:val="21"/>
      <w:lang w:val="nl-NL" w:eastAsia="en-US"/>
    </w:rPr>
  </w:style>
  <w:style w:type="character" w:customStyle="1" w:styleId="TekstzonderopmaakChar">
    <w:name w:val="Tekst zonder opmaak Char"/>
    <w:basedOn w:val="Standaardalinea-lettertype"/>
    <w:link w:val="Tekstzonderopmaak"/>
    <w:uiPriority w:val="99"/>
    <w:rsid w:val="009D7AD0"/>
    <w:rPr>
      <w:rFonts w:ascii="Consolas" w:eastAsiaTheme="minorHAnsi" w:hAnsi="Consolas" w:cstheme="minorBidi"/>
      <w:sz w:val="21"/>
      <w:szCs w:val="21"/>
      <w:lang w:eastAsia="en-US"/>
    </w:rPr>
  </w:style>
  <w:style w:type="paragraph" w:customStyle="1" w:styleId="Default">
    <w:name w:val="Default"/>
    <w:rsid w:val="009D7AD0"/>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4BAFA-189F-4DAE-AA4C-E7FDC1B8EB1B}"/>
</file>

<file path=customXml/itemProps2.xml><?xml version="1.0" encoding="utf-8"?>
<ds:datastoreItem xmlns:ds="http://schemas.openxmlformats.org/officeDocument/2006/customXml" ds:itemID="{4A5FD930-2481-4DEC-B5AD-861769206DAC}"/>
</file>

<file path=customXml/itemProps3.xml><?xml version="1.0" encoding="utf-8"?>
<ds:datastoreItem xmlns:ds="http://schemas.openxmlformats.org/officeDocument/2006/customXml" ds:itemID="{B35AFDD5-D849-46A8-A19F-04DC9080DE04}"/>
</file>

<file path=docProps/app.xml><?xml version="1.0" encoding="utf-8"?>
<Properties xmlns="http://schemas.openxmlformats.org/officeDocument/2006/extended-properties" xmlns:vt="http://schemas.openxmlformats.org/officeDocument/2006/docPropsVTypes">
  <Template>FC4D8B74</Template>
  <TotalTime>0</TotalTime>
  <Pages>10</Pages>
  <Words>2387</Words>
  <Characters>17265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2017-06-01T09:34:00Z</dcterms:created>
  <dcterms:modified xsi:type="dcterms:W3CDTF">2017-06-01T09:34:00Z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