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b/>
          <w:bCs/>
          <w:sz w:val="18"/>
          <w:szCs w:val="18"/>
        </w:rPr>
        <w:t>A. ARTIKELSGEWIJZE TOELICHTING BIJ HET WETSVOORSTEL</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b/>
          <w:bCs/>
          <w:sz w:val="18"/>
          <w:szCs w:val="18"/>
        </w:rPr>
        <w:t>Wetsartikelen 1 tot en met 3</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2017 wijzigingen aan te brengen in: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w:t>
      </w:r>
    </w:p>
    <w:p w:rsidR="000C2622" w:rsidRPr="003067A5" w:rsidRDefault="000C2622" w:rsidP="000C2622">
      <w:pPr>
        <w:widowControl w:val="0"/>
        <w:autoSpaceDE w:val="0"/>
        <w:autoSpaceDN w:val="0"/>
        <w:adjustRightInd w:val="0"/>
        <w:spacing w:after="200"/>
        <w:jc w:val="both"/>
        <w:rPr>
          <w:rFonts w:ascii="Verdana" w:hAnsi="Verdana" w:cs="Arial"/>
          <w:sz w:val="18"/>
          <w:szCs w:val="18"/>
        </w:rPr>
      </w:pPr>
      <w:r w:rsidRPr="003067A5">
        <w:rPr>
          <w:rFonts w:ascii="Verdana" w:hAnsi="Verdana" w:cs="Arial"/>
          <w:sz w:val="18"/>
          <w:szCs w:val="18"/>
        </w:rPr>
        <w:t xml:space="preserve">de departementale begrotingsstaat voor Buitenlandse Handel en Ontwikkelingssamenwerking (XVII);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xml:space="preserve">De in de begrotingsstaat opgenomen begrotingsartikelen worden in onderdeel B van deze memorie van toelichting toegelicht (de zgn. begrotingstoelichting). </w:t>
      </w: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b/>
          <w:sz w:val="18"/>
          <w:szCs w:val="18"/>
        </w:rPr>
      </w:pPr>
      <w:r w:rsidRPr="003067A5">
        <w:rPr>
          <w:rFonts w:ascii="Verdana" w:hAnsi="Verdana" w:cs="Arial"/>
          <w:b/>
          <w:sz w:val="18"/>
          <w:szCs w:val="18"/>
        </w:rPr>
        <w:t>Wetsartikel 3</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w:t>
      </w: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De minister voor Buitenlandse Handel en Ontwikkelingssamenwerking,</w:t>
      </w: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proofErr w:type="spellStart"/>
      <w:r w:rsidRPr="003067A5">
        <w:rPr>
          <w:rFonts w:ascii="Verdana" w:hAnsi="Verdana" w:cs="Arial"/>
          <w:sz w:val="18"/>
          <w:szCs w:val="18"/>
        </w:rPr>
        <w:t>Lilianne</w:t>
      </w:r>
      <w:proofErr w:type="spellEnd"/>
      <w:r w:rsidRPr="003067A5">
        <w:rPr>
          <w:rFonts w:ascii="Verdana" w:hAnsi="Verdana" w:cs="Arial"/>
          <w:sz w:val="18"/>
          <w:szCs w:val="18"/>
        </w:rPr>
        <w:t xml:space="preserve"> </w:t>
      </w:r>
      <w:proofErr w:type="spellStart"/>
      <w:r w:rsidRPr="003067A5">
        <w:rPr>
          <w:rFonts w:ascii="Verdana" w:hAnsi="Verdana" w:cs="Arial"/>
          <w:sz w:val="18"/>
          <w:szCs w:val="18"/>
        </w:rPr>
        <w:t>Ploumen</w:t>
      </w:r>
      <w:bookmarkStart w:id="0" w:name="_GoBack"/>
      <w:bookmarkEnd w:id="0"/>
      <w:proofErr w:type="spellEnd"/>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p>
    <w:p w:rsidR="000C2622" w:rsidRDefault="000C2622" w:rsidP="000C2622">
      <w:pPr>
        <w:pStyle w:val="Kop2"/>
        <w:tabs>
          <w:tab w:val="left" w:pos="5293"/>
        </w:tabs>
        <w:rPr>
          <w:rFonts w:ascii="Verdana" w:hAnsi="Verdana"/>
          <w:sz w:val="18"/>
          <w:szCs w:val="18"/>
        </w:rPr>
      </w:pPr>
    </w:p>
    <w:p w:rsidR="000C2622" w:rsidRDefault="000C2622" w:rsidP="000C2622">
      <w:pPr>
        <w:pStyle w:val="Kop2"/>
        <w:tabs>
          <w:tab w:val="left" w:pos="5293"/>
        </w:tabs>
        <w:rPr>
          <w:rFonts w:ascii="Verdana" w:hAnsi="Verdana"/>
          <w:sz w:val="18"/>
          <w:szCs w:val="18"/>
        </w:rPr>
      </w:pPr>
      <w:r w:rsidRPr="003067A5">
        <w:rPr>
          <w:rFonts w:ascii="Verdana" w:hAnsi="Verdana"/>
          <w:sz w:val="18"/>
          <w:szCs w:val="18"/>
        </w:rPr>
        <w:br w:type="page"/>
      </w:r>
    </w:p>
    <w:p w:rsidR="000C2622" w:rsidRDefault="000C2622" w:rsidP="000C2622">
      <w:pPr>
        <w:pStyle w:val="Kop2"/>
        <w:tabs>
          <w:tab w:val="left" w:pos="5293"/>
        </w:tabs>
        <w:rPr>
          <w:rFonts w:ascii="Verdana" w:hAnsi="Verdana"/>
          <w:sz w:val="18"/>
          <w:szCs w:val="18"/>
        </w:rPr>
        <w:sectPr w:rsidR="000C2622" w:rsidSect="002F1819">
          <w:pgSz w:w="16834" w:h="11907" w:orient="landscape"/>
          <w:pgMar w:top="1134" w:right="1134" w:bottom="1134" w:left="1134" w:header="709" w:footer="709" w:gutter="0"/>
          <w:cols w:space="708"/>
          <w:noEndnote/>
        </w:sectPr>
      </w:pPr>
    </w:p>
    <w:p w:rsidR="000C2622" w:rsidRDefault="000C2622" w:rsidP="000C2622">
      <w:pPr>
        <w:pStyle w:val="Kop2"/>
        <w:tabs>
          <w:tab w:val="left" w:pos="5293"/>
        </w:tabs>
        <w:rPr>
          <w:rFonts w:ascii="Verdana" w:hAnsi="Verdana"/>
          <w:sz w:val="18"/>
          <w:szCs w:val="18"/>
        </w:rPr>
      </w:pPr>
    </w:p>
    <w:p w:rsidR="000C2622" w:rsidRPr="003067A5" w:rsidRDefault="000C2622" w:rsidP="000C2622">
      <w:pPr>
        <w:pStyle w:val="Kop2"/>
        <w:tabs>
          <w:tab w:val="left" w:pos="5293"/>
        </w:tabs>
        <w:rPr>
          <w:rFonts w:ascii="Verdana" w:hAnsi="Verdana"/>
          <w:sz w:val="18"/>
          <w:szCs w:val="18"/>
        </w:rPr>
      </w:pPr>
      <w:r w:rsidRPr="003067A5">
        <w:rPr>
          <w:rFonts w:ascii="Verdana" w:hAnsi="Verdana" w:cs="Times New Roman"/>
          <w:i w:val="0"/>
          <w:sz w:val="18"/>
          <w:szCs w:val="18"/>
        </w:rPr>
        <w:t>B) BEGROTINGSTOELICHTING</w:t>
      </w: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pStyle w:val="Lijstalinea"/>
        <w:widowControl w:val="0"/>
        <w:numPr>
          <w:ilvl w:val="0"/>
          <w:numId w:val="10"/>
        </w:numPr>
        <w:autoSpaceDE w:val="0"/>
        <w:autoSpaceDN w:val="0"/>
        <w:adjustRightInd w:val="0"/>
        <w:spacing w:line="276" w:lineRule="auto"/>
        <w:rPr>
          <w:rFonts w:ascii="Verdana" w:hAnsi="Verdana"/>
          <w:b/>
          <w:sz w:val="18"/>
          <w:szCs w:val="18"/>
        </w:rPr>
      </w:pPr>
      <w:r w:rsidRPr="003067A5">
        <w:rPr>
          <w:rFonts w:ascii="Verdana" w:hAnsi="Verdana"/>
          <w:b/>
          <w:sz w:val="18"/>
          <w:szCs w:val="18"/>
        </w:rPr>
        <w:t>Voorstel van Wet</w:t>
      </w:r>
    </w:p>
    <w:p w:rsidR="000C2622" w:rsidRPr="003067A5" w:rsidRDefault="000C2622" w:rsidP="000C2622">
      <w:pPr>
        <w:widowControl w:val="0"/>
        <w:autoSpaceDE w:val="0"/>
        <w:autoSpaceDN w:val="0"/>
        <w:adjustRightInd w:val="0"/>
        <w:rPr>
          <w:rFonts w:ascii="Verdana" w:hAnsi="Verdana"/>
          <w:sz w:val="18"/>
          <w:szCs w:val="18"/>
        </w:rPr>
      </w:pPr>
      <w:r w:rsidRPr="003067A5">
        <w:rPr>
          <w:rFonts w:ascii="Verdana" w:hAnsi="Verdana"/>
          <w:sz w:val="18"/>
          <w:szCs w:val="18"/>
        </w:rPr>
        <w:t xml:space="preserve">Het onderhavige wetsvoorstel leidt tot een opwaartse bijstelling van de geraamde uitgaven 2017 op de begroting van Buitenlandse Handel en Ontwikkelingssamenwerking (XVII) van EUR 509,7 miljoen. De ontvangsten worden met 10 miljoen neerwaarts bijgesteld.  </w:t>
      </w:r>
    </w:p>
    <w:p w:rsidR="000C2622" w:rsidRPr="003067A5" w:rsidRDefault="000C2622" w:rsidP="000C2622">
      <w:pPr>
        <w:widowControl w:val="0"/>
        <w:autoSpaceDE w:val="0"/>
        <w:autoSpaceDN w:val="0"/>
        <w:adjustRightInd w:val="0"/>
        <w:rPr>
          <w:rFonts w:ascii="Verdana" w:hAnsi="Verdana"/>
          <w:sz w:val="18"/>
          <w:szCs w:val="18"/>
        </w:rPr>
      </w:pPr>
    </w:p>
    <w:p w:rsidR="000C2622" w:rsidRPr="003067A5" w:rsidRDefault="000C2622" w:rsidP="000C2622">
      <w:pPr>
        <w:pStyle w:val="Lijstalinea"/>
        <w:widowControl w:val="0"/>
        <w:numPr>
          <w:ilvl w:val="0"/>
          <w:numId w:val="10"/>
        </w:numPr>
        <w:autoSpaceDE w:val="0"/>
        <w:autoSpaceDN w:val="0"/>
        <w:adjustRightInd w:val="0"/>
        <w:rPr>
          <w:rFonts w:ascii="Verdana" w:hAnsi="Verdana"/>
          <w:b/>
          <w:iCs/>
          <w:sz w:val="18"/>
          <w:szCs w:val="18"/>
        </w:rPr>
      </w:pPr>
      <w:r w:rsidRPr="003067A5">
        <w:rPr>
          <w:rFonts w:ascii="Verdana" w:hAnsi="Verdana"/>
          <w:b/>
          <w:iCs/>
          <w:sz w:val="18"/>
          <w:szCs w:val="18"/>
        </w:rPr>
        <w:t>Leeswijzer</w:t>
      </w:r>
    </w:p>
    <w:p w:rsidR="000C2622" w:rsidRPr="003067A5" w:rsidRDefault="000C2622" w:rsidP="000C2622">
      <w:pPr>
        <w:widowControl w:val="0"/>
        <w:autoSpaceDE w:val="0"/>
        <w:autoSpaceDN w:val="0"/>
        <w:adjustRightInd w:val="0"/>
        <w:rPr>
          <w:rFonts w:ascii="Verdana" w:hAnsi="Verdana"/>
          <w:iCs/>
          <w:sz w:val="18"/>
          <w:szCs w:val="18"/>
        </w:rPr>
      </w:pPr>
    </w:p>
    <w:p w:rsidR="000C2622" w:rsidRPr="003067A5" w:rsidRDefault="000C2622" w:rsidP="000C2622">
      <w:pPr>
        <w:widowControl w:val="0"/>
        <w:autoSpaceDE w:val="0"/>
        <w:autoSpaceDN w:val="0"/>
        <w:adjustRightInd w:val="0"/>
        <w:rPr>
          <w:rFonts w:ascii="Verdana" w:hAnsi="Verdana"/>
          <w:iCs/>
          <w:sz w:val="18"/>
          <w:szCs w:val="18"/>
        </w:rPr>
      </w:pPr>
      <w:r w:rsidRPr="003067A5">
        <w:rPr>
          <w:rFonts w:ascii="Verdana" w:hAnsi="Verdana"/>
          <w:iCs/>
          <w:sz w:val="18"/>
          <w:szCs w:val="18"/>
        </w:rPr>
        <w:t xml:space="preserve">De voorliggende suppletoire begroting bevat de voorgestelde wijzigingen ten opzichte van de Ontwerpbegroting 2017 van hoofdstuk XVII van de begroting van het Rijk. </w:t>
      </w:r>
    </w:p>
    <w:p w:rsidR="000C2622" w:rsidRPr="003067A5" w:rsidRDefault="000C2622" w:rsidP="000C2622">
      <w:pPr>
        <w:widowControl w:val="0"/>
        <w:autoSpaceDE w:val="0"/>
        <w:autoSpaceDN w:val="0"/>
        <w:adjustRightInd w:val="0"/>
        <w:rPr>
          <w:rFonts w:ascii="Verdana" w:hAnsi="Verdana"/>
          <w:iCs/>
          <w:sz w:val="18"/>
          <w:szCs w:val="18"/>
        </w:rPr>
      </w:pPr>
    </w:p>
    <w:p w:rsidR="000C2622" w:rsidRPr="003067A5" w:rsidRDefault="000C2622" w:rsidP="000C2622">
      <w:pPr>
        <w:widowControl w:val="0"/>
        <w:autoSpaceDE w:val="0"/>
        <w:autoSpaceDN w:val="0"/>
        <w:adjustRightInd w:val="0"/>
        <w:rPr>
          <w:rFonts w:ascii="Verdana" w:hAnsi="Verdana"/>
          <w:iCs/>
          <w:sz w:val="18"/>
          <w:szCs w:val="18"/>
        </w:rPr>
      </w:pPr>
      <w:r w:rsidRPr="003067A5">
        <w:rPr>
          <w:rFonts w:ascii="Verdana" w:hAnsi="Verdana"/>
          <w:iCs/>
          <w:sz w:val="18"/>
          <w:szCs w:val="18"/>
        </w:rPr>
        <w:t xml:space="preserve">In de toelichting worden de belangrijkste mutaties op de begroting van Buitenlandse Handel en Ontwikkelingssamenwerking toegelicht. Ten slotte volgt per artikel de nieuwe stand en een toelichting op de opmerkelijke verschillen. </w:t>
      </w:r>
    </w:p>
    <w:p w:rsidR="000C2622" w:rsidRPr="003067A5" w:rsidRDefault="000C2622" w:rsidP="000C2622">
      <w:pPr>
        <w:widowControl w:val="0"/>
        <w:autoSpaceDE w:val="0"/>
        <w:autoSpaceDN w:val="0"/>
        <w:adjustRightInd w:val="0"/>
        <w:rPr>
          <w:rFonts w:ascii="Verdana" w:hAnsi="Verdana"/>
          <w:iCs/>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Per artikel is een tabel opgenomen met de mutaties. De toelichting per beleidsartikel heeft betrekking op de kolom mutaties suppletoire begroting.</w:t>
      </w:r>
      <w:r w:rsidRPr="003067A5">
        <w:rPr>
          <w:rFonts w:ascii="Verdana" w:eastAsia="Calibri" w:hAnsi="Verdana"/>
          <w:sz w:val="18"/>
          <w:szCs w:val="18"/>
        </w:rPr>
        <w:t xml:space="preserve"> Om de leesbaarheid te waarborgen worden alleen de financiële instrumenten die meer dan 3 procent van het artikelonderdeel uitmaken opgenomen in de financiële tabel. Dat betekent dat er in sommige gevallen geen uitputtende opsomming is van de financiële instrumenten per artikelonderdeel.</w:t>
      </w: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widowControl w:val="0"/>
        <w:autoSpaceDE w:val="0"/>
        <w:autoSpaceDN w:val="0"/>
        <w:adjustRightInd w:val="0"/>
        <w:rPr>
          <w:rFonts w:ascii="Verdana" w:hAnsi="Verdana" w:cs="Arial"/>
          <w:sz w:val="18"/>
          <w:szCs w:val="18"/>
        </w:rPr>
      </w:pPr>
      <w:r w:rsidRPr="003067A5">
        <w:rPr>
          <w:rFonts w:ascii="Verdana" w:hAnsi="Verdana" w:cs="Arial"/>
          <w:sz w:val="18"/>
          <w:szCs w:val="18"/>
        </w:rPr>
        <w:t xml:space="preserve">Conform de Rijksbegrotingsvoorschriften en de Comptabiliteitswet van 2001 dienen de opmerkelijke verschillen tussen de oorspronkelijke en huidige raming te worden toegelicht. Ook is </w:t>
      </w:r>
      <w:hyperlink r:id="rId6" w:history="1">
        <w:r w:rsidRPr="003067A5">
          <w:rPr>
            <w:rStyle w:val="Hyperlink"/>
            <w:rFonts w:ascii="Verdana" w:hAnsi="Verdana" w:cs="Arial"/>
            <w:sz w:val="18"/>
            <w:szCs w:val="18"/>
          </w:rPr>
          <w:t>omschreven</w:t>
        </w:r>
      </w:hyperlink>
      <w:r w:rsidRPr="003067A5">
        <w:rPr>
          <w:rFonts w:ascii="Verdana" w:hAnsi="Verdana" w:cs="Arial"/>
          <w:sz w:val="18"/>
          <w:szCs w:val="18"/>
        </w:rPr>
        <w:t xml:space="preserve"> welke ondergrens gehanteerd moet worden, waarboven een uitgavenmutatie moet worden toegelicht. Hierbij wordt onderscheid gemaakt tussen beleidsmatige en technische mutaties. De wijzigingen van de verplichtingen worden alleen toegelicht wanneer ze groter zijn dan 10% ten opzichte van de vorige stand op artikelniveau.  </w:t>
      </w:r>
    </w:p>
    <w:p w:rsidR="000C2622" w:rsidRPr="003067A5" w:rsidRDefault="000C2622" w:rsidP="000C2622">
      <w:pPr>
        <w:widowControl w:val="0"/>
        <w:autoSpaceDE w:val="0"/>
        <w:autoSpaceDN w:val="0"/>
        <w:adjustRightInd w:val="0"/>
        <w:rPr>
          <w:rFonts w:ascii="Verdana" w:hAnsi="Verdana" w:cs="Arial"/>
          <w:sz w:val="18"/>
          <w:szCs w:val="18"/>
        </w:rPr>
      </w:pPr>
    </w:p>
    <w:p w:rsidR="000C2622" w:rsidRPr="003067A5" w:rsidRDefault="000C2622" w:rsidP="000C2622">
      <w:pPr>
        <w:rPr>
          <w:rFonts w:ascii="Verdana" w:hAnsi="Verdana"/>
          <w:b/>
          <w:sz w:val="18"/>
          <w:szCs w:val="18"/>
        </w:rPr>
      </w:pPr>
      <w:r w:rsidRPr="003067A5">
        <w:rPr>
          <w:rFonts w:ascii="Verdana" w:hAnsi="Verdana"/>
          <w:b/>
          <w:sz w:val="18"/>
          <w:szCs w:val="18"/>
        </w:rPr>
        <w:br w:type="page"/>
      </w:r>
    </w:p>
    <w:p w:rsidR="000C2622" w:rsidRPr="003067A5" w:rsidRDefault="000C2622" w:rsidP="000C2622">
      <w:pPr>
        <w:pStyle w:val="Lijstalinea"/>
        <w:numPr>
          <w:ilvl w:val="0"/>
          <w:numId w:val="10"/>
        </w:numPr>
        <w:autoSpaceDE w:val="0"/>
        <w:autoSpaceDN w:val="0"/>
        <w:adjustRightInd w:val="0"/>
        <w:rPr>
          <w:rFonts w:ascii="Verdana" w:hAnsi="Verdana"/>
          <w:b/>
          <w:sz w:val="18"/>
          <w:szCs w:val="18"/>
        </w:rPr>
      </w:pPr>
      <w:r w:rsidRPr="003067A5">
        <w:rPr>
          <w:rFonts w:ascii="Verdana" w:hAnsi="Verdana"/>
          <w:b/>
          <w:sz w:val="18"/>
          <w:szCs w:val="18"/>
        </w:rPr>
        <w:lastRenderedPageBreak/>
        <w:t>Overzicht belangrijkste suppletoire uitgavenmutaties 2017</w:t>
      </w:r>
    </w:p>
    <w:p w:rsidR="000C2622" w:rsidRPr="003067A5" w:rsidRDefault="000C2622" w:rsidP="000C2622">
      <w:pPr>
        <w:autoSpaceDE w:val="0"/>
        <w:autoSpaceDN w:val="0"/>
        <w:adjustRightInd w:val="0"/>
        <w:rPr>
          <w:rFonts w:ascii="Verdana" w:hAnsi="Verdana" w:cs="Courier New"/>
          <w:sz w:val="18"/>
          <w:szCs w:val="18"/>
        </w:rPr>
      </w:pPr>
    </w:p>
    <w:p w:rsidR="000C2622" w:rsidRPr="003067A5" w:rsidRDefault="000C2622" w:rsidP="000C2622">
      <w:pPr>
        <w:pStyle w:val="Plattetekst2"/>
        <w:tabs>
          <w:tab w:val="left" w:pos="709"/>
        </w:tabs>
        <w:outlineLvl w:val="0"/>
        <w:rPr>
          <w:rFonts w:ascii="Verdana" w:hAnsi="Verdana"/>
          <w:b/>
          <w:iCs/>
          <w:sz w:val="18"/>
          <w:szCs w:val="18"/>
        </w:rPr>
      </w:pPr>
      <w:r w:rsidRPr="003067A5">
        <w:rPr>
          <w:rFonts w:ascii="Verdana" w:hAnsi="Verdana"/>
          <w:b/>
          <w:iCs/>
          <w:sz w:val="18"/>
          <w:szCs w:val="18"/>
        </w:rPr>
        <w:t xml:space="preserve">Buitenlandse Handel en Ontwikkelingssamenwerking (XVII): </w:t>
      </w:r>
    </w:p>
    <w:p w:rsidR="000C2622" w:rsidRPr="003067A5" w:rsidRDefault="000C2622" w:rsidP="000C2622">
      <w:pPr>
        <w:pStyle w:val="Plattetekst2"/>
        <w:tabs>
          <w:tab w:val="left" w:pos="709"/>
        </w:tabs>
        <w:outlineLvl w:val="0"/>
        <w:rPr>
          <w:rFonts w:ascii="Verdana" w:hAnsi="Verdana"/>
          <w:b/>
          <w:iCs/>
          <w:sz w:val="18"/>
          <w:szCs w:val="18"/>
        </w:rPr>
      </w:pP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hAnsi="Verdana"/>
          <w:iCs/>
          <w:sz w:val="18"/>
          <w:szCs w:val="18"/>
        </w:rPr>
        <w:t xml:space="preserve">Vanwege de demissionaire status van het kabinet had de voorjaarsbesluitvorming een bijzonder karakter dit jaar. Uitgangspunt daarbij is dat het kabinet geen nieuw beleid meer voorbereidt maar wel zorg draagt voor de </w:t>
      </w:r>
      <w:proofErr w:type="spellStart"/>
      <w:r w:rsidRPr="003067A5">
        <w:rPr>
          <w:rFonts w:ascii="Verdana" w:hAnsi="Verdana"/>
          <w:iCs/>
          <w:sz w:val="18"/>
          <w:szCs w:val="18"/>
        </w:rPr>
        <w:t>continuiteit</w:t>
      </w:r>
      <w:proofErr w:type="spellEnd"/>
      <w:r w:rsidRPr="003067A5">
        <w:rPr>
          <w:rFonts w:ascii="Verdana" w:hAnsi="Verdana"/>
          <w:iCs/>
          <w:sz w:val="18"/>
          <w:szCs w:val="18"/>
        </w:rPr>
        <w:t xml:space="preserve"> van de lopende processen.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hAnsi="Verdana"/>
          <w:iCs/>
          <w:sz w:val="18"/>
          <w:szCs w:val="18"/>
        </w:rPr>
        <w:t>De uitgaven voor 2017 worden verhoogd met EUR 509,7 miljoen waarvan hieronder de belangrijkste suppletoire mutaties worden weergegeven.</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b/>
          <w:iCs/>
          <w:sz w:val="18"/>
          <w:szCs w:val="18"/>
        </w:rPr>
      </w:pPr>
      <w:r w:rsidRPr="003067A5">
        <w:rPr>
          <w:rFonts w:ascii="Verdana" w:hAnsi="Verdana"/>
          <w:b/>
          <w:iCs/>
          <w:sz w:val="18"/>
          <w:szCs w:val="18"/>
        </w:rPr>
        <w:t>Veiligheid, migratiesamenwerking en opvang in de regio</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hAnsi="Verdana"/>
          <w:iCs/>
          <w:sz w:val="18"/>
          <w:szCs w:val="18"/>
        </w:rPr>
        <w:t>Het kabinet heeft voor Buitenlandse Zaken en  Buitenlandse Handel en Ontwikkelingssamenwerking samen incidenteel  in 2017  EUR 50 miljoen beschikbaar gesteld waarvan EUR 10 miljoen voor veiligheid en stabiliteit op de BZ begroting en EUR 40 miljoen voor veiligheid, migratiesamenwerking en opvang in de regio op de BHOS begroting.</w:t>
      </w:r>
      <w:r w:rsidRPr="003067A5" w:rsidDel="0040285D">
        <w:rPr>
          <w:rFonts w:ascii="Verdana" w:hAnsi="Verdana"/>
          <w:iCs/>
          <w:sz w:val="18"/>
          <w:szCs w:val="18"/>
        </w:rPr>
        <w:t xml:space="preserve"> </w:t>
      </w:r>
      <w:r w:rsidRPr="003067A5">
        <w:rPr>
          <w:rFonts w:ascii="Verdana" w:hAnsi="Verdana"/>
          <w:iCs/>
          <w:sz w:val="18"/>
          <w:szCs w:val="18"/>
        </w:rPr>
        <w:t xml:space="preserve">Hiermee wordt ingezet op het beperken van irreguliere migratie, het terugdringen van grensoverschrijdende criminaliteit en terreurdreiging, en de opvang van vluchtelingen in de regio.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b/>
          <w:iCs/>
          <w:sz w:val="18"/>
          <w:szCs w:val="18"/>
        </w:rPr>
      </w:pPr>
      <w:proofErr w:type="spellStart"/>
      <w:r w:rsidRPr="003067A5">
        <w:rPr>
          <w:rFonts w:ascii="Verdana" w:hAnsi="Verdana"/>
          <w:b/>
          <w:iCs/>
          <w:sz w:val="18"/>
          <w:szCs w:val="18"/>
        </w:rPr>
        <w:t>Eerstejaarsopvangkosten</w:t>
      </w:r>
      <w:proofErr w:type="spellEnd"/>
      <w:r w:rsidRPr="003067A5">
        <w:rPr>
          <w:rFonts w:ascii="Verdana" w:hAnsi="Verdana"/>
          <w:b/>
          <w:iCs/>
          <w:sz w:val="18"/>
          <w:szCs w:val="18"/>
        </w:rPr>
        <w:t xml:space="preserve"> asielzoekers</w:t>
      </w:r>
    </w:p>
    <w:p w:rsidR="000C2622"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r>
        <w:rPr>
          <w:rFonts w:ascii="Verdana" w:hAnsi="Verdana"/>
          <w:iCs/>
          <w:sz w:val="18"/>
          <w:szCs w:val="18"/>
        </w:rPr>
        <w:t xml:space="preserve">Bij de Najaarsnota 2016 is de raming voor de asielinstroom in 2016 verlaagd van 58.000 naar 33.000. De verlaging van de instroom in 2016 werkt door in 2017 en leidt tot een overboeking van EUR 170 miljoen van de Veiligheid en Justitie begroting naar de Buitenlandse Handel en Ontwikkelingssamenwerking begroting. Verder is de raming voor de instroom van asielzoekers in 2017 verlaagd van 42.000 naar 41.000. Dit leidt, samen met de reguliere jaarlijkse herijking van onder andere verblijfsduur en kostprijs, tot een neerwaartse  bijstelling van de ODA-toerekening van </w:t>
      </w:r>
      <w:proofErr w:type="spellStart"/>
      <w:r>
        <w:rPr>
          <w:rFonts w:ascii="Verdana" w:hAnsi="Verdana"/>
          <w:iCs/>
          <w:sz w:val="18"/>
          <w:szCs w:val="18"/>
        </w:rPr>
        <w:t>eerstejaarsopvangkosten</w:t>
      </w:r>
      <w:proofErr w:type="spellEnd"/>
      <w:r>
        <w:rPr>
          <w:rFonts w:ascii="Verdana" w:hAnsi="Verdana"/>
          <w:iCs/>
          <w:sz w:val="18"/>
          <w:szCs w:val="18"/>
        </w:rPr>
        <w:t xml:space="preserve"> asielinstroom 2017. Daarnaast heeft het kabinet EUR 75 miljoen vrijgemaakt ter dekking van de EUR 75 miljoen hogere kosten voor leegstand in de reguliere nacalculatie over 2016. Per saldo leidt tot een verhoging van de ODA-toerekening voor de </w:t>
      </w:r>
      <w:proofErr w:type="spellStart"/>
      <w:r>
        <w:rPr>
          <w:rFonts w:ascii="Verdana" w:hAnsi="Verdana"/>
          <w:iCs/>
          <w:sz w:val="18"/>
          <w:szCs w:val="18"/>
        </w:rPr>
        <w:t>eerstejaarsopvangkosten</w:t>
      </w:r>
      <w:proofErr w:type="spellEnd"/>
      <w:r>
        <w:rPr>
          <w:rFonts w:ascii="Verdana" w:hAnsi="Verdana"/>
          <w:iCs/>
          <w:sz w:val="18"/>
          <w:szCs w:val="18"/>
        </w:rPr>
        <w:t xml:space="preserve"> van asielzoekers in 2017 van 21,3 miljoen.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b/>
          <w:iCs/>
          <w:sz w:val="18"/>
          <w:szCs w:val="18"/>
        </w:rPr>
      </w:pPr>
      <w:r w:rsidRPr="003067A5">
        <w:rPr>
          <w:rFonts w:ascii="Verdana" w:hAnsi="Verdana"/>
          <w:b/>
          <w:iCs/>
          <w:sz w:val="18"/>
          <w:szCs w:val="18"/>
        </w:rPr>
        <w:t>Verbeteren concurrentiepositie van Nederland</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hAnsi="Verdana"/>
          <w:iCs/>
          <w:sz w:val="18"/>
          <w:szCs w:val="18"/>
        </w:rPr>
        <w:t xml:space="preserve">In de Miljoenennota 2017 heeft het kabinet structureel EUR 10 miljoen extra vrijgemaakt voor de versterking van de concurrentiepositie van Nederland. Dit bedrag wordt toegevoegd aan de BHOS begroting ten behoeve van de gezamenlijke uitvoering van het programma Global Stars door BHOS en EZ.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b/>
          <w:sz w:val="18"/>
          <w:szCs w:val="18"/>
        </w:rPr>
      </w:pPr>
      <w:r w:rsidRPr="003067A5">
        <w:rPr>
          <w:rFonts w:ascii="Verdana" w:hAnsi="Verdana"/>
          <w:b/>
          <w:sz w:val="18"/>
          <w:szCs w:val="18"/>
        </w:rPr>
        <w:t>Budget Internationale Veiligheid (BIV)</w:t>
      </w:r>
    </w:p>
    <w:p w:rsidR="000C2622" w:rsidRPr="003067A5" w:rsidRDefault="000C2622" w:rsidP="000C2622">
      <w:pPr>
        <w:pStyle w:val="Plattetekst2"/>
        <w:tabs>
          <w:tab w:val="left" w:pos="709"/>
        </w:tabs>
        <w:outlineLvl w:val="0"/>
        <w:rPr>
          <w:rFonts w:ascii="Verdana" w:hAnsi="Verdana"/>
          <w:sz w:val="18"/>
          <w:szCs w:val="18"/>
        </w:rPr>
      </w:pP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hAnsi="Verdana"/>
          <w:sz w:val="18"/>
          <w:szCs w:val="18"/>
        </w:rPr>
        <w:t>Zoals gebruikelijk wordt elk jaar vanuit het Budget Internationale Veiligheid (BIV) op de begroting van het Ministerie van Defensie EUR 30 miljoen overgeheveld naar de begroting van BHOS.</w:t>
      </w:r>
      <w:r w:rsidRPr="003067A5" w:rsidDel="001B177A">
        <w:rPr>
          <w:rFonts w:ascii="Verdana" w:hAnsi="Verdana"/>
          <w:sz w:val="18"/>
          <w:szCs w:val="18"/>
        </w:rPr>
        <w:t xml:space="preserve"> </w:t>
      </w:r>
      <w:r w:rsidRPr="003067A5">
        <w:rPr>
          <w:rFonts w:ascii="Verdana" w:hAnsi="Verdana"/>
          <w:sz w:val="18"/>
          <w:szCs w:val="18"/>
        </w:rPr>
        <w:t xml:space="preserve"> </w:t>
      </w:r>
      <w:r w:rsidRPr="003067A5">
        <w:rPr>
          <w:rFonts w:ascii="Verdana" w:hAnsi="Verdana"/>
          <w:sz w:val="18"/>
          <w:szCs w:val="18"/>
        </w:rPr>
        <w:br/>
        <w:t>Deze middelen worden ingezet voor activiteiten</w:t>
      </w:r>
      <w:r w:rsidRPr="003067A5" w:rsidDel="001B177A">
        <w:rPr>
          <w:rFonts w:ascii="Verdana" w:hAnsi="Verdana"/>
          <w:sz w:val="18"/>
          <w:szCs w:val="18"/>
        </w:rPr>
        <w:t xml:space="preserve"> </w:t>
      </w:r>
      <w:r w:rsidRPr="003067A5">
        <w:rPr>
          <w:rFonts w:ascii="Verdana" w:hAnsi="Verdana"/>
          <w:sz w:val="18"/>
          <w:szCs w:val="18"/>
        </w:rPr>
        <w:t xml:space="preserve">op het terrein van stabiliteit, veiligheidssectorhervorming, rechtstaatontwikkeling en capaciteitsopbouw.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pStyle w:val="Plattetekst2"/>
        <w:tabs>
          <w:tab w:val="left" w:pos="709"/>
        </w:tabs>
        <w:outlineLvl w:val="0"/>
        <w:rPr>
          <w:rFonts w:ascii="Verdana" w:hAnsi="Verdana" w:cs="Verdana"/>
          <w:b/>
          <w:sz w:val="18"/>
          <w:szCs w:val="18"/>
        </w:rPr>
      </w:pPr>
      <w:proofErr w:type="spellStart"/>
      <w:r w:rsidRPr="003067A5">
        <w:rPr>
          <w:rFonts w:ascii="Verdana" w:hAnsi="Verdana" w:cs="Verdana"/>
          <w:b/>
          <w:sz w:val="18"/>
          <w:szCs w:val="18"/>
        </w:rPr>
        <w:t>Invest</w:t>
      </w:r>
      <w:proofErr w:type="spellEnd"/>
      <w:r w:rsidRPr="003067A5">
        <w:rPr>
          <w:rFonts w:ascii="Verdana" w:hAnsi="Verdana" w:cs="Verdana"/>
          <w:b/>
          <w:sz w:val="18"/>
          <w:szCs w:val="18"/>
        </w:rPr>
        <w:t>-NL</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lang w:eastAsia="en-US"/>
        </w:rPr>
      </w:pPr>
      <w:r w:rsidRPr="003067A5">
        <w:rPr>
          <w:rFonts w:ascii="Verdana" w:hAnsi="Verdana"/>
          <w:sz w:val="18"/>
          <w:szCs w:val="18"/>
        </w:rPr>
        <w:t xml:space="preserve">Het kabinet heeft in 2017 besloten </w:t>
      </w:r>
      <w:proofErr w:type="spellStart"/>
      <w:r w:rsidRPr="003067A5">
        <w:rPr>
          <w:rFonts w:ascii="Verdana" w:hAnsi="Verdana"/>
          <w:sz w:val="18"/>
          <w:szCs w:val="18"/>
        </w:rPr>
        <w:t>Invest</w:t>
      </w:r>
      <w:proofErr w:type="spellEnd"/>
      <w:r w:rsidRPr="003067A5">
        <w:rPr>
          <w:rFonts w:ascii="Verdana" w:hAnsi="Verdana"/>
          <w:sz w:val="18"/>
          <w:szCs w:val="18"/>
        </w:rPr>
        <w:t xml:space="preserve">-NL op te richten om de doorgroei van (innovatieve) ondernemingen en investeringen in transitie-opgaven met de markt te bevorderen. Noodzakelijke expertises, instrumenten en eigen investeringskapitaal worden daarvoor bij </w:t>
      </w:r>
      <w:proofErr w:type="spellStart"/>
      <w:r w:rsidRPr="003067A5">
        <w:rPr>
          <w:rFonts w:ascii="Verdana" w:hAnsi="Verdana"/>
          <w:sz w:val="18"/>
          <w:szCs w:val="18"/>
        </w:rPr>
        <w:t>Invest</w:t>
      </w:r>
      <w:proofErr w:type="spellEnd"/>
      <w:r w:rsidRPr="003067A5">
        <w:rPr>
          <w:rFonts w:ascii="Verdana" w:hAnsi="Verdana"/>
          <w:sz w:val="18"/>
          <w:szCs w:val="18"/>
        </w:rPr>
        <w:t xml:space="preserve">-NL op één plek samengebracht in een professionele organisatie die herkenbaar is voor de markt. Voor de  ontwikkelkosten voor de internationale tak van </w:t>
      </w:r>
      <w:proofErr w:type="spellStart"/>
      <w:r w:rsidRPr="003067A5">
        <w:rPr>
          <w:rFonts w:ascii="Verdana" w:hAnsi="Verdana"/>
          <w:sz w:val="18"/>
          <w:szCs w:val="18"/>
        </w:rPr>
        <w:t>Invest</w:t>
      </w:r>
      <w:proofErr w:type="spellEnd"/>
      <w:r w:rsidRPr="003067A5">
        <w:rPr>
          <w:rFonts w:ascii="Verdana" w:hAnsi="Verdana"/>
          <w:sz w:val="18"/>
          <w:szCs w:val="18"/>
        </w:rPr>
        <w:t>-NL worden EUR 3 miljoen voor 2017 en vanaf 2018 jaarlijks EUR 9 miljoen beschikbaar gesteld. Voor de jaren 2017 en 2018 zijn deze middelen toegevoegd aan de begroting van het Ministerie van Economische Zaken, en zijn dus niet zichtbaar op de begroting van BHOS. Voor 2019 en verder wordt een reservering gemaakt op de aanvullende post algemeen van de Rijksbegroting.</w:t>
      </w:r>
    </w:p>
    <w:p w:rsidR="000C2622" w:rsidRPr="003067A5" w:rsidRDefault="000C2622" w:rsidP="000C2622">
      <w:pPr>
        <w:rPr>
          <w:rFonts w:ascii="Verdana" w:hAnsi="Verdana"/>
          <w:sz w:val="18"/>
          <w:szCs w:val="18"/>
        </w:rPr>
      </w:pPr>
    </w:p>
    <w:p w:rsidR="000C2622" w:rsidRPr="003067A5" w:rsidRDefault="000C2622" w:rsidP="000C2622">
      <w:pPr>
        <w:pStyle w:val="Plattetekst2"/>
        <w:tabs>
          <w:tab w:val="left" w:pos="709"/>
        </w:tabs>
        <w:outlineLvl w:val="0"/>
        <w:rPr>
          <w:rFonts w:ascii="Verdana" w:hAnsi="Verdana"/>
          <w:b/>
          <w:sz w:val="18"/>
          <w:szCs w:val="18"/>
        </w:rPr>
        <w:sectPr w:rsidR="000C2622" w:rsidRPr="003067A5" w:rsidSect="002F1819">
          <w:pgSz w:w="11907" w:h="16834"/>
          <w:pgMar w:top="1134" w:right="1134" w:bottom="1134" w:left="1134" w:header="709" w:footer="709" w:gutter="0"/>
          <w:cols w:space="708"/>
          <w:noEndnote/>
        </w:sectPr>
      </w:pPr>
    </w:p>
    <w:p w:rsidR="000C2622" w:rsidRDefault="000C2622" w:rsidP="000C2622">
      <w:pPr>
        <w:pStyle w:val="Plattetekst2"/>
        <w:tabs>
          <w:tab w:val="left" w:pos="709"/>
        </w:tabs>
        <w:outlineLvl w:val="0"/>
        <w:rPr>
          <w:rFonts w:ascii="Verdana" w:hAnsi="Verdana"/>
          <w:b/>
          <w:sz w:val="18"/>
          <w:szCs w:val="18"/>
        </w:rPr>
      </w:pPr>
    </w:p>
    <w:p w:rsidR="000C2622" w:rsidRPr="003067A5" w:rsidRDefault="000C2622" w:rsidP="000C2622">
      <w:pPr>
        <w:pStyle w:val="Plattetekst2"/>
        <w:numPr>
          <w:ilvl w:val="0"/>
          <w:numId w:val="10"/>
        </w:numPr>
        <w:tabs>
          <w:tab w:val="left" w:pos="709"/>
        </w:tabs>
        <w:outlineLvl w:val="0"/>
        <w:rPr>
          <w:rFonts w:ascii="Verdana" w:hAnsi="Verdana"/>
          <w:b/>
          <w:sz w:val="18"/>
          <w:szCs w:val="18"/>
        </w:rPr>
      </w:pPr>
      <w:r w:rsidRPr="003067A5">
        <w:rPr>
          <w:rFonts w:ascii="Verdana" w:hAnsi="Verdana"/>
          <w:b/>
          <w:sz w:val="18"/>
          <w:szCs w:val="18"/>
        </w:rPr>
        <w:t>Toelichting per beleidsartikel</w:t>
      </w:r>
    </w:p>
    <w:p w:rsidR="000C2622" w:rsidRPr="003067A5" w:rsidRDefault="000C2622" w:rsidP="000C2622">
      <w:pPr>
        <w:pStyle w:val="Plattetekst2"/>
        <w:tabs>
          <w:tab w:val="left" w:pos="709"/>
        </w:tabs>
        <w:ind w:left="360"/>
        <w:outlineLvl w:val="0"/>
        <w:rPr>
          <w:rFonts w:ascii="Verdana" w:hAnsi="Verdana"/>
          <w:b/>
          <w:sz w:val="18"/>
          <w:szCs w:val="18"/>
        </w:rPr>
      </w:pPr>
    </w:p>
    <w:p w:rsidR="000C2622" w:rsidRPr="003067A5" w:rsidRDefault="000C2622" w:rsidP="000C2622">
      <w:pPr>
        <w:rPr>
          <w:rFonts w:ascii="Verdana" w:hAnsi="Verdana"/>
          <w:b/>
          <w:sz w:val="18"/>
          <w:szCs w:val="18"/>
        </w:rPr>
      </w:pPr>
      <w:r w:rsidRPr="003067A5">
        <w:rPr>
          <w:rFonts w:ascii="Verdana" w:hAnsi="Verdana"/>
          <w:b/>
          <w:sz w:val="18"/>
          <w:szCs w:val="18"/>
        </w:rPr>
        <w:t>Beleidsartikel 1</w:t>
      </w:r>
    </w:p>
    <w:p w:rsidR="000C2622" w:rsidRPr="003067A5" w:rsidRDefault="000C2622" w:rsidP="000C2622">
      <w:pPr>
        <w:rPr>
          <w:rFonts w:ascii="Verdana" w:hAnsi="Verdana"/>
          <w:b/>
          <w:sz w:val="18"/>
          <w:szCs w:val="18"/>
        </w:rPr>
      </w:pPr>
      <w:r w:rsidRPr="003067A5">
        <w:rPr>
          <w:rFonts w:ascii="Verdana" w:hAnsi="Verdana"/>
          <w:b/>
          <w:sz w:val="18"/>
          <w:szCs w:val="18"/>
        </w:rPr>
        <w:t xml:space="preserve"> </w:t>
      </w:r>
    </w:p>
    <w:tbl>
      <w:tblPr>
        <w:tblW w:w="5036" w:type="pct"/>
        <w:tblLayout w:type="fixed"/>
        <w:tblCellMar>
          <w:left w:w="70" w:type="dxa"/>
          <w:right w:w="70" w:type="dxa"/>
        </w:tblCellMar>
        <w:tblLook w:val="04A0" w:firstRow="1" w:lastRow="0" w:firstColumn="1" w:lastColumn="0" w:noHBand="0" w:noVBand="1"/>
      </w:tblPr>
      <w:tblGrid>
        <w:gridCol w:w="1061"/>
        <w:gridCol w:w="2275"/>
        <w:gridCol w:w="1982"/>
        <w:gridCol w:w="992"/>
        <w:gridCol w:w="995"/>
        <w:gridCol w:w="1132"/>
        <w:gridCol w:w="1274"/>
        <w:gridCol w:w="1135"/>
        <w:gridCol w:w="992"/>
        <w:gridCol w:w="1043"/>
        <w:gridCol w:w="939"/>
        <w:gridCol w:w="992"/>
      </w:tblGrid>
      <w:tr w:rsidR="000C2622" w:rsidRPr="00F33C7F" w:rsidTr="00602BE7">
        <w:trPr>
          <w:trHeight w:val="210"/>
        </w:trPr>
        <w:tc>
          <w:tcPr>
            <w:tcW w:w="1126" w:type="pct"/>
            <w:gridSpan w:val="2"/>
            <w:tcBorders>
              <w:top w:val="single" w:sz="4" w:space="0" w:color="auto"/>
              <w:left w:val="single" w:sz="4" w:space="0" w:color="auto"/>
              <w:bottom w:val="nil"/>
              <w:right w:val="nil"/>
            </w:tcBorders>
            <w:shd w:val="clear" w:color="auto" w:fill="auto"/>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Beleidsartikel 1 Duurzame handel en</w:t>
            </w:r>
          </w:p>
        </w:tc>
        <w:tc>
          <w:tcPr>
            <w:tcW w:w="669" w:type="pct"/>
            <w:tcBorders>
              <w:top w:val="single" w:sz="4" w:space="0" w:color="auto"/>
              <w:left w:val="nil"/>
              <w:bottom w:val="nil"/>
              <w:right w:val="nil"/>
            </w:tcBorders>
            <w:shd w:val="clear" w:color="auto" w:fill="auto"/>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single" w:sz="4" w:space="0" w:color="auto"/>
              <w:left w:val="single" w:sz="4" w:space="0" w:color="auto"/>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Stand</w:t>
            </w:r>
          </w:p>
        </w:tc>
        <w:tc>
          <w:tcPr>
            <w:tcW w:w="336"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Mutaties via</w:t>
            </w:r>
          </w:p>
        </w:tc>
        <w:tc>
          <w:tcPr>
            <w:tcW w:w="382"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Vastgestelde</w:t>
            </w:r>
          </w:p>
        </w:tc>
        <w:tc>
          <w:tcPr>
            <w:tcW w:w="430"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Mutaties </w:t>
            </w:r>
          </w:p>
        </w:tc>
        <w:tc>
          <w:tcPr>
            <w:tcW w:w="383"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Stand</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Mutaties </w:t>
            </w:r>
          </w:p>
        </w:tc>
        <w:tc>
          <w:tcPr>
            <w:tcW w:w="352"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Mutaties </w:t>
            </w:r>
          </w:p>
        </w:tc>
        <w:tc>
          <w:tcPr>
            <w:tcW w:w="317"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Mutaties</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Mutaties </w:t>
            </w:r>
          </w:p>
        </w:tc>
      </w:tr>
      <w:tr w:rsidR="000C2622" w:rsidRPr="00F33C7F" w:rsidTr="00602BE7">
        <w:trPr>
          <w:trHeight w:val="200"/>
        </w:trPr>
        <w:tc>
          <w:tcPr>
            <w:tcW w:w="1126" w:type="pct"/>
            <w:gridSpan w:val="2"/>
            <w:tcBorders>
              <w:top w:val="nil"/>
              <w:left w:val="single" w:sz="4" w:space="0" w:color="auto"/>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investeringen</w:t>
            </w:r>
          </w:p>
        </w:tc>
        <w:tc>
          <w:tcPr>
            <w:tcW w:w="669" w:type="pct"/>
            <w:tcBorders>
              <w:top w:val="nil"/>
              <w:left w:val="nil"/>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p>
        </w:tc>
        <w:tc>
          <w:tcPr>
            <w:tcW w:w="335" w:type="pct"/>
            <w:tcBorders>
              <w:top w:val="nil"/>
              <w:left w:val="single" w:sz="4" w:space="0" w:color="auto"/>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ontwerp-</w:t>
            </w:r>
          </w:p>
        </w:tc>
        <w:tc>
          <w:tcPr>
            <w:tcW w:w="336"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proofErr w:type="spellStart"/>
            <w:r w:rsidRPr="00F33C7F">
              <w:rPr>
                <w:rFonts w:ascii="Verdana" w:hAnsi="Verdana" w:cs="Arial"/>
                <w:sz w:val="12"/>
                <w:szCs w:val="12"/>
                <w:lang w:eastAsia="nl-NL"/>
              </w:rPr>
              <w:t>amende</w:t>
            </w:r>
            <w:proofErr w:type="spellEnd"/>
            <w:r w:rsidRPr="00F33C7F">
              <w:rPr>
                <w:rFonts w:ascii="Verdana" w:hAnsi="Verdana" w:cs="Arial"/>
                <w:sz w:val="12"/>
                <w:szCs w:val="12"/>
                <w:lang w:eastAsia="nl-NL"/>
              </w:rPr>
              <w:t>-</w:t>
            </w:r>
          </w:p>
        </w:tc>
        <w:tc>
          <w:tcPr>
            <w:tcW w:w="38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430"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c>
          <w:tcPr>
            <w:tcW w:w="383"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c>
          <w:tcPr>
            <w:tcW w:w="35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c>
          <w:tcPr>
            <w:tcW w:w="317"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1e suppletoire</w:t>
            </w:r>
          </w:p>
        </w:tc>
      </w:tr>
      <w:tr w:rsidR="000C2622" w:rsidRPr="00F33C7F" w:rsidTr="00602BE7">
        <w:trPr>
          <w:trHeight w:val="200"/>
        </w:trPr>
        <w:tc>
          <w:tcPr>
            <w:tcW w:w="1126" w:type="pct"/>
            <w:gridSpan w:val="2"/>
            <w:tcBorders>
              <w:top w:val="nil"/>
              <w:left w:val="single" w:sz="4" w:space="0" w:color="auto"/>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Bedragen in EUR 1 000</w:t>
            </w:r>
          </w:p>
        </w:tc>
        <w:tc>
          <w:tcPr>
            <w:tcW w:w="669" w:type="pct"/>
            <w:tcBorders>
              <w:top w:val="nil"/>
              <w:left w:val="nil"/>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p>
        </w:tc>
        <w:tc>
          <w:tcPr>
            <w:tcW w:w="335" w:type="pct"/>
            <w:tcBorders>
              <w:top w:val="nil"/>
              <w:left w:val="single" w:sz="4" w:space="0" w:color="auto"/>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36"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proofErr w:type="spellStart"/>
            <w:r w:rsidRPr="00F33C7F">
              <w:rPr>
                <w:rFonts w:ascii="Verdana" w:hAnsi="Verdana" w:cs="Arial"/>
                <w:sz w:val="12"/>
                <w:szCs w:val="12"/>
                <w:lang w:eastAsia="nl-NL"/>
              </w:rPr>
              <w:t>menten</w:t>
            </w:r>
            <w:proofErr w:type="spellEnd"/>
          </w:p>
        </w:tc>
        <w:tc>
          <w:tcPr>
            <w:tcW w:w="38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83"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5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17"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begroting</w:t>
            </w:r>
          </w:p>
        </w:tc>
      </w:tr>
      <w:tr w:rsidR="000C2622" w:rsidRPr="00F33C7F" w:rsidTr="00602BE7">
        <w:trPr>
          <w:trHeight w:val="200"/>
        </w:trPr>
        <w:tc>
          <w:tcPr>
            <w:tcW w:w="358" w:type="pct"/>
            <w:tcBorders>
              <w:top w:val="nil"/>
              <w:left w:val="single" w:sz="4" w:space="0" w:color="auto"/>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p>
        </w:tc>
        <w:tc>
          <w:tcPr>
            <w:tcW w:w="669" w:type="pct"/>
            <w:tcBorders>
              <w:top w:val="nil"/>
              <w:left w:val="nil"/>
              <w:bottom w:val="nil"/>
              <w:right w:val="nil"/>
            </w:tcBorders>
            <w:shd w:val="clear" w:color="auto" w:fill="auto"/>
            <w:noWrap/>
            <w:vAlign w:val="bottom"/>
            <w:hideMark/>
          </w:tcPr>
          <w:p w:rsidR="000C2622" w:rsidRPr="00F33C7F" w:rsidRDefault="000C2622" w:rsidP="00602BE7">
            <w:pPr>
              <w:rPr>
                <w:sz w:val="12"/>
                <w:szCs w:val="12"/>
                <w:lang w:eastAsia="nl-NL"/>
              </w:rPr>
            </w:pPr>
          </w:p>
        </w:tc>
        <w:tc>
          <w:tcPr>
            <w:tcW w:w="335" w:type="pct"/>
            <w:tcBorders>
              <w:top w:val="nil"/>
              <w:left w:val="single" w:sz="4" w:space="0" w:color="auto"/>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36"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83"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5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17"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xml:space="preserve"> </w:t>
            </w:r>
          </w:p>
        </w:tc>
      </w:tr>
      <w:tr w:rsidR="000C2622" w:rsidRPr="00F33C7F" w:rsidTr="00602BE7">
        <w:trPr>
          <w:trHeight w:val="200"/>
        </w:trPr>
        <w:tc>
          <w:tcPr>
            <w:tcW w:w="358" w:type="pct"/>
            <w:tcBorders>
              <w:top w:val="nil"/>
              <w:left w:val="single" w:sz="4" w:space="0" w:color="auto"/>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p>
        </w:tc>
        <w:tc>
          <w:tcPr>
            <w:tcW w:w="669" w:type="pct"/>
            <w:tcBorders>
              <w:top w:val="nil"/>
              <w:left w:val="nil"/>
              <w:bottom w:val="nil"/>
              <w:right w:val="nil"/>
            </w:tcBorders>
            <w:shd w:val="clear" w:color="auto" w:fill="auto"/>
            <w:noWrap/>
            <w:vAlign w:val="bottom"/>
            <w:hideMark/>
          </w:tcPr>
          <w:p w:rsidR="000C2622" w:rsidRPr="00F33C7F" w:rsidRDefault="000C2622" w:rsidP="00602BE7">
            <w:pPr>
              <w:rPr>
                <w:sz w:val="12"/>
                <w:szCs w:val="12"/>
                <w:lang w:eastAsia="nl-NL"/>
              </w:rPr>
            </w:pPr>
          </w:p>
        </w:tc>
        <w:tc>
          <w:tcPr>
            <w:tcW w:w="335" w:type="pct"/>
            <w:tcBorders>
              <w:top w:val="nil"/>
              <w:left w:val="single" w:sz="4" w:space="0" w:color="auto"/>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2017</w:t>
            </w:r>
          </w:p>
        </w:tc>
        <w:tc>
          <w:tcPr>
            <w:tcW w:w="336"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2017</w:t>
            </w:r>
          </w:p>
        </w:tc>
        <w:tc>
          <w:tcPr>
            <w:tcW w:w="38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2017</w:t>
            </w:r>
          </w:p>
        </w:tc>
        <w:tc>
          <w:tcPr>
            <w:tcW w:w="430"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2017</w:t>
            </w:r>
          </w:p>
        </w:tc>
        <w:tc>
          <w:tcPr>
            <w:tcW w:w="383"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2017</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2018</w:t>
            </w:r>
          </w:p>
        </w:tc>
        <w:tc>
          <w:tcPr>
            <w:tcW w:w="352"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2019</w:t>
            </w:r>
          </w:p>
        </w:tc>
        <w:tc>
          <w:tcPr>
            <w:tcW w:w="317"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2020</w:t>
            </w:r>
          </w:p>
        </w:tc>
        <w:tc>
          <w:tcPr>
            <w:tcW w:w="335" w:type="pct"/>
            <w:tcBorders>
              <w:top w:val="nil"/>
              <w:left w:val="nil"/>
              <w:bottom w:val="nil"/>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2021</w:t>
            </w:r>
          </w:p>
        </w:tc>
      </w:tr>
      <w:tr w:rsidR="000C2622" w:rsidRPr="00F33C7F" w:rsidTr="00602BE7">
        <w:trPr>
          <w:trHeight w:val="200"/>
        </w:trPr>
        <w:tc>
          <w:tcPr>
            <w:tcW w:w="358" w:type="pct"/>
            <w:tcBorders>
              <w:top w:val="nil"/>
              <w:left w:val="single" w:sz="4" w:space="0" w:color="auto"/>
              <w:bottom w:val="single" w:sz="4" w:space="0" w:color="auto"/>
              <w:right w:val="nil"/>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nil"/>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(1)</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(2)</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(3)=(1+2)</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(4)</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(5)=(3+4)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cente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r>
      <w:tr w:rsidR="000C2622" w:rsidRPr="00F33C7F" w:rsidTr="00602BE7">
        <w:trPr>
          <w:trHeight w:val="200"/>
        </w:trPr>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Verplichtingen</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242 591</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242 591</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306 433</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549 024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184 210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180 210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180 210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180 319</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nil"/>
              <w:right w:val="nil"/>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waarvan garantieverplichtingen</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70 000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70 000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70 000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w:t>
            </w:r>
          </w:p>
        </w:tc>
      </w:tr>
      <w:tr w:rsidR="000C2622" w:rsidRPr="00F33C7F" w:rsidTr="00602BE7">
        <w:trPr>
          <w:trHeight w:val="25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single" w:sz="4" w:space="0" w:color="auto"/>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55"/>
        </w:trPr>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Uitgaven:</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19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7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Programma-uitgaven totaal</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496 986</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496 986</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20 576</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517 562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16 249</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17 714</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10 591</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7 700</w:t>
            </w:r>
          </w:p>
        </w:tc>
      </w:tr>
      <w:tr w:rsidR="000C2622" w:rsidRPr="00F33C7F" w:rsidTr="00602BE7">
        <w:trPr>
          <w:trHeight w:val="27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waarvan juridisch verplicht</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100%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r>
      <w:tr w:rsidR="000C2622" w:rsidRPr="00F33C7F" w:rsidTr="00602BE7">
        <w:trPr>
          <w:trHeight w:val="36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450"/>
        </w:trPr>
        <w:tc>
          <w:tcPr>
            <w:tcW w:w="358" w:type="pct"/>
            <w:tcBorders>
              <w:top w:val="nil"/>
              <w:left w:val="single" w:sz="4" w:space="0" w:color="auto"/>
              <w:bottom w:val="single" w:sz="4" w:space="0" w:color="auto"/>
              <w:right w:val="single" w:sz="4" w:space="0" w:color="auto"/>
            </w:tcBorders>
            <w:shd w:val="clear" w:color="auto" w:fill="auto"/>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1.1</w:t>
            </w:r>
          </w:p>
        </w:tc>
        <w:tc>
          <w:tcPr>
            <w:tcW w:w="1437" w:type="pct"/>
            <w:gridSpan w:val="2"/>
            <w:tcBorders>
              <w:top w:val="single" w:sz="4" w:space="0" w:color="auto"/>
              <w:left w:val="nil"/>
              <w:bottom w:val="single" w:sz="4" w:space="0" w:color="auto"/>
              <w:right w:val="single" w:sz="4" w:space="0" w:color="auto"/>
            </w:tcBorders>
            <w:shd w:val="clear" w:color="auto" w:fill="auto"/>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Versterkt internationaal handelssysteem, met aandacht voor Maatschappelijk  Verantwoord Ondernemen</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11 440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11 440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7 043</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18 483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891</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891</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109</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Opdrachten</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nil"/>
              <w:right w:val="nil"/>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Beleidsondersteuning internationaal ondernemen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2 794</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2 794</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971</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3 765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Bijdrage (</w:t>
            </w:r>
            <w:proofErr w:type="spellStart"/>
            <w:r w:rsidRPr="00F33C7F">
              <w:rPr>
                <w:rFonts w:ascii="Verdana" w:hAnsi="Verdana" w:cs="Arial"/>
                <w:i/>
                <w:iCs/>
                <w:sz w:val="12"/>
                <w:szCs w:val="12"/>
                <w:lang w:eastAsia="nl-NL"/>
              </w:rPr>
              <w:t>inter</w:t>
            </w:r>
            <w:proofErr w:type="spellEnd"/>
            <w:r w:rsidRPr="00F33C7F">
              <w:rPr>
                <w:rFonts w:ascii="Verdana" w:hAnsi="Verdana" w:cs="Arial"/>
                <w:i/>
                <w:iCs/>
                <w:sz w:val="12"/>
                <w:szCs w:val="12"/>
                <w:lang w:eastAsia="nl-NL"/>
              </w:rPr>
              <w:t>)nationale organisaties</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nil"/>
              <w:right w:val="nil"/>
            </w:tcBorders>
            <w:shd w:val="clear" w:color="auto" w:fill="auto"/>
            <w:hideMark/>
          </w:tcPr>
          <w:p w:rsidR="000C2622" w:rsidRPr="00F33C7F" w:rsidRDefault="000C2622" w:rsidP="00602BE7">
            <w:pPr>
              <w:rPr>
                <w:rFonts w:ascii="Verdana" w:hAnsi="Verdana" w:cs="Arial"/>
                <w:sz w:val="12"/>
                <w:szCs w:val="12"/>
                <w:lang w:val="fr-FR" w:eastAsia="nl-NL"/>
              </w:rPr>
            </w:pPr>
            <w:proofErr w:type="spellStart"/>
            <w:r w:rsidRPr="00F33C7F">
              <w:rPr>
                <w:rFonts w:ascii="Verdana" w:hAnsi="Verdana" w:cs="Arial"/>
                <w:sz w:val="12"/>
                <w:szCs w:val="12"/>
                <w:lang w:val="fr-FR" w:eastAsia="nl-NL"/>
              </w:rPr>
              <w:t>Contributies</w:t>
            </w:r>
            <w:proofErr w:type="spellEnd"/>
            <w:r w:rsidRPr="00F33C7F">
              <w:rPr>
                <w:rFonts w:ascii="Verdana" w:hAnsi="Verdana" w:cs="Arial"/>
                <w:sz w:val="12"/>
                <w:szCs w:val="12"/>
                <w:lang w:val="fr-FR" w:eastAsia="nl-NL"/>
              </w:rPr>
              <w:t xml:space="preserve"> </w:t>
            </w:r>
            <w:proofErr w:type="spellStart"/>
            <w:r w:rsidRPr="00F33C7F">
              <w:rPr>
                <w:rFonts w:ascii="Verdana" w:hAnsi="Verdana" w:cs="Arial"/>
                <w:sz w:val="12"/>
                <w:szCs w:val="12"/>
                <w:lang w:val="fr-FR" w:eastAsia="nl-NL"/>
              </w:rPr>
              <w:t>internationaal</w:t>
            </w:r>
            <w:proofErr w:type="spellEnd"/>
            <w:r w:rsidRPr="00F33C7F">
              <w:rPr>
                <w:rFonts w:ascii="Verdana" w:hAnsi="Verdana" w:cs="Arial"/>
                <w:sz w:val="12"/>
                <w:szCs w:val="12"/>
                <w:lang w:val="fr-FR" w:eastAsia="nl-NL"/>
              </w:rPr>
              <w:t xml:space="preserve"> </w:t>
            </w:r>
            <w:proofErr w:type="spellStart"/>
            <w:r w:rsidRPr="00F33C7F">
              <w:rPr>
                <w:rFonts w:ascii="Verdana" w:hAnsi="Verdana" w:cs="Arial"/>
                <w:sz w:val="12"/>
                <w:szCs w:val="12"/>
                <w:lang w:val="fr-FR" w:eastAsia="nl-NL"/>
              </w:rPr>
              <w:t>ondernemen</w:t>
            </w:r>
            <w:proofErr w:type="spellEnd"/>
            <w:r w:rsidRPr="00F33C7F">
              <w:rPr>
                <w:rFonts w:ascii="Verdana" w:hAnsi="Verdana" w:cs="Arial"/>
                <w:sz w:val="12"/>
                <w:szCs w:val="12"/>
                <w:lang w:val="fr-FR" w:eastAsia="nl-NL"/>
              </w:rPr>
              <w:t xml:space="preserve">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val="fr-FR" w:eastAsia="nl-NL"/>
              </w:rPr>
              <w:t xml:space="preserve"> </w:t>
            </w:r>
            <w:r w:rsidRPr="00F33C7F">
              <w:rPr>
                <w:rFonts w:ascii="Verdana" w:hAnsi="Verdana" w:cs="Arial"/>
                <w:sz w:val="12"/>
                <w:szCs w:val="12"/>
                <w:lang w:eastAsia="nl-NL"/>
              </w:rPr>
              <w:t>5 670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5 670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5 670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single" w:sz="4" w:space="0" w:color="auto"/>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Maatschappelijk verantwoord ondernemen</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2 976</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2 976</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6 072</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9 048</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45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1.2</w:t>
            </w:r>
          </w:p>
        </w:tc>
        <w:tc>
          <w:tcPr>
            <w:tcW w:w="1437" w:type="pct"/>
            <w:gridSpan w:val="2"/>
            <w:tcBorders>
              <w:top w:val="single" w:sz="4" w:space="0" w:color="auto"/>
              <w:left w:val="nil"/>
              <w:bottom w:val="single" w:sz="4" w:space="0" w:color="auto"/>
              <w:right w:val="single" w:sz="4" w:space="0" w:color="auto"/>
            </w:tcBorders>
            <w:shd w:val="clear" w:color="auto" w:fill="auto"/>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Versterkte Nederlandse Handels- en Investeringspositie en economische naamsbekendheid</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82 667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82 667</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9 888</w:t>
            </w:r>
          </w:p>
        </w:tc>
        <w:tc>
          <w:tcPr>
            <w:tcW w:w="383" w:type="pct"/>
            <w:tcBorders>
              <w:top w:val="nil"/>
              <w:left w:val="nil"/>
              <w:bottom w:val="single" w:sz="4" w:space="0" w:color="auto"/>
              <w:right w:val="single" w:sz="4" w:space="0" w:color="auto"/>
            </w:tcBorders>
            <w:shd w:val="clear" w:color="000000" w:fill="FFFFFF"/>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92 555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13 895</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14 900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8 902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8 902</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Subsidies</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nil"/>
              <w:right w:val="nil"/>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Starters International Business (SIB)/ Programma Strategische Beurzen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5 200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5 200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1 200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6 400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lastRenderedPageBreak/>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nil"/>
              <w:right w:val="nil"/>
            </w:tcBorders>
            <w:shd w:val="clear" w:color="auto" w:fill="auto"/>
            <w:vAlign w:val="bottom"/>
            <w:hideMark/>
          </w:tcPr>
          <w:p w:rsidR="000C2622" w:rsidRPr="00F33C7F" w:rsidRDefault="000C2622" w:rsidP="00602BE7">
            <w:pPr>
              <w:rPr>
                <w:rFonts w:ascii="Verdana" w:hAnsi="Verdana" w:cs="Arial"/>
                <w:sz w:val="12"/>
                <w:szCs w:val="12"/>
                <w:lang w:val="en-US" w:eastAsia="nl-NL"/>
              </w:rPr>
            </w:pPr>
            <w:r w:rsidRPr="00F33C7F">
              <w:rPr>
                <w:rFonts w:ascii="Verdana" w:hAnsi="Verdana" w:cs="Arial"/>
                <w:sz w:val="12"/>
                <w:szCs w:val="12"/>
                <w:lang w:val="en-US" w:eastAsia="nl-NL"/>
              </w:rPr>
              <w:t>Partners for International Business (PIB)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val="en-US" w:eastAsia="nl-NL"/>
              </w:rPr>
              <w:t xml:space="preserve"> </w:t>
            </w:r>
            <w:r w:rsidRPr="00F33C7F">
              <w:rPr>
                <w:rFonts w:ascii="Verdana" w:hAnsi="Verdana" w:cs="Arial"/>
                <w:sz w:val="12"/>
                <w:szCs w:val="12"/>
                <w:lang w:eastAsia="nl-NL"/>
              </w:rPr>
              <w:t>8 000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8 000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115</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7 885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43"/>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single" w:sz="4" w:space="0" w:color="auto"/>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Sport en OS</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1 100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1 100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1 100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proofErr w:type="spellStart"/>
            <w:r w:rsidRPr="00F33C7F">
              <w:rPr>
                <w:rFonts w:ascii="Verdana" w:hAnsi="Verdana" w:cs="Arial"/>
                <w:sz w:val="12"/>
                <w:szCs w:val="12"/>
                <w:lang w:eastAsia="nl-NL"/>
              </w:rPr>
              <w:t>Demontratieprojecten</w:t>
            </w:r>
            <w:proofErr w:type="spellEnd"/>
            <w:r w:rsidRPr="00F33C7F">
              <w:rPr>
                <w:rFonts w:ascii="Verdana" w:hAnsi="Verdana" w:cs="Arial"/>
                <w:sz w:val="12"/>
                <w:szCs w:val="12"/>
                <w:lang w:eastAsia="nl-NL"/>
              </w:rPr>
              <w:t>, haalbaarheidsstudies en investeringsstudies (DHI)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100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5 900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Overig Programmatische Aanpak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500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PSO 2g@there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500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val="en-US" w:eastAsia="nl-NL"/>
              </w:rPr>
            </w:pPr>
            <w:r w:rsidRPr="00F33C7F">
              <w:rPr>
                <w:rFonts w:ascii="Verdana" w:hAnsi="Verdana" w:cs="Arial"/>
                <w:sz w:val="12"/>
                <w:szCs w:val="12"/>
                <w:lang w:val="en-US" w:eastAsia="nl-NL"/>
              </w:rPr>
              <w:t>Dutch Trade and Investment Fund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val="en-US" w:eastAsia="nl-NL"/>
              </w:rPr>
              <w:t xml:space="preserve"> </w:t>
            </w:r>
            <w:r w:rsidRPr="00F33C7F">
              <w:rPr>
                <w:rFonts w:ascii="Verdana" w:hAnsi="Verdana" w:cs="Arial"/>
                <w:sz w:val="12"/>
                <w:szCs w:val="12"/>
                <w:lang w:eastAsia="nl-NL"/>
              </w:rPr>
              <w:t>20 643</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20 643</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20 643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Versterking concurrentiepositie Nederland</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9 200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9 200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Leningen</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45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nil"/>
              <w:right w:val="nil"/>
            </w:tcBorders>
            <w:shd w:val="clear" w:color="auto" w:fill="auto"/>
            <w:hideMark/>
          </w:tcPr>
          <w:p w:rsidR="000C2622" w:rsidRPr="00F33C7F" w:rsidRDefault="000C2622" w:rsidP="00602BE7">
            <w:pPr>
              <w:rPr>
                <w:rFonts w:ascii="Verdana" w:hAnsi="Verdana" w:cs="Arial"/>
                <w:sz w:val="12"/>
                <w:szCs w:val="12"/>
                <w:lang w:val="en-US" w:eastAsia="nl-NL"/>
              </w:rPr>
            </w:pPr>
            <w:r w:rsidRPr="00F33C7F">
              <w:rPr>
                <w:rFonts w:ascii="Verdana" w:hAnsi="Verdana" w:cs="Arial"/>
                <w:sz w:val="12"/>
                <w:szCs w:val="12"/>
                <w:lang w:val="en-US" w:eastAsia="nl-NL"/>
              </w:rPr>
              <w:t>Finance for International Business (FIB)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val="en-US" w:eastAsia="nl-NL"/>
              </w:rPr>
              <w:t xml:space="preserve">  </w:t>
            </w:r>
            <w:r w:rsidRPr="00F33C7F">
              <w:rPr>
                <w:rFonts w:ascii="Verdana" w:hAnsi="Verdana" w:cs="Arial"/>
                <w:sz w:val="12"/>
                <w:szCs w:val="12"/>
                <w:lang w:eastAsia="nl-NL"/>
              </w:rPr>
              <w:t>900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900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single" w:sz="4" w:space="0" w:color="auto"/>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Bijdragen aan agentschappen</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i/>
                <w:iCs/>
                <w:sz w:val="12"/>
                <w:szCs w:val="12"/>
                <w:lang w:eastAsia="nl-NL"/>
              </w:rPr>
            </w:pPr>
            <w:r w:rsidRPr="00F33C7F">
              <w:rPr>
                <w:rFonts w:ascii="Verdana" w:hAnsi="Verdana" w:cs="Arial"/>
                <w:i/>
                <w:iCs/>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Rijksdienst voor Ondernemend Nederland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26 000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26 000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9 500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35 500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nil"/>
              <w:right w:val="nil"/>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Versterking economische functie (</w:t>
            </w:r>
            <w:proofErr w:type="spellStart"/>
            <w:r w:rsidRPr="00F33C7F">
              <w:rPr>
                <w:rFonts w:ascii="Verdana" w:hAnsi="Verdana" w:cs="Arial"/>
                <w:sz w:val="12"/>
                <w:szCs w:val="12"/>
                <w:lang w:eastAsia="nl-NL"/>
              </w:rPr>
              <w:t>NBSO's</w:t>
            </w:r>
            <w:proofErr w:type="spellEnd"/>
            <w:r w:rsidRPr="00F33C7F">
              <w:rPr>
                <w:rFonts w:ascii="Verdana" w:hAnsi="Verdana" w:cs="Arial"/>
                <w:sz w:val="12"/>
                <w:szCs w:val="12"/>
                <w:lang w:eastAsia="nl-NL"/>
              </w:rPr>
              <w:t xml:space="preserve"> via RVO) (non-ODA)</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5 927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5 927</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5 927</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color w:val="3366FF"/>
                <w:sz w:val="12"/>
                <w:szCs w:val="12"/>
                <w:lang w:eastAsia="nl-NL"/>
              </w:rPr>
            </w:pPr>
            <w:r w:rsidRPr="00F33C7F">
              <w:rPr>
                <w:rFonts w:ascii="Verdana" w:hAnsi="Verdana" w:cs="Arial"/>
                <w:color w:val="3366FF"/>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45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1.3</w:t>
            </w:r>
          </w:p>
        </w:tc>
        <w:tc>
          <w:tcPr>
            <w:tcW w:w="1437" w:type="pct"/>
            <w:gridSpan w:val="2"/>
            <w:tcBorders>
              <w:top w:val="single" w:sz="4" w:space="0" w:color="auto"/>
              <w:left w:val="nil"/>
              <w:bottom w:val="single" w:sz="4" w:space="0" w:color="auto"/>
              <w:right w:val="single" w:sz="4" w:space="0" w:color="auto"/>
            </w:tcBorders>
            <w:shd w:val="clear" w:color="auto" w:fill="auto"/>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Versterkte private sector en een verbeterd investeringsklimaat in ontwikkelingslanden</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294 379</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294 379</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3 645</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298 024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1 463</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1 923</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1 798</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- 1 202</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Subsidies</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Transitiefaciliteit</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168</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168</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685</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853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4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Marktontwikkeling in het kader van private sector development</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54 251</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54 251</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- 13 413</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40 838</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Wet en regelgeving</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1 000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6 000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proofErr w:type="spellStart"/>
            <w:r w:rsidRPr="00F33C7F">
              <w:rPr>
                <w:rFonts w:ascii="Verdana" w:hAnsi="Verdana" w:cs="Arial"/>
                <w:sz w:val="12"/>
                <w:szCs w:val="12"/>
                <w:lang w:eastAsia="nl-NL"/>
              </w:rPr>
              <w:t>Financiele</w:t>
            </w:r>
            <w:proofErr w:type="spellEnd"/>
            <w:r w:rsidRPr="00F33C7F">
              <w:rPr>
                <w:rFonts w:ascii="Verdana" w:hAnsi="Verdana" w:cs="Arial"/>
                <w:sz w:val="12"/>
                <w:szCs w:val="12"/>
                <w:lang w:eastAsia="nl-NL"/>
              </w:rPr>
              <w:t xml:space="preserve"> sectorontwikkeling</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26 338</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26 338</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- 1 338</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Versterking privaat ondernemerschap</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35 260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35 260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19 740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Infrastructuurontwikkeling</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75 587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75 587</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12 663</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88 250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xml:space="preserve">Samenwerking bedrijfsleven en </w:t>
            </w:r>
            <w:proofErr w:type="spellStart"/>
            <w:r w:rsidRPr="00F33C7F">
              <w:rPr>
                <w:rFonts w:ascii="Verdana" w:hAnsi="Verdana" w:cs="Arial"/>
                <w:sz w:val="12"/>
                <w:szCs w:val="12"/>
                <w:lang w:eastAsia="nl-NL"/>
              </w:rPr>
              <w:t>PPP's</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16 900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16 900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- 9 900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7 000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Versterking privaat ondernemerschap non-ODA</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2 794</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2 794</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594</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2 200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Technische assistentie DGGF</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10 800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10 800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- 2 800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8 000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Bijdragen aan agentschappen</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Rijksdienst voor Ondernemend Nederland</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42 355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42 355</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- 6 355</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36 000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Bijdragen (</w:t>
            </w:r>
            <w:proofErr w:type="spellStart"/>
            <w:r w:rsidRPr="00F33C7F">
              <w:rPr>
                <w:rFonts w:ascii="Verdana" w:hAnsi="Verdana" w:cs="Arial"/>
                <w:i/>
                <w:iCs/>
                <w:sz w:val="12"/>
                <w:szCs w:val="12"/>
                <w:lang w:eastAsia="nl-NL"/>
              </w:rPr>
              <w:t>inter</w:t>
            </w:r>
            <w:proofErr w:type="spellEnd"/>
            <w:r w:rsidRPr="00F33C7F">
              <w:rPr>
                <w:rFonts w:ascii="Verdana" w:hAnsi="Verdana" w:cs="Arial"/>
                <w:i/>
                <w:iCs/>
                <w:sz w:val="12"/>
                <w:szCs w:val="12"/>
                <w:lang w:eastAsia="nl-NL"/>
              </w:rPr>
              <w:t>)nationale organisaties</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lastRenderedPageBreak/>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xml:space="preserve">International Labour </w:t>
            </w:r>
            <w:proofErr w:type="spellStart"/>
            <w:r w:rsidRPr="00F33C7F">
              <w:rPr>
                <w:rFonts w:ascii="Verdana" w:hAnsi="Verdana" w:cs="Arial"/>
                <w:sz w:val="12"/>
                <w:szCs w:val="12"/>
                <w:lang w:eastAsia="nl-NL"/>
              </w:rPr>
              <w:t>Organization</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5 217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5 217</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516</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5 733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Partnershipprogramma ILO</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5 500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Landenprogramma's ondernemingsklimaat</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13 000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13 000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3 150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16 150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Bedrijfsmatige technische bijstand</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1 709</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1 709</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209</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1 500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975"/>
        </w:trPr>
        <w:tc>
          <w:tcPr>
            <w:tcW w:w="358" w:type="pct"/>
            <w:tcBorders>
              <w:top w:val="nil"/>
              <w:left w:val="single" w:sz="4" w:space="0" w:color="auto"/>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1.4</w:t>
            </w:r>
          </w:p>
        </w:tc>
        <w:tc>
          <w:tcPr>
            <w:tcW w:w="1437" w:type="pct"/>
            <w:gridSpan w:val="2"/>
            <w:tcBorders>
              <w:top w:val="single" w:sz="4" w:space="0" w:color="auto"/>
              <w:left w:val="nil"/>
              <w:bottom w:val="single" w:sz="4" w:space="0" w:color="auto"/>
              <w:right w:val="single" w:sz="4" w:space="0" w:color="auto"/>
            </w:tcBorders>
            <w:shd w:val="clear" w:color="auto" w:fill="auto"/>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xml:space="preserve">Dutch </w:t>
            </w:r>
            <w:proofErr w:type="spellStart"/>
            <w:r w:rsidRPr="00F33C7F">
              <w:rPr>
                <w:rFonts w:ascii="Verdana" w:hAnsi="Verdana" w:cs="Arial"/>
                <w:b/>
                <w:bCs/>
                <w:sz w:val="12"/>
                <w:szCs w:val="12"/>
                <w:lang w:eastAsia="nl-NL"/>
              </w:rPr>
              <w:t>Good</w:t>
            </w:r>
            <w:proofErr w:type="spellEnd"/>
            <w:r w:rsidRPr="00F33C7F">
              <w:rPr>
                <w:rFonts w:ascii="Verdana" w:hAnsi="Verdana" w:cs="Arial"/>
                <w:b/>
                <w:bCs/>
                <w:sz w:val="12"/>
                <w:szCs w:val="12"/>
                <w:lang w:eastAsia="nl-NL"/>
              </w:rPr>
              <w:t xml:space="preserve"> </w:t>
            </w:r>
            <w:proofErr w:type="spellStart"/>
            <w:r w:rsidRPr="00F33C7F">
              <w:rPr>
                <w:rFonts w:ascii="Verdana" w:hAnsi="Verdana" w:cs="Arial"/>
                <w:b/>
                <w:bCs/>
                <w:sz w:val="12"/>
                <w:szCs w:val="12"/>
                <w:lang w:eastAsia="nl-NL"/>
              </w:rPr>
              <w:t>Growth</w:t>
            </w:r>
            <w:proofErr w:type="spellEnd"/>
            <w:r w:rsidRPr="00F33C7F">
              <w:rPr>
                <w:rFonts w:ascii="Verdana" w:hAnsi="Verdana" w:cs="Arial"/>
                <w:b/>
                <w:bCs/>
                <w:sz w:val="12"/>
                <w:szCs w:val="12"/>
                <w:lang w:eastAsia="nl-NL"/>
              </w:rPr>
              <w:t xml:space="preserve"> Fund : intensivering van ontwikkelingsrelevante investeringen in en handel met ontwikkelingslanden door het Nederlandse en het lokale bedrijfsleven, met de focus op het MKB  en bij uitzondering en onder condities grootbedrijf</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108.500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108.500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108.500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Subsidies/Leningen/Garanties</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8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vAlign w:val="bottom"/>
            <w:hideMark/>
          </w:tcPr>
          <w:p w:rsidR="000C2622" w:rsidRPr="00F33C7F" w:rsidRDefault="000C2622" w:rsidP="00602BE7">
            <w:pPr>
              <w:rPr>
                <w:rFonts w:ascii="Verdana" w:hAnsi="Verdana" w:cs="Arial"/>
                <w:sz w:val="12"/>
                <w:szCs w:val="12"/>
                <w:lang w:val="en-US" w:eastAsia="nl-NL"/>
              </w:rPr>
            </w:pPr>
            <w:proofErr w:type="spellStart"/>
            <w:r w:rsidRPr="00F33C7F">
              <w:rPr>
                <w:rFonts w:ascii="Verdana" w:hAnsi="Verdana" w:cs="Arial"/>
                <w:sz w:val="12"/>
                <w:szCs w:val="12"/>
                <w:lang w:val="en-US" w:eastAsia="nl-NL"/>
              </w:rPr>
              <w:t>programma's</w:t>
            </w:r>
            <w:proofErr w:type="spellEnd"/>
            <w:r w:rsidRPr="00F33C7F">
              <w:rPr>
                <w:rFonts w:ascii="Verdana" w:hAnsi="Verdana" w:cs="Arial"/>
                <w:sz w:val="12"/>
                <w:szCs w:val="12"/>
                <w:lang w:val="en-US" w:eastAsia="nl-NL"/>
              </w:rPr>
              <w:t xml:space="preserve"> Dutch Good Growth Fund</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val="en-US" w:eastAsia="nl-NL"/>
              </w:rPr>
              <w:t xml:space="preserve"> </w:t>
            </w:r>
            <w:r w:rsidRPr="00F33C7F">
              <w:rPr>
                <w:rFonts w:ascii="Verdana" w:hAnsi="Verdana" w:cs="Arial"/>
                <w:sz w:val="12"/>
                <w:szCs w:val="12"/>
                <w:lang w:eastAsia="nl-NL"/>
              </w:rPr>
              <w:t>108 500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108 500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108 500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2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Ontvangsten</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23.126</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0</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23.126</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- 10 000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13.126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b/>
                <w:bCs/>
                <w:sz w:val="12"/>
                <w:szCs w:val="12"/>
                <w:lang w:eastAsia="nl-NL"/>
              </w:rPr>
            </w:pPr>
            <w:r w:rsidRPr="00F33C7F">
              <w:rPr>
                <w:rFonts w:ascii="Verdana" w:hAnsi="Verdana" w:cs="Arial"/>
                <w:b/>
                <w:bCs/>
                <w:sz w:val="12"/>
                <w:szCs w:val="12"/>
                <w:lang w:eastAsia="nl-NL"/>
              </w:rPr>
              <w:t>0</w:t>
            </w:r>
          </w:p>
        </w:tc>
      </w:tr>
      <w:tr w:rsidR="000C2622" w:rsidRPr="00F33C7F" w:rsidTr="00602BE7">
        <w:trPr>
          <w:trHeight w:val="218"/>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i/>
                <w:iCs/>
                <w:sz w:val="12"/>
                <w:szCs w:val="12"/>
                <w:lang w:eastAsia="nl-NL"/>
              </w:rPr>
            </w:pPr>
            <w:r w:rsidRPr="00F33C7F">
              <w:rPr>
                <w:rFonts w:ascii="Verdana" w:hAnsi="Verdana" w:cs="Arial"/>
                <w:i/>
                <w:iCs/>
                <w:sz w:val="12"/>
                <w:szCs w:val="12"/>
                <w:lang w:eastAsia="nl-NL"/>
              </w:rPr>
              <w:t> </w:t>
            </w:r>
          </w:p>
        </w:tc>
        <w:tc>
          <w:tcPr>
            <w:tcW w:w="669"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31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1.10</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Ontvangsten duurzame handel en investeringen</w:t>
            </w:r>
          </w:p>
        </w:tc>
        <w:tc>
          <w:tcPr>
            <w:tcW w:w="669" w:type="pct"/>
            <w:tcBorders>
              <w:top w:val="nil"/>
              <w:left w:val="nil"/>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22 626</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22 626</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- 10 000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12 626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r>
      <w:tr w:rsidR="000C2622" w:rsidRPr="00F33C7F" w:rsidTr="00602BE7">
        <w:trPr>
          <w:trHeight w:val="31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 </w:t>
            </w:r>
          </w:p>
        </w:tc>
        <w:tc>
          <w:tcPr>
            <w:tcW w:w="669" w:type="pct"/>
            <w:tcBorders>
              <w:top w:val="nil"/>
              <w:left w:val="nil"/>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r>
      <w:tr w:rsidR="000C2622" w:rsidRPr="00F33C7F" w:rsidTr="00602BE7">
        <w:trPr>
          <w:trHeight w:val="315"/>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1.40</w:t>
            </w:r>
          </w:p>
        </w:tc>
        <w:tc>
          <w:tcPr>
            <w:tcW w:w="768"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rPr>
                <w:rFonts w:ascii="Verdana" w:hAnsi="Verdana" w:cs="Arial"/>
                <w:b/>
                <w:bCs/>
                <w:sz w:val="12"/>
                <w:szCs w:val="12"/>
                <w:lang w:eastAsia="nl-NL"/>
              </w:rPr>
            </w:pPr>
            <w:r w:rsidRPr="00F33C7F">
              <w:rPr>
                <w:rFonts w:ascii="Verdana" w:hAnsi="Verdana" w:cs="Arial"/>
                <w:b/>
                <w:bCs/>
                <w:sz w:val="12"/>
                <w:szCs w:val="12"/>
                <w:lang w:eastAsia="nl-NL"/>
              </w:rPr>
              <w:t>Ontvangsten DGGF</w:t>
            </w:r>
          </w:p>
        </w:tc>
        <w:tc>
          <w:tcPr>
            <w:tcW w:w="669" w:type="pct"/>
            <w:tcBorders>
              <w:top w:val="nil"/>
              <w:left w:val="nil"/>
              <w:bottom w:val="single" w:sz="4" w:space="0" w:color="auto"/>
              <w:right w:val="single" w:sz="4" w:space="0" w:color="auto"/>
            </w:tcBorders>
            <w:shd w:val="clear" w:color="auto" w:fill="auto"/>
            <w:noWrap/>
            <w:hideMark/>
          </w:tcPr>
          <w:p w:rsidR="000C2622" w:rsidRPr="00F33C7F" w:rsidRDefault="000C2622" w:rsidP="00602BE7">
            <w:pPr>
              <w:rPr>
                <w:rFonts w:ascii="Verdana" w:hAnsi="Verdana" w:cs="Arial"/>
                <w:sz w:val="12"/>
                <w:szCs w:val="12"/>
                <w:lang w:eastAsia="nl-NL"/>
              </w:rPr>
            </w:pPr>
            <w:r w:rsidRPr="00F33C7F">
              <w:rPr>
                <w:rFonts w:ascii="Verdana" w:hAnsi="Verdana" w:cs="Arial"/>
                <w:sz w:val="12"/>
                <w:szCs w:val="12"/>
                <w:lang w:eastAsia="nl-NL"/>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w:t>
            </w:r>
          </w:p>
        </w:tc>
        <w:tc>
          <w:tcPr>
            <w:tcW w:w="38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430"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0</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 xml:space="preserve">  500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17"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F33C7F" w:rsidRDefault="000C2622" w:rsidP="00602BE7">
            <w:pPr>
              <w:jc w:val="right"/>
              <w:rPr>
                <w:rFonts w:ascii="Verdana" w:hAnsi="Verdana" w:cs="Arial"/>
                <w:sz w:val="12"/>
                <w:szCs w:val="12"/>
                <w:lang w:eastAsia="nl-NL"/>
              </w:rPr>
            </w:pPr>
            <w:r w:rsidRPr="00F33C7F">
              <w:rPr>
                <w:rFonts w:ascii="Verdana" w:hAnsi="Verdana" w:cs="Arial"/>
                <w:sz w:val="12"/>
                <w:szCs w:val="12"/>
                <w:lang w:eastAsia="nl-NL"/>
              </w:rPr>
              <w:t>0</w:t>
            </w:r>
          </w:p>
        </w:tc>
      </w:tr>
    </w:tbl>
    <w:p w:rsidR="000C2622" w:rsidRPr="007A3287" w:rsidRDefault="000C2622" w:rsidP="000C2622">
      <w:pPr>
        <w:rPr>
          <w:rFonts w:ascii="Verdana" w:hAnsi="Verdana"/>
          <w:b/>
          <w:sz w:val="18"/>
          <w:szCs w:val="18"/>
        </w:rPr>
      </w:pPr>
    </w:p>
    <w:p w:rsidR="000C2622" w:rsidRPr="003067A5" w:rsidRDefault="000C2622" w:rsidP="000C2622">
      <w:pPr>
        <w:rPr>
          <w:rFonts w:ascii="Verdana" w:hAnsi="Verdana"/>
          <w:noProof/>
          <w:sz w:val="18"/>
          <w:szCs w:val="18"/>
          <w:lang w:eastAsia="nl-NL"/>
        </w:rPr>
      </w:pP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Verplichtingen</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Per saldo stijgt het verplichtingenbudget met EUR 306,4 miljoen. Het betreft met name verplichtingen op het gebied van </w:t>
      </w:r>
      <w:proofErr w:type="spellStart"/>
      <w:r w:rsidRPr="003067A5">
        <w:rPr>
          <w:rFonts w:ascii="Verdana" w:hAnsi="Verdana"/>
          <w:sz w:val="18"/>
          <w:szCs w:val="18"/>
        </w:rPr>
        <w:t>van</w:t>
      </w:r>
      <w:proofErr w:type="spellEnd"/>
      <w:r w:rsidRPr="003067A5">
        <w:rPr>
          <w:rFonts w:ascii="Verdana" w:hAnsi="Verdana"/>
          <w:sz w:val="18"/>
          <w:szCs w:val="18"/>
        </w:rPr>
        <w:t xml:space="preserve"> </w:t>
      </w:r>
      <w:r w:rsidRPr="003067A5">
        <w:rPr>
          <w:rFonts w:ascii="Verdana" w:hAnsi="Verdana"/>
          <w:i/>
          <w:sz w:val="18"/>
          <w:szCs w:val="18"/>
        </w:rPr>
        <w:t>Private Sector Ontwikkeling</w:t>
      </w:r>
      <w:r w:rsidRPr="003067A5">
        <w:rPr>
          <w:rFonts w:ascii="Verdana" w:hAnsi="Verdana"/>
          <w:sz w:val="18"/>
          <w:szCs w:val="18"/>
        </w:rPr>
        <w:t xml:space="preserve"> die niet in 2016 zijn aangegaan en nu voor 2017 gepland staan. Het betreft o.a. het verplichtingenbudget voor infrastructuurontwikkeling (de programma’s </w:t>
      </w:r>
      <w:r w:rsidRPr="003067A5">
        <w:rPr>
          <w:rFonts w:ascii="Verdana" w:hAnsi="Verdana"/>
          <w:i/>
          <w:sz w:val="18"/>
          <w:szCs w:val="18"/>
        </w:rPr>
        <w:t>DRIVE</w:t>
      </w:r>
      <w:r w:rsidRPr="003067A5">
        <w:rPr>
          <w:rFonts w:ascii="Verdana" w:hAnsi="Verdana"/>
          <w:sz w:val="18"/>
          <w:szCs w:val="18"/>
        </w:rPr>
        <w:t xml:space="preserve"> en </w:t>
      </w:r>
      <w:r w:rsidRPr="003067A5">
        <w:rPr>
          <w:rFonts w:ascii="Verdana" w:hAnsi="Verdana"/>
          <w:i/>
          <w:sz w:val="18"/>
          <w:szCs w:val="18"/>
        </w:rPr>
        <w:t>Develop2Build</w:t>
      </w:r>
      <w:r w:rsidRPr="003067A5">
        <w:rPr>
          <w:rFonts w:ascii="Verdana" w:hAnsi="Verdana"/>
          <w:sz w:val="18"/>
          <w:szCs w:val="18"/>
        </w:rPr>
        <w:t xml:space="preserve">) dat met EUR 186 miljoen wordt verhoogd;  het verplichtingenbudget voor samenwerking bedrijfsleven en </w:t>
      </w:r>
      <w:proofErr w:type="spellStart"/>
      <w:r w:rsidRPr="003067A5">
        <w:rPr>
          <w:rFonts w:ascii="Verdana" w:hAnsi="Verdana"/>
          <w:sz w:val="18"/>
          <w:szCs w:val="18"/>
        </w:rPr>
        <w:t>PPP’s</w:t>
      </w:r>
      <w:proofErr w:type="spellEnd"/>
      <w:r w:rsidRPr="003067A5">
        <w:rPr>
          <w:rFonts w:ascii="Verdana" w:hAnsi="Verdana"/>
          <w:sz w:val="18"/>
          <w:szCs w:val="18"/>
        </w:rPr>
        <w:t xml:space="preserve"> ( EUR 40 miljoen) voor de 3e call van de </w:t>
      </w:r>
      <w:r w:rsidRPr="003067A5">
        <w:rPr>
          <w:rFonts w:ascii="Verdana" w:hAnsi="Verdana"/>
          <w:bCs/>
          <w:kern w:val="36"/>
          <w:sz w:val="18"/>
          <w:szCs w:val="18"/>
        </w:rPr>
        <w:t>Faciliteit Duurzaam Ondernemen en Voedselzekerheid (FDOV</w:t>
      </w:r>
      <w:r w:rsidRPr="003067A5">
        <w:rPr>
          <w:rFonts w:ascii="Verdana" w:hAnsi="Verdana"/>
          <w:sz w:val="18"/>
          <w:szCs w:val="18"/>
        </w:rPr>
        <w:t xml:space="preserve">) en tenslotte EUR 67,1 miljoen voor o.a. de </w:t>
      </w:r>
      <w:r w:rsidRPr="003067A5">
        <w:rPr>
          <w:rFonts w:ascii="Verdana" w:hAnsi="Verdana"/>
          <w:i/>
          <w:sz w:val="18"/>
          <w:szCs w:val="18"/>
        </w:rPr>
        <w:t xml:space="preserve">Wereld Bank </w:t>
      </w:r>
      <w:proofErr w:type="spellStart"/>
      <w:r w:rsidRPr="003067A5">
        <w:rPr>
          <w:rFonts w:ascii="Verdana" w:hAnsi="Verdana"/>
          <w:i/>
          <w:sz w:val="18"/>
          <w:szCs w:val="18"/>
        </w:rPr>
        <w:t>Facilitation</w:t>
      </w:r>
      <w:proofErr w:type="spellEnd"/>
      <w:r w:rsidRPr="003067A5">
        <w:rPr>
          <w:rFonts w:ascii="Verdana" w:hAnsi="Verdana"/>
          <w:sz w:val="18"/>
          <w:szCs w:val="18"/>
        </w:rPr>
        <w:t xml:space="preserve"> Facility en </w:t>
      </w:r>
      <w:proofErr w:type="spellStart"/>
      <w:r w:rsidRPr="003067A5">
        <w:rPr>
          <w:rFonts w:ascii="Verdana" w:hAnsi="Verdana"/>
          <w:i/>
          <w:sz w:val="18"/>
          <w:szCs w:val="18"/>
        </w:rPr>
        <w:t>Accelerating</w:t>
      </w:r>
      <w:proofErr w:type="spellEnd"/>
      <w:r w:rsidRPr="003067A5">
        <w:rPr>
          <w:rFonts w:ascii="Verdana" w:hAnsi="Verdana"/>
          <w:i/>
          <w:sz w:val="18"/>
          <w:szCs w:val="18"/>
        </w:rPr>
        <w:t xml:space="preserve"> Trade in West-</w:t>
      </w:r>
      <w:proofErr w:type="spellStart"/>
      <w:r w:rsidRPr="003067A5">
        <w:rPr>
          <w:rFonts w:ascii="Verdana" w:hAnsi="Verdana"/>
          <w:i/>
          <w:sz w:val="18"/>
          <w:szCs w:val="18"/>
        </w:rPr>
        <w:t>Africa</w:t>
      </w:r>
      <w:proofErr w:type="spellEnd"/>
      <w:r w:rsidRPr="003067A5">
        <w:rPr>
          <w:rFonts w:ascii="Verdana" w:hAnsi="Verdana"/>
          <w:i/>
          <w:sz w:val="18"/>
          <w:szCs w:val="18"/>
        </w:rPr>
        <w:t xml:space="preserve"> (ATWA)</w:t>
      </w:r>
      <w:r w:rsidRPr="003067A5">
        <w:rPr>
          <w:rFonts w:ascii="Verdana" w:hAnsi="Verdana"/>
          <w:sz w:val="18"/>
          <w:szCs w:val="18"/>
        </w:rPr>
        <w:t xml:space="preserve">.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Uitgaven</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1.1</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cs="Arial"/>
          <w:sz w:val="18"/>
          <w:szCs w:val="18"/>
        </w:rPr>
      </w:pPr>
      <w:r w:rsidRPr="003067A5">
        <w:rPr>
          <w:rFonts w:ascii="Verdana" w:hAnsi="Verdana" w:cs="Arial"/>
          <w:sz w:val="18"/>
          <w:szCs w:val="18"/>
        </w:rPr>
        <w:t xml:space="preserve">Het budget voor maatschappelijk verantwoord ondernemen stijgt in 2017 met EUR 7 miljoen. Hiervan is 6 EUR miljoen bestemd ter invulling van de motie Van Laar (34 550 XVII nr. 26) over het terugdringen van kinderarbeid. Verwezen wordt naar de brief van de </w:t>
      </w:r>
      <w:r w:rsidRPr="003067A5">
        <w:rPr>
          <w:rStyle w:val="st1"/>
          <w:rFonts w:ascii="Verdana" w:hAnsi="Verdana" w:cs="Arial"/>
          <w:sz w:val="18"/>
          <w:szCs w:val="18"/>
        </w:rPr>
        <w:t xml:space="preserve">minister voor Buitenlandse Handel en </w:t>
      </w:r>
      <w:r w:rsidRPr="003067A5">
        <w:rPr>
          <w:rStyle w:val="Nadruk"/>
          <w:rFonts w:ascii="Verdana" w:hAnsi="Verdana" w:cs="Arial"/>
          <w:sz w:val="18"/>
          <w:szCs w:val="18"/>
        </w:rPr>
        <w:t>Ontwikkelingssamenwerking</w:t>
      </w:r>
      <w:r w:rsidRPr="003067A5">
        <w:rPr>
          <w:rFonts w:ascii="Verdana" w:hAnsi="Verdana" w:cs="Arial"/>
          <w:sz w:val="18"/>
          <w:szCs w:val="18"/>
        </w:rPr>
        <w:t xml:space="preserve"> aan de Kamer van 14 november 2016 (34550-XVII-38) over de invulling van de motie. De overige EUR 1 miljoen be</w:t>
      </w:r>
      <w:r>
        <w:rPr>
          <w:rFonts w:ascii="Verdana" w:hAnsi="Verdana" w:cs="Arial"/>
          <w:sz w:val="18"/>
          <w:szCs w:val="18"/>
        </w:rPr>
        <w:t xml:space="preserve">treft </w:t>
      </w:r>
      <w:r w:rsidRPr="003067A5">
        <w:rPr>
          <w:rFonts w:ascii="Verdana" w:hAnsi="Verdana" w:cs="Arial"/>
          <w:sz w:val="18"/>
          <w:szCs w:val="18"/>
        </w:rPr>
        <w:t>Internationaal Maatschappelijk Verantwoord Ondernemen (IMVO) convenanten.</w:t>
      </w:r>
    </w:p>
    <w:p w:rsidR="000C2622" w:rsidRPr="003067A5" w:rsidRDefault="000C2622" w:rsidP="000C2622">
      <w:pPr>
        <w:rPr>
          <w:rFonts w:ascii="Verdana" w:hAnsi="Verdana" w:cs="Arial"/>
          <w:sz w:val="18"/>
          <w:szCs w:val="18"/>
        </w:rPr>
      </w:pP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lastRenderedPageBreak/>
        <w:t>Artikel 1.2</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rPr>
      </w:pPr>
      <w:r w:rsidRPr="003067A5">
        <w:rPr>
          <w:rFonts w:ascii="Verdana" w:hAnsi="Verdana"/>
          <w:sz w:val="18"/>
          <w:szCs w:val="18"/>
        </w:rPr>
        <w:t>Het budget voor ‘Versterkte Nederlandse handels- en investeringspositie en economische naamsbekendheid’ stijgt per saldo met EUR 9,8 miljoen. Het kabinet maakt EUR 10 miljoen vrij voor inspanningen die de concurrentiepositie van Nederland in het buitenland ten goede komen, zoals een betere opvolging van economische missies en het effectiever maken van het internationale topsectorenbeleid. Per saldo komt hiervan in 2017 EUR 9,2 miljoen beschikbaar op de begroting van Buitenlandse Handel en Ontwikkelingssamenwerking.</w:t>
      </w:r>
    </w:p>
    <w:p w:rsidR="000C2622" w:rsidRPr="003067A5" w:rsidRDefault="000C2622" w:rsidP="000C2622">
      <w:pPr>
        <w:rPr>
          <w:rFonts w:ascii="Verdana" w:hAnsi="Verdana"/>
          <w:sz w:val="18"/>
          <w:szCs w:val="18"/>
          <w:u w:val="single"/>
        </w:rPr>
      </w:pPr>
      <w:r w:rsidRPr="003067A5">
        <w:rPr>
          <w:rFonts w:ascii="Verdana" w:hAnsi="Verdana"/>
          <w:sz w:val="18"/>
          <w:szCs w:val="18"/>
        </w:rPr>
        <w:t xml:space="preserve">Het budget voor uitvoeringskosten van de Rijksdienst voor Ondernemend Nederland wordt verhoogd met EUR 9,5 miljoen op basis van de bijgewerkte ramingen van de Rijksdienst Voor Ondernemend Nederland (RVO). </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1.3</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rPr>
      </w:pPr>
      <w:r w:rsidRPr="003067A5">
        <w:rPr>
          <w:rFonts w:ascii="Verdana" w:hAnsi="Verdana"/>
          <w:sz w:val="18"/>
          <w:szCs w:val="18"/>
        </w:rPr>
        <w:t xml:space="preserve">Het budget voor ‘Versterkte private sector &amp; verbeterd investeringsklimaat in ontwikkelingslanden wordt per saldo met EUR 3,6 miljoen verhoogd. Deze wordt met name veroorzaakt door </w:t>
      </w:r>
      <w:r w:rsidRPr="003067A5">
        <w:rPr>
          <w:rFonts w:ascii="Verdana" w:hAnsi="Verdana"/>
          <w:color w:val="000000"/>
          <w:sz w:val="18"/>
          <w:szCs w:val="18"/>
        </w:rPr>
        <w:t xml:space="preserve">een vernieuwing van een contract met </w:t>
      </w:r>
      <w:r w:rsidRPr="003067A5">
        <w:rPr>
          <w:rFonts w:ascii="Verdana" w:hAnsi="Verdana"/>
          <w:bCs/>
          <w:i/>
          <w:sz w:val="18"/>
          <w:szCs w:val="18"/>
        </w:rPr>
        <w:t xml:space="preserve">European Centre </w:t>
      </w:r>
      <w:proofErr w:type="spellStart"/>
      <w:r w:rsidRPr="003067A5">
        <w:rPr>
          <w:rFonts w:ascii="Verdana" w:hAnsi="Verdana"/>
          <w:bCs/>
          <w:i/>
          <w:sz w:val="18"/>
          <w:szCs w:val="18"/>
        </w:rPr>
        <w:t>for</w:t>
      </w:r>
      <w:proofErr w:type="spellEnd"/>
      <w:r w:rsidRPr="003067A5">
        <w:rPr>
          <w:rFonts w:ascii="Verdana" w:hAnsi="Verdana"/>
          <w:bCs/>
          <w:i/>
          <w:sz w:val="18"/>
          <w:szCs w:val="18"/>
        </w:rPr>
        <w:t xml:space="preserve"> Development Policy</w:t>
      </w:r>
      <w:r w:rsidRPr="003067A5">
        <w:rPr>
          <w:rFonts w:ascii="Verdana" w:hAnsi="Verdana"/>
          <w:b/>
          <w:bCs/>
          <w:sz w:val="18"/>
          <w:szCs w:val="18"/>
        </w:rPr>
        <w:t xml:space="preserve"> </w:t>
      </w:r>
      <w:r w:rsidRPr="003067A5">
        <w:rPr>
          <w:rFonts w:ascii="Verdana" w:hAnsi="Verdana"/>
          <w:bCs/>
          <w:i/>
          <w:sz w:val="18"/>
          <w:szCs w:val="18"/>
        </w:rPr>
        <w:t xml:space="preserve">Management, </w:t>
      </w:r>
      <w:r w:rsidRPr="003067A5">
        <w:rPr>
          <w:rFonts w:ascii="Verdana" w:hAnsi="Verdana"/>
          <w:color w:val="000000"/>
          <w:sz w:val="18"/>
          <w:szCs w:val="18"/>
        </w:rPr>
        <w:t xml:space="preserve">ECDPM (EUR 2,7 miljoen) en invulling aan het </w:t>
      </w:r>
      <w:r w:rsidRPr="003067A5">
        <w:rPr>
          <w:rFonts w:ascii="Verdana" w:hAnsi="Verdana"/>
          <w:sz w:val="18"/>
          <w:szCs w:val="18"/>
        </w:rPr>
        <w:t xml:space="preserve">Amendement Smaling en Mulder (34 550 XVII / </w:t>
      </w:r>
      <w:proofErr w:type="spellStart"/>
      <w:r w:rsidRPr="003067A5">
        <w:rPr>
          <w:rFonts w:ascii="Verdana" w:hAnsi="Verdana"/>
          <w:sz w:val="18"/>
          <w:szCs w:val="18"/>
        </w:rPr>
        <w:t>nr</w:t>
      </w:r>
      <w:proofErr w:type="spellEnd"/>
      <w:r w:rsidRPr="003067A5">
        <w:rPr>
          <w:rFonts w:ascii="Verdana" w:hAnsi="Verdana"/>
          <w:sz w:val="18"/>
          <w:szCs w:val="18"/>
        </w:rPr>
        <w:t xml:space="preserve"> 14) waarmee EUR 1 miljoen beschikbaar wordt gesteld voor startfinanciering voor jonge Afrikaanse ondernemers. </w:t>
      </w:r>
      <w:r>
        <w:rPr>
          <w:rFonts w:ascii="Verdana" w:hAnsi="Verdana"/>
          <w:sz w:val="18"/>
          <w:szCs w:val="18"/>
        </w:rPr>
        <w:t>Dit geld is toegekend</w:t>
      </w:r>
      <w:r w:rsidRPr="003067A5">
        <w:rPr>
          <w:rFonts w:ascii="Verdana" w:hAnsi="Verdana"/>
          <w:sz w:val="18"/>
          <w:szCs w:val="18"/>
        </w:rPr>
        <w:t xml:space="preserve"> aan het nieuwe initiatief </w:t>
      </w:r>
      <w:r w:rsidRPr="003067A5">
        <w:rPr>
          <w:rFonts w:ascii="Verdana" w:hAnsi="Verdana" w:cs="Arial"/>
          <w:i/>
          <w:sz w:val="18"/>
          <w:szCs w:val="18"/>
        </w:rPr>
        <w:t xml:space="preserve">Making </w:t>
      </w:r>
      <w:proofErr w:type="spellStart"/>
      <w:r w:rsidRPr="003067A5">
        <w:rPr>
          <w:rFonts w:ascii="Verdana" w:hAnsi="Verdana" w:cs="Arial"/>
          <w:i/>
          <w:sz w:val="18"/>
          <w:szCs w:val="18"/>
        </w:rPr>
        <w:t>Africa</w:t>
      </w:r>
      <w:proofErr w:type="spellEnd"/>
      <w:r w:rsidRPr="003067A5">
        <w:rPr>
          <w:rFonts w:ascii="Verdana" w:hAnsi="Verdana" w:cs="Arial"/>
          <w:i/>
          <w:sz w:val="18"/>
          <w:szCs w:val="18"/>
        </w:rPr>
        <w:t xml:space="preserve"> </w:t>
      </w:r>
      <w:proofErr w:type="spellStart"/>
      <w:r w:rsidRPr="003067A5">
        <w:rPr>
          <w:rFonts w:ascii="Verdana" w:hAnsi="Verdana" w:cs="Arial"/>
          <w:i/>
          <w:sz w:val="18"/>
          <w:szCs w:val="18"/>
        </w:rPr>
        <w:t>Work</w:t>
      </w:r>
      <w:proofErr w:type="spellEnd"/>
      <w:r w:rsidRPr="003067A5">
        <w:rPr>
          <w:rFonts w:ascii="Verdana" w:hAnsi="Verdana" w:cs="Arial"/>
          <w:sz w:val="18"/>
          <w:szCs w:val="18"/>
        </w:rPr>
        <w:t xml:space="preserve"> (PUM en </w:t>
      </w:r>
      <w:proofErr w:type="spellStart"/>
      <w:r w:rsidRPr="003067A5">
        <w:rPr>
          <w:rFonts w:ascii="Verdana" w:hAnsi="Verdana" w:cs="Arial"/>
          <w:i/>
          <w:sz w:val="18"/>
          <w:szCs w:val="18"/>
        </w:rPr>
        <w:t>Africa</w:t>
      </w:r>
      <w:proofErr w:type="spellEnd"/>
      <w:r w:rsidRPr="003067A5">
        <w:rPr>
          <w:rFonts w:ascii="Verdana" w:hAnsi="Verdana" w:cs="Arial"/>
          <w:i/>
          <w:sz w:val="18"/>
          <w:szCs w:val="18"/>
        </w:rPr>
        <w:t xml:space="preserve"> in Motion</w:t>
      </w:r>
      <w:r w:rsidRPr="003067A5">
        <w:rPr>
          <w:rFonts w:ascii="Verdana" w:hAnsi="Verdana" w:cs="Arial"/>
          <w:sz w:val="18"/>
          <w:szCs w:val="18"/>
        </w:rPr>
        <w:t>).</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Als gevolg van aanpassing van de kasritmes van instrumenten binnen het Private Sector Ontwikkeling (PSO)-programma vinden verschillende overhevelingen tussen deze instrumenten plaats. Zo wordt het instrument ‘versterking privaat ondernemerschap’ met EUR 19,4 miljoen verhoogd voor onder andere de vernieuwing van het programma PUM senior experts en voor het vakbondsmedefinancieringsprogramma.</w:t>
      </w: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Ontvangsten</w:t>
      </w:r>
    </w:p>
    <w:p w:rsidR="000C2622" w:rsidRPr="003067A5" w:rsidRDefault="000C2622" w:rsidP="000C2622">
      <w:pPr>
        <w:rPr>
          <w:rFonts w:ascii="Verdana" w:hAnsi="Verdana"/>
          <w:sz w:val="18"/>
          <w:szCs w:val="18"/>
        </w:rPr>
      </w:pPr>
    </w:p>
    <w:p w:rsidR="000C2622" w:rsidRPr="003067A5" w:rsidRDefault="000C2622" w:rsidP="000C2622">
      <w:pPr>
        <w:rPr>
          <w:rFonts w:ascii="Verdana" w:eastAsiaTheme="minorHAnsi" w:hAnsi="Verdana" w:cstheme="minorBidi"/>
          <w:sz w:val="18"/>
          <w:szCs w:val="18"/>
          <w:lang w:eastAsia="en-US"/>
        </w:rPr>
      </w:pPr>
      <w:r w:rsidRPr="003067A5">
        <w:rPr>
          <w:rFonts w:ascii="Verdana" w:hAnsi="Verdana"/>
          <w:sz w:val="18"/>
          <w:szCs w:val="18"/>
        </w:rPr>
        <w:t>De ontvangsten dalen met EUR 10 miljoen in 2017</w:t>
      </w:r>
      <w:r w:rsidRPr="003067A5">
        <w:rPr>
          <w:rFonts w:ascii="Verdana" w:eastAsiaTheme="minorHAnsi" w:hAnsi="Verdana" w:cstheme="minorBidi"/>
          <w:sz w:val="18"/>
          <w:szCs w:val="18"/>
          <w:lang w:eastAsia="en-US"/>
        </w:rPr>
        <w:t>. Dit betreft een correctie van de ontvangst vanuit de begrotingsreserve FIB (</w:t>
      </w:r>
      <w:r w:rsidRPr="003067A5">
        <w:rPr>
          <w:rFonts w:ascii="Verdana" w:eastAsiaTheme="minorHAnsi" w:hAnsi="Verdana" w:cstheme="minorBidi"/>
          <w:i/>
          <w:sz w:val="18"/>
          <w:szCs w:val="18"/>
          <w:lang w:eastAsia="en-US"/>
        </w:rPr>
        <w:t xml:space="preserve">Finance </w:t>
      </w:r>
      <w:proofErr w:type="spellStart"/>
      <w:r w:rsidRPr="003067A5">
        <w:rPr>
          <w:rFonts w:ascii="Verdana" w:eastAsiaTheme="minorHAnsi" w:hAnsi="Verdana" w:cstheme="minorBidi"/>
          <w:i/>
          <w:sz w:val="18"/>
          <w:szCs w:val="18"/>
          <w:lang w:eastAsia="en-US"/>
        </w:rPr>
        <w:t>for</w:t>
      </w:r>
      <w:proofErr w:type="spellEnd"/>
      <w:r w:rsidRPr="003067A5">
        <w:rPr>
          <w:rFonts w:ascii="Verdana" w:eastAsiaTheme="minorHAnsi" w:hAnsi="Verdana" w:cstheme="minorBidi"/>
          <w:i/>
          <w:sz w:val="18"/>
          <w:szCs w:val="18"/>
          <w:lang w:eastAsia="en-US"/>
        </w:rPr>
        <w:t xml:space="preserve"> International Business</w:t>
      </w:r>
      <w:r w:rsidRPr="003067A5">
        <w:rPr>
          <w:rFonts w:ascii="Verdana" w:eastAsiaTheme="minorHAnsi" w:hAnsi="Verdana" w:cstheme="minorBidi"/>
          <w:sz w:val="18"/>
          <w:szCs w:val="18"/>
          <w:lang w:eastAsia="en-US"/>
        </w:rPr>
        <w:t xml:space="preserve">). </w:t>
      </w:r>
    </w:p>
    <w:p w:rsidR="000C2622" w:rsidRPr="003067A5" w:rsidRDefault="000C2622" w:rsidP="000C2622">
      <w:pPr>
        <w:rPr>
          <w:rFonts w:ascii="Verdana" w:hAnsi="Verdana"/>
          <w:i/>
          <w:sz w:val="18"/>
          <w:szCs w:val="18"/>
        </w:rPr>
      </w:pPr>
    </w:p>
    <w:p w:rsidR="000C2622" w:rsidRPr="003067A5" w:rsidRDefault="000C2622" w:rsidP="000C2622">
      <w:pPr>
        <w:autoSpaceDE w:val="0"/>
        <w:autoSpaceDN w:val="0"/>
        <w:adjustRightInd w:val="0"/>
        <w:rPr>
          <w:rFonts w:ascii="Verdana" w:hAnsi="Verdana" w:cs="Courier New"/>
          <w:sz w:val="18"/>
          <w:szCs w:val="18"/>
        </w:rPr>
      </w:pPr>
      <w:r w:rsidRPr="003067A5">
        <w:rPr>
          <w:rFonts w:ascii="Verdana" w:hAnsi="Verdana" w:cs="Courier New"/>
          <w:sz w:val="18"/>
          <w:szCs w:val="18"/>
        </w:rPr>
        <w:br w:type="page"/>
      </w:r>
    </w:p>
    <w:p w:rsidR="000C2622" w:rsidRPr="003067A5" w:rsidRDefault="000C2622" w:rsidP="000C2622">
      <w:pPr>
        <w:rPr>
          <w:rFonts w:ascii="Verdana" w:hAnsi="Verdana"/>
          <w:b/>
          <w:sz w:val="18"/>
          <w:szCs w:val="18"/>
        </w:rPr>
      </w:pPr>
      <w:r w:rsidRPr="003067A5">
        <w:rPr>
          <w:rFonts w:ascii="Verdana" w:hAnsi="Verdana"/>
          <w:b/>
          <w:sz w:val="18"/>
          <w:szCs w:val="18"/>
        </w:rPr>
        <w:lastRenderedPageBreak/>
        <w:t xml:space="preserve">Beleidsartikel 2 </w:t>
      </w:r>
    </w:p>
    <w:p w:rsidR="000C2622" w:rsidRPr="003067A5" w:rsidRDefault="000C2622" w:rsidP="000C2622">
      <w:pPr>
        <w:rPr>
          <w:rFonts w:ascii="Verdana" w:hAnsi="Verdana"/>
          <w:b/>
          <w:sz w:val="18"/>
          <w:szCs w:val="18"/>
        </w:rPr>
      </w:pPr>
    </w:p>
    <w:tbl>
      <w:tblPr>
        <w:tblW w:w="4402" w:type="pct"/>
        <w:tblLayout w:type="fixed"/>
        <w:tblCellMar>
          <w:left w:w="70" w:type="dxa"/>
          <w:right w:w="70" w:type="dxa"/>
        </w:tblCellMar>
        <w:tblLook w:val="04A0" w:firstRow="1" w:lastRow="0" w:firstColumn="1" w:lastColumn="0" w:noHBand="0" w:noVBand="1"/>
      </w:tblPr>
      <w:tblGrid>
        <w:gridCol w:w="1801"/>
        <w:gridCol w:w="869"/>
        <w:gridCol w:w="1510"/>
        <w:gridCol w:w="992"/>
        <w:gridCol w:w="870"/>
        <w:gridCol w:w="911"/>
        <w:gridCol w:w="1000"/>
        <w:gridCol w:w="1000"/>
        <w:gridCol w:w="1000"/>
        <w:gridCol w:w="1000"/>
        <w:gridCol w:w="1000"/>
        <w:gridCol w:w="994"/>
      </w:tblGrid>
      <w:tr w:rsidR="000C2622" w:rsidRPr="006E0528" w:rsidTr="00602BE7">
        <w:trPr>
          <w:trHeight w:val="152"/>
        </w:trPr>
        <w:tc>
          <w:tcPr>
            <w:tcW w:w="1032" w:type="pct"/>
            <w:gridSpan w:val="2"/>
            <w:tcBorders>
              <w:top w:val="single" w:sz="4" w:space="0" w:color="auto"/>
              <w:left w:val="single" w:sz="4" w:space="0" w:color="auto"/>
              <w:bottom w:val="nil"/>
              <w:right w:val="nil"/>
            </w:tcBorders>
            <w:shd w:val="clear" w:color="auto" w:fill="auto"/>
            <w:vAlign w:val="bottom"/>
            <w:hideMark/>
          </w:tcPr>
          <w:p w:rsidR="000C2622" w:rsidRPr="006E0528" w:rsidRDefault="000C2622" w:rsidP="00602BE7">
            <w:pPr>
              <w:rPr>
                <w:rFonts w:ascii="Verdana" w:hAnsi="Verdana" w:cs="Arial"/>
                <w:b/>
                <w:bCs/>
                <w:sz w:val="12"/>
                <w:szCs w:val="12"/>
                <w:lang w:eastAsia="nl-NL"/>
              </w:rPr>
            </w:pPr>
            <w:r w:rsidRPr="006E0528">
              <w:rPr>
                <w:rFonts w:ascii="Verdana" w:hAnsi="Verdana" w:cs="Arial"/>
                <w:b/>
                <w:bCs/>
                <w:sz w:val="12"/>
                <w:szCs w:val="12"/>
              </w:rPr>
              <w:t xml:space="preserve">Beleidsartikel 2 Duurzame ontwikkeling, </w:t>
            </w:r>
          </w:p>
        </w:tc>
        <w:tc>
          <w:tcPr>
            <w:tcW w:w="583" w:type="pct"/>
            <w:tcBorders>
              <w:top w:val="single" w:sz="4" w:space="0" w:color="auto"/>
              <w:left w:val="nil"/>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3" w:type="pct"/>
            <w:tcBorders>
              <w:top w:val="single" w:sz="4" w:space="0" w:color="auto"/>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3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 via</w:t>
            </w:r>
          </w:p>
        </w:tc>
        <w:tc>
          <w:tcPr>
            <w:tcW w:w="352"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Vastgestelde</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w:t>
            </w:r>
          </w:p>
        </w:tc>
        <w:tc>
          <w:tcPr>
            <w:tcW w:w="38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r>
      <w:tr w:rsidR="000C2622" w:rsidRPr="006E0528" w:rsidTr="00602BE7">
        <w:trPr>
          <w:trHeight w:val="152"/>
        </w:trPr>
        <w:tc>
          <w:tcPr>
            <w:tcW w:w="1032" w:type="pct"/>
            <w:gridSpan w:val="2"/>
            <w:tcBorders>
              <w:top w:val="nil"/>
              <w:left w:val="single" w:sz="4" w:space="0" w:color="auto"/>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voedselzekerheid en water</w:t>
            </w:r>
          </w:p>
        </w:tc>
        <w:tc>
          <w:tcPr>
            <w:tcW w:w="583"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p>
        </w:tc>
        <w:tc>
          <w:tcPr>
            <w:tcW w:w="383"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ontwerp-</w:t>
            </w:r>
          </w:p>
        </w:tc>
        <w:tc>
          <w:tcPr>
            <w:tcW w:w="33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amende</w:t>
            </w:r>
            <w:proofErr w:type="spellEnd"/>
            <w:r w:rsidRPr="006E0528">
              <w:rPr>
                <w:rFonts w:ascii="Verdana" w:hAnsi="Verdana" w:cs="Arial"/>
                <w:sz w:val="12"/>
                <w:szCs w:val="12"/>
              </w:rPr>
              <w:t>-</w:t>
            </w:r>
          </w:p>
        </w:tc>
        <w:tc>
          <w:tcPr>
            <w:tcW w:w="352"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r>
      <w:tr w:rsidR="000C2622" w:rsidRPr="006E0528" w:rsidTr="00602BE7">
        <w:trPr>
          <w:trHeight w:val="152"/>
        </w:trPr>
        <w:tc>
          <w:tcPr>
            <w:tcW w:w="1032"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Bedragen in EUR 1 000</w:t>
            </w:r>
          </w:p>
        </w:tc>
        <w:tc>
          <w:tcPr>
            <w:tcW w:w="583"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p>
        </w:tc>
        <w:tc>
          <w:tcPr>
            <w:tcW w:w="383"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menten</w:t>
            </w:r>
            <w:proofErr w:type="spellEnd"/>
          </w:p>
        </w:tc>
        <w:tc>
          <w:tcPr>
            <w:tcW w:w="352"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r>
      <w:tr w:rsidR="000C2622" w:rsidRPr="006E0528" w:rsidTr="00602BE7">
        <w:trPr>
          <w:trHeight w:val="152"/>
        </w:trPr>
        <w:tc>
          <w:tcPr>
            <w:tcW w:w="696" w:type="pct"/>
            <w:tcBorders>
              <w:top w:val="nil"/>
              <w:left w:val="single" w:sz="4" w:space="0" w:color="auto"/>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p>
        </w:tc>
        <w:tc>
          <w:tcPr>
            <w:tcW w:w="583" w:type="pct"/>
            <w:tcBorders>
              <w:top w:val="nil"/>
              <w:left w:val="nil"/>
              <w:bottom w:val="nil"/>
              <w:right w:val="nil"/>
            </w:tcBorders>
            <w:shd w:val="clear" w:color="auto" w:fill="auto"/>
            <w:vAlign w:val="bottom"/>
            <w:hideMark/>
          </w:tcPr>
          <w:p w:rsidR="000C2622" w:rsidRPr="006E0528" w:rsidRDefault="000C2622" w:rsidP="00602BE7">
            <w:pPr>
              <w:rPr>
                <w:sz w:val="12"/>
                <w:szCs w:val="12"/>
              </w:rPr>
            </w:pPr>
          </w:p>
        </w:tc>
        <w:tc>
          <w:tcPr>
            <w:tcW w:w="383"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r>
      <w:tr w:rsidR="000C2622" w:rsidRPr="006E0528" w:rsidTr="00602BE7">
        <w:trPr>
          <w:trHeight w:val="152"/>
        </w:trPr>
        <w:tc>
          <w:tcPr>
            <w:tcW w:w="696"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583"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383"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3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2"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2018</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2019</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2020</w:t>
            </w:r>
          </w:p>
        </w:tc>
        <w:tc>
          <w:tcPr>
            <w:tcW w:w="38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2021</w:t>
            </w:r>
          </w:p>
        </w:tc>
      </w:tr>
      <w:tr w:rsidR="000C2622" w:rsidRPr="006E0528" w:rsidTr="00602BE7">
        <w:trPr>
          <w:trHeight w:val="152"/>
        </w:trPr>
        <w:tc>
          <w:tcPr>
            <w:tcW w:w="1032" w:type="pct"/>
            <w:gridSpan w:val="2"/>
            <w:tcBorders>
              <w:top w:val="nil"/>
              <w:left w:val="single" w:sz="4" w:space="0" w:color="auto"/>
              <w:bottom w:val="single" w:sz="4" w:space="0" w:color="auto"/>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(3)=(1+2)</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(4)</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(5)=(3+4)</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146"/>
        </w:trPr>
        <w:tc>
          <w:tcPr>
            <w:tcW w:w="10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Verplichtingen</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476 815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476 815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313 651</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790 466</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- 32 923</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- 65 323</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- 51 864</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- 51 864</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10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Uitgaven:</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Programma-uitgaven totaal</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660 072</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660 072</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1 507</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661 579</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1 725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- 6 075</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waarvan juridisch verplicht</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93%</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2.1</w:t>
            </w:r>
          </w:p>
        </w:tc>
        <w:tc>
          <w:tcPr>
            <w:tcW w:w="918"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Toename van voedselzekerheid</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347 795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347 795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347 795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- 5 000</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329"/>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Internationaal onderwijsprogramma voedselzekerheid</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510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510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Bevorderen inclusieve en duurzame groei in de agrarische sector</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73 886</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73 886</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- 1 896</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71 990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30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Kennis en </w:t>
            </w:r>
            <w:proofErr w:type="spellStart"/>
            <w:r w:rsidRPr="006E0528">
              <w:rPr>
                <w:rFonts w:ascii="Verdana" w:hAnsi="Verdana" w:cs="Arial"/>
                <w:sz w:val="12"/>
                <w:szCs w:val="12"/>
              </w:rPr>
              <w:t>capaciteitsopbrouw</w:t>
            </w:r>
            <w:proofErr w:type="spellEnd"/>
            <w:r w:rsidRPr="006E0528">
              <w:rPr>
                <w:rFonts w:ascii="Verdana" w:hAnsi="Verdana" w:cs="Arial"/>
                <w:sz w:val="12"/>
                <w:szCs w:val="12"/>
              </w:rPr>
              <w:t xml:space="preserve"> ten behoeve van voedselzekerheid</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77 013</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77 013</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- 23 218</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53 795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Uitbannen huidige honger en voeding</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22 000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 nationale organisaties</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317"/>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nil"/>
              <w:right w:val="nil"/>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realiseren ecologische houdbare voedselsystemen</w:t>
            </w:r>
          </w:p>
        </w:tc>
        <w:tc>
          <w:tcPr>
            <w:tcW w:w="38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31 998</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31 998</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- 1 998</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30 000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voedselzekerheid</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143 898</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143 898</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25 602</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169 500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8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47"/>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30"/>
        </w:trPr>
        <w:tc>
          <w:tcPr>
            <w:tcW w:w="696"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2.2</w:t>
            </w:r>
          </w:p>
        </w:tc>
        <w:tc>
          <w:tcPr>
            <w:tcW w:w="918"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xml:space="preserve">Verbeterd waterbeheer, drinkwater en </w:t>
            </w:r>
            <w:proofErr w:type="spellStart"/>
            <w:r w:rsidRPr="006E0528">
              <w:rPr>
                <w:rFonts w:ascii="Verdana" w:hAnsi="Verdana" w:cs="Arial"/>
                <w:b/>
                <w:bCs/>
                <w:sz w:val="12"/>
                <w:szCs w:val="12"/>
              </w:rPr>
              <w:t>sanitatie</w:t>
            </w:r>
            <w:proofErr w:type="spellEnd"/>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195 210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195 210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195 210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- 1 000</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Integraal waterbeheer</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32 895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32 895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32 895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Drinkwater en </w:t>
            </w:r>
            <w:proofErr w:type="spellStart"/>
            <w:r w:rsidRPr="006E0528">
              <w:rPr>
                <w:rFonts w:ascii="Verdana" w:hAnsi="Verdana" w:cs="Arial"/>
                <w:sz w:val="12"/>
                <w:szCs w:val="12"/>
              </w:rPr>
              <w:t>sanitatie</w:t>
            </w:r>
            <w:proofErr w:type="spellEnd"/>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41 140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41 140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41 140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 xml:space="preserve">) </w:t>
            </w:r>
            <w:r w:rsidRPr="006E0528">
              <w:rPr>
                <w:rFonts w:ascii="Verdana" w:hAnsi="Verdana" w:cs="Arial"/>
                <w:i/>
                <w:iCs/>
                <w:sz w:val="12"/>
                <w:szCs w:val="12"/>
              </w:rPr>
              <w:lastRenderedPageBreak/>
              <w:t>nationale organisaties</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lastRenderedPageBreak/>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lastRenderedPageBreak/>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Wereldbank</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329"/>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integraal waterbeheer</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64 150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64 150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64 150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317"/>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Landenprogramma's drinkwater en </w:t>
            </w:r>
            <w:proofErr w:type="spellStart"/>
            <w:r w:rsidRPr="006E0528">
              <w:rPr>
                <w:rFonts w:ascii="Verdana" w:hAnsi="Verdana" w:cs="Arial"/>
                <w:sz w:val="12"/>
                <w:szCs w:val="12"/>
              </w:rPr>
              <w:t>sanitatie</w:t>
            </w:r>
            <w:proofErr w:type="spellEnd"/>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47 025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47 025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47 025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5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559"/>
        </w:trPr>
        <w:tc>
          <w:tcPr>
            <w:tcW w:w="696"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2.3</w:t>
            </w:r>
          </w:p>
        </w:tc>
        <w:tc>
          <w:tcPr>
            <w:tcW w:w="918"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Duurzaam gebruik natuurlijke hulpbronnen, tegengaan van klimaatverandering en vergrote weerbaarheid van de bevolking tegen onafwendbare klimaatverandering</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117 067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117 067</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1 507</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118 574</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725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75</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19"/>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Hernieuwbare energie</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27 500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27 500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27 500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317"/>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Duurzaam gebruik natuurlijke hulpbronnen en klimaat algemeen</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42 008</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42 008</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42 333</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 nationale organisaties</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92"/>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Klimaat: algemene vrijwillige en verplichte bijdragen</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18 140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18 140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18 140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GEF</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20 750</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20 750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20 750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UNEP</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5 142</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5 142</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5 142</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klimaatbeleid</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1 795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1 795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611</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2 406</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146"/>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Centrale klimaat programma's (non-ODA)</w:t>
            </w:r>
          </w:p>
        </w:tc>
        <w:tc>
          <w:tcPr>
            <w:tcW w:w="38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1 375</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1 375</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571</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1 946</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50"/>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6"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3" w:type="pct"/>
            <w:tcBorders>
              <w:top w:val="single" w:sz="4" w:space="0" w:color="auto"/>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Contributie IZA/IZT</w:t>
            </w:r>
          </w:p>
        </w:tc>
        <w:tc>
          <w:tcPr>
            <w:tcW w:w="38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357</w:t>
            </w:r>
          </w:p>
        </w:tc>
        <w:tc>
          <w:tcPr>
            <w:tcW w:w="33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357</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357</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8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bl>
    <w:p w:rsidR="000C2622" w:rsidRPr="003067A5" w:rsidRDefault="000C2622" w:rsidP="000C2622">
      <w:pPr>
        <w:rPr>
          <w:rFonts w:ascii="Verdana" w:hAnsi="Verdana"/>
          <w:b/>
          <w:sz w:val="18"/>
          <w:szCs w:val="18"/>
        </w:rPr>
      </w:pPr>
    </w:p>
    <w:p w:rsidR="000C2622" w:rsidRPr="003067A5" w:rsidRDefault="000C2622" w:rsidP="000C2622">
      <w:pPr>
        <w:rPr>
          <w:rFonts w:ascii="Verdana" w:hAnsi="Verdana"/>
          <w:b/>
          <w:sz w:val="18"/>
          <w:szCs w:val="18"/>
        </w:rPr>
      </w:pP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Verplichtingen</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Het verplichtingenbudget voor programma’s op het gebied van Voedselzekerheid en Water wordt verhoogd met EUR 313,6 miljoen. Het betreft met name verplichtingen die niet in 2016 zijn aangegaan en nu in 2017 gecommitteerd zullen worden zoals ca. EUR 200 miljoen voor programma’s in o.a. Rwanda (</w:t>
      </w:r>
      <w:proofErr w:type="spellStart"/>
      <w:r w:rsidRPr="003067A5">
        <w:rPr>
          <w:rFonts w:ascii="Verdana" w:hAnsi="Verdana"/>
          <w:sz w:val="18"/>
          <w:szCs w:val="18"/>
        </w:rPr>
        <w:t>voedselzekerheidprogramma</w:t>
      </w:r>
      <w:proofErr w:type="spellEnd"/>
      <w:r w:rsidRPr="003067A5">
        <w:rPr>
          <w:rFonts w:ascii="Verdana" w:hAnsi="Verdana"/>
          <w:sz w:val="18"/>
          <w:szCs w:val="18"/>
        </w:rPr>
        <w:t xml:space="preserve">), Benin (o.a. plattelandswegenprogramma), Ghana (cacao en palmolie) en Ethiopië (o.a. </w:t>
      </w:r>
      <w:proofErr w:type="spellStart"/>
      <w:r w:rsidRPr="003067A5">
        <w:rPr>
          <w:rFonts w:ascii="Verdana" w:hAnsi="Verdana"/>
          <w:i/>
          <w:sz w:val="18"/>
          <w:szCs w:val="18"/>
        </w:rPr>
        <w:t>Productive</w:t>
      </w:r>
      <w:proofErr w:type="spellEnd"/>
      <w:r w:rsidRPr="003067A5">
        <w:rPr>
          <w:rFonts w:ascii="Verdana" w:hAnsi="Verdana"/>
          <w:i/>
          <w:sz w:val="18"/>
          <w:szCs w:val="18"/>
        </w:rPr>
        <w:t xml:space="preserve"> Safety Net Programma PSNP4</w:t>
      </w:r>
      <w:r w:rsidRPr="003067A5">
        <w:rPr>
          <w:rFonts w:ascii="Verdana" w:hAnsi="Verdana"/>
          <w:sz w:val="18"/>
          <w:szCs w:val="18"/>
        </w:rPr>
        <w:t xml:space="preserve">). Daarnaast zullen verplichtingen worden aangegaan voor Klimaatverandering en continuering van de water, </w:t>
      </w:r>
      <w:proofErr w:type="spellStart"/>
      <w:r w:rsidRPr="003067A5">
        <w:rPr>
          <w:rFonts w:ascii="Verdana" w:hAnsi="Verdana"/>
          <w:sz w:val="18"/>
          <w:szCs w:val="18"/>
        </w:rPr>
        <w:t>sanitatie</w:t>
      </w:r>
      <w:proofErr w:type="spellEnd"/>
      <w:r w:rsidRPr="003067A5">
        <w:rPr>
          <w:rFonts w:ascii="Verdana" w:hAnsi="Verdana"/>
          <w:sz w:val="18"/>
          <w:szCs w:val="18"/>
        </w:rPr>
        <w:t xml:space="preserve"> en hygiëne (WASH)-portfolio.</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b/>
          <w:sz w:val="18"/>
          <w:szCs w:val="18"/>
        </w:rPr>
      </w:pPr>
      <w:r w:rsidRPr="003067A5">
        <w:rPr>
          <w:rFonts w:ascii="Verdana" w:hAnsi="Verdana"/>
          <w:b/>
          <w:i/>
          <w:sz w:val="18"/>
          <w:szCs w:val="18"/>
        </w:rPr>
        <w:t>Uitgaven</w:t>
      </w:r>
    </w:p>
    <w:p w:rsidR="000C2622" w:rsidRPr="003067A5" w:rsidRDefault="000C2622" w:rsidP="000C2622">
      <w:pPr>
        <w:autoSpaceDE w:val="0"/>
        <w:autoSpaceDN w:val="0"/>
        <w:adjustRightInd w:val="0"/>
        <w:rPr>
          <w:rFonts w:ascii="Verdana" w:hAnsi="Verdana" w:cs="Courier New"/>
          <w:sz w:val="18"/>
          <w:szCs w:val="18"/>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2.1:</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rPr>
      </w:pPr>
      <w:r w:rsidRPr="003067A5">
        <w:rPr>
          <w:rFonts w:ascii="Verdana" w:hAnsi="Verdana"/>
          <w:sz w:val="18"/>
          <w:szCs w:val="18"/>
        </w:rPr>
        <w:t xml:space="preserve">Er is per saldo geen mutatie op het gebied van Voedselzekerheid. </w:t>
      </w:r>
    </w:p>
    <w:p w:rsidR="000C2622" w:rsidRPr="003067A5" w:rsidRDefault="000C2622" w:rsidP="000C2622">
      <w:pPr>
        <w:rPr>
          <w:rFonts w:ascii="Verdana" w:hAnsi="Verdana" w:cs="Arial"/>
          <w:color w:val="000000"/>
          <w:sz w:val="18"/>
          <w:szCs w:val="18"/>
          <w:lang w:eastAsia="nl-NL"/>
        </w:rPr>
      </w:pPr>
      <w:r w:rsidRPr="003067A5">
        <w:rPr>
          <w:rFonts w:ascii="Verdana" w:hAnsi="Verdana" w:cs="Arial"/>
          <w:sz w:val="18"/>
          <w:szCs w:val="18"/>
        </w:rPr>
        <w:t xml:space="preserve"> </w:t>
      </w:r>
    </w:p>
    <w:p w:rsidR="000C2622" w:rsidRPr="003067A5" w:rsidRDefault="000C2622" w:rsidP="000C2622">
      <w:pPr>
        <w:rPr>
          <w:rFonts w:ascii="Verdana" w:hAnsi="Verdana"/>
          <w:b/>
          <w:sz w:val="18"/>
          <w:szCs w:val="18"/>
        </w:rPr>
      </w:pPr>
      <w:r w:rsidRPr="003067A5">
        <w:rPr>
          <w:rFonts w:ascii="Verdana" w:hAnsi="Verdana"/>
          <w:sz w:val="18"/>
          <w:szCs w:val="18"/>
        </w:rPr>
        <w:lastRenderedPageBreak/>
        <w:t xml:space="preserve">Er wordt invulling gegeven aan het amendement Smaling en Grashoff (34 550 XVII </w:t>
      </w:r>
      <w:proofErr w:type="spellStart"/>
      <w:r w:rsidRPr="003067A5">
        <w:rPr>
          <w:rFonts w:ascii="Verdana" w:hAnsi="Verdana"/>
          <w:sz w:val="18"/>
          <w:szCs w:val="18"/>
        </w:rPr>
        <w:t>nr</w:t>
      </w:r>
      <w:proofErr w:type="spellEnd"/>
      <w:r w:rsidRPr="003067A5">
        <w:rPr>
          <w:rFonts w:ascii="Verdana" w:hAnsi="Verdana"/>
          <w:sz w:val="18"/>
          <w:szCs w:val="18"/>
        </w:rPr>
        <w:t xml:space="preserve"> 40) waarmee in 2017 EUR 500,000 </w:t>
      </w:r>
      <w:proofErr w:type="spellStart"/>
      <w:r w:rsidRPr="003067A5">
        <w:rPr>
          <w:rFonts w:ascii="Verdana" w:hAnsi="Verdana"/>
          <w:sz w:val="18"/>
          <w:szCs w:val="18"/>
        </w:rPr>
        <w:t>geinvesteerd</w:t>
      </w:r>
      <w:proofErr w:type="spellEnd"/>
      <w:r w:rsidRPr="003067A5">
        <w:rPr>
          <w:rFonts w:ascii="Verdana" w:hAnsi="Verdana"/>
          <w:sz w:val="18"/>
          <w:szCs w:val="18"/>
        </w:rPr>
        <w:t xml:space="preserve"> wordt op het gebied van landrechten in Senegal, Kenia, Malawi </w:t>
      </w:r>
      <w:proofErr w:type="spellStart"/>
      <w:r w:rsidRPr="003067A5">
        <w:rPr>
          <w:rFonts w:ascii="Verdana" w:hAnsi="Verdana"/>
          <w:sz w:val="18"/>
          <w:szCs w:val="18"/>
        </w:rPr>
        <w:t>and</w:t>
      </w:r>
      <w:proofErr w:type="spellEnd"/>
      <w:r w:rsidRPr="003067A5">
        <w:rPr>
          <w:rFonts w:ascii="Verdana" w:hAnsi="Verdana"/>
          <w:sz w:val="18"/>
          <w:szCs w:val="18"/>
        </w:rPr>
        <w:t xml:space="preserve"> Mozambique. Hiervoor is een verplichting aangegaan met </w:t>
      </w:r>
      <w:proofErr w:type="spellStart"/>
      <w:r w:rsidRPr="003067A5">
        <w:rPr>
          <w:rFonts w:ascii="Verdana" w:hAnsi="Verdana" w:cs="Arial"/>
          <w:sz w:val="18"/>
          <w:szCs w:val="18"/>
        </w:rPr>
        <w:t>LANDac</w:t>
      </w:r>
      <w:proofErr w:type="spellEnd"/>
      <w:r w:rsidRPr="003067A5">
        <w:rPr>
          <w:rFonts w:ascii="Verdana" w:hAnsi="Verdana" w:cs="Arial"/>
          <w:sz w:val="18"/>
          <w:szCs w:val="18"/>
        </w:rPr>
        <w:t xml:space="preserve"> (</w:t>
      </w:r>
      <w:r w:rsidRPr="003067A5">
        <w:rPr>
          <w:rFonts w:ascii="Verdana" w:hAnsi="Verdana"/>
          <w:i/>
          <w:sz w:val="18"/>
          <w:szCs w:val="18"/>
        </w:rPr>
        <w:t xml:space="preserve">Netherlands Academie on Land </w:t>
      </w:r>
      <w:proofErr w:type="spellStart"/>
      <w:r w:rsidRPr="003067A5">
        <w:rPr>
          <w:rFonts w:ascii="Verdana" w:hAnsi="Verdana"/>
          <w:i/>
          <w:sz w:val="18"/>
          <w:szCs w:val="18"/>
        </w:rPr>
        <w:t>Governance</w:t>
      </w:r>
      <w:proofErr w:type="spellEnd"/>
      <w:r w:rsidRPr="003067A5">
        <w:rPr>
          <w:rFonts w:ascii="Verdana" w:hAnsi="Verdana"/>
          <w:i/>
          <w:sz w:val="18"/>
          <w:szCs w:val="18"/>
        </w:rPr>
        <w:t xml:space="preserve"> </w:t>
      </w:r>
      <w:proofErr w:type="spellStart"/>
      <w:r w:rsidRPr="003067A5">
        <w:rPr>
          <w:rFonts w:ascii="Verdana" w:hAnsi="Verdana"/>
          <w:i/>
          <w:sz w:val="18"/>
          <w:szCs w:val="18"/>
        </w:rPr>
        <w:t>for</w:t>
      </w:r>
      <w:proofErr w:type="spellEnd"/>
      <w:r w:rsidRPr="003067A5">
        <w:rPr>
          <w:rFonts w:ascii="Verdana" w:hAnsi="Verdana"/>
          <w:i/>
          <w:sz w:val="18"/>
          <w:szCs w:val="18"/>
        </w:rPr>
        <w:t xml:space="preserve"> </w:t>
      </w:r>
      <w:proofErr w:type="spellStart"/>
      <w:r w:rsidRPr="003067A5">
        <w:rPr>
          <w:rFonts w:ascii="Verdana" w:hAnsi="Verdana"/>
          <w:i/>
          <w:sz w:val="18"/>
          <w:szCs w:val="18"/>
        </w:rPr>
        <w:t>Equitable</w:t>
      </w:r>
      <w:proofErr w:type="spellEnd"/>
      <w:r w:rsidRPr="003067A5">
        <w:rPr>
          <w:rFonts w:ascii="Verdana" w:hAnsi="Verdana"/>
          <w:i/>
          <w:sz w:val="18"/>
          <w:szCs w:val="18"/>
        </w:rPr>
        <w:t xml:space="preserve"> </w:t>
      </w:r>
      <w:proofErr w:type="spellStart"/>
      <w:r w:rsidRPr="003067A5">
        <w:rPr>
          <w:rFonts w:ascii="Verdana" w:hAnsi="Verdana"/>
          <w:i/>
          <w:sz w:val="18"/>
          <w:szCs w:val="18"/>
        </w:rPr>
        <w:t>and</w:t>
      </w:r>
      <w:proofErr w:type="spellEnd"/>
      <w:r w:rsidRPr="003067A5">
        <w:rPr>
          <w:rFonts w:ascii="Verdana" w:hAnsi="Verdana"/>
          <w:i/>
          <w:sz w:val="18"/>
          <w:szCs w:val="18"/>
        </w:rPr>
        <w:t xml:space="preserve"> </w:t>
      </w:r>
      <w:proofErr w:type="spellStart"/>
      <w:r w:rsidRPr="003067A5">
        <w:rPr>
          <w:rFonts w:ascii="Verdana" w:hAnsi="Verdana"/>
          <w:i/>
          <w:sz w:val="18"/>
          <w:szCs w:val="18"/>
        </w:rPr>
        <w:t>Sustainable</w:t>
      </w:r>
      <w:proofErr w:type="spellEnd"/>
      <w:r w:rsidRPr="003067A5">
        <w:rPr>
          <w:rFonts w:ascii="Verdana" w:hAnsi="Verdana"/>
          <w:i/>
          <w:sz w:val="18"/>
          <w:szCs w:val="18"/>
        </w:rPr>
        <w:t xml:space="preserve"> Development</w:t>
      </w:r>
      <w:r w:rsidRPr="003067A5">
        <w:rPr>
          <w:rFonts w:ascii="Verdana" w:hAnsi="Verdana"/>
          <w:sz w:val="18"/>
          <w:szCs w:val="18"/>
        </w:rPr>
        <w:t>), een partnerschap tussen Nederlandse organisaties d</w:t>
      </w:r>
      <w:r>
        <w:rPr>
          <w:rFonts w:ascii="Verdana" w:hAnsi="Verdana"/>
          <w:sz w:val="18"/>
          <w:szCs w:val="18"/>
        </w:rPr>
        <w:t>ie werken aan ‘</w:t>
      </w:r>
      <w:r w:rsidRPr="00D41D9B">
        <w:rPr>
          <w:rFonts w:ascii="Verdana" w:hAnsi="Verdana"/>
          <w:i/>
          <w:sz w:val="18"/>
          <w:szCs w:val="18"/>
        </w:rPr>
        <w:t xml:space="preserve">land </w:t>
      </w:r>
      <w:proofErr w:type="spellStart"/>
      <w:r w:rsidRPr="00D41D9B">
        <w:rPr>
          <w:rFonts w:ascii="Verdana" w:hAnsi="Verdana"/>
          <w:i/>
          <w:sz w:val="18"/>
          <w:szCs w:val="18"/>
        </w:rPr>
        <w:t>governance</w:t>
      </w:r>
      <w:proofErr w:type="spellEnd"/>
      <w:r>
        <w:rPr>
          <w:rFonts w:ascii="Verdana" w:hAnsi="Verdana"/>
          <w:sz w:val="18"/>
          <w:szCs w:val="18"/>
        </w:rPr>
        <w:t xml:space="preserve">’ </w:t>
      </w:r>
      <w:r w:rsidRPr="003067A5">
        <w:rPr>
          <w:rFonts w:ascii="Verdana" w:hAnsi="Verdana"/>
          <w:sz w:val="18"/>
          <w:szCs w:val="18"/>
        </w:rPr>
        <w:t xml:space="preserve"> </w:t>
      </w:r>
      <w:r>
        <w:rPr>
          <w:rFonts w:ascii="Verdana" w:hAnsi="Verdana"/>
          <w:sz w:val="18"/>
          <w:szCs w:val="18"/>
        </w:rPr>
        <w:t>(</w:t>
      </w:r>
      <w:r w:rsidRPr="003067A5">
        <w:rPr>
          <w:rFonts w:ascii="Verdana" w:hAnsi="Verdana"/>
          <w:sz w:val="18"/>
          <w:szCs w:val="18"/>
        </w:rPr>
        <w:t>bestuurlijke vraagstukken over land</w:t>
      </w:r>
      <w:r>
        <w:rPr>
          <w:rFonts w:ascii="Verdana" w:hAnsi="Verdana"/>
          <w:sz w:val="18"/>
          <w:szCs w:val="18"/>
        </w:rPr>
        <w:t>).</w:t>
      </w:r>
      <w:r w:rsidRPr="003067A5">
        <w:rPr>
          <w:rFonts w:ascii="Verdana" w:hAnsi="Verdana"/>
          <w:b/>
          <w:sz w:val="18"/>
          <w:szCs w:val="18"/>
        </w:rPr>
        <w:br w:type="page"/>
      </w:r>
    </w:p>
    <w:p w:rsidR="000C2622" w:rsidRPr="003067A5" w:rsidRDefault="000C2622" w:rsidP="000C2622">
      <w:pPr>
        <w:rPr>
          <w:rFonts w:ascii="Verdana" w:hAnsi="Verdana"/>
          <w:b/>
          <w:sz w:val="18"/>
          <w:szCs w:val="18"/>
        </w:rPr>
      </w:pPr>
      <w:r w:rsidRPr="003067A5">
        <w:rPr>
          <w:rFonts w:ascii="Verdana" w:hAnsi="Verdana"/>
          <w:b/>
          <w:sz w:val="18"/>
          <w:szCs w:val="18"/>
        </w:rPr>
        <w:lastRenderedPageBreak/>
        <w:t xml:space="preserve">Beleidsartikel 3 </w:t>
      </w:r>
    </w:p>
    <w:p w:rsidR="000C2622" w:rsidRPr="003067A5" w:rsidRDefault="000C2622" w:rsidP="000C2622">
      <w:pPr>
        <w:rPr>
          <w:rFonts w:ascii="Verdana" w:hAnsi="Verdana"/>
          <w:b/>
          <w:sz w:val="18"/>
          <w:szCs w:val="18"/>
        </w:rPr>
      </w:pPr>
    </w:p>
    <w:tbl>
      <w:tblPr>
        <w:tblW w:w="5000" w:type="pct"/>
        <w:tblLayout w:type="fixed"/>
        <w:tblCellMar>
          <w:left w:w="70" w:type="dxa"/>
          <w:right w:w="70" w:type="dxa"/>
        </w:tblCellMar>
        <w:tblLook w:val="04A0" w:firstRow="1" w:lastRow="0" w:firstColumn="1" w:lastColumn="0" w:noHBand="0" w:noVBand="1"/>
      </w:tblPr>
      <w:tblGrid>
        <w:gridCol w:w="1725"/>
        <w:gridCol w:w="2362"/>
        <w:gridCol w:w="2362"/>
        <w:gridCol w:w="794"/>
        <w:gridCol w:w="835"/>
        <w:gridCol w:w="874"/>
        <w:gridCol w:w="959"/>
        <w:gridCol w:w="959"/>
        <w:gridCol w:w="959"/>
        <w:gridCol w:w="959"/>
        <w:gridCol w:w="959"/>
        <w:gridCol w:w="959"/>
      </w:tblGrid>
      <w:tr w:rsidR="000C2622" w:rsidRPr="006E0528" w:rsidTr="00602BE7">
        <w:trPr>
          <w:trHeight w:val="200"/>
        </w:trPr>
        <w:tc>
          <w:tcPr>
            <w:tcW w:w="1390" w:type="pct"/>
            <w:gridSpan w:val="2"/>
            <w:tcBorders>
              <w:top w:val="single" w:sz="4" w:space="0" w:color="auto"/>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lang w:eastAsia="nl-NL"/>
              </w:rPr>
            </w:pPr>
            <w:r w:rsidRPr="006E0528">
              <w:rPr>
                <w:rFonts w:ascii="Verdana" w:hAnsi="Verdana" w:cs="Arial"/>
                <w:b/>
                <w:bCs/>
                <w:sz w:val="12"/>
                <w:szCs w:val="12"/>
              </w:rPr>
              <w:t>Beleidsartikel 3 Sociale vooruitgang</w:t>
            </w:r>
          </w:p>
        </w:tc>
        <w:tc>
          <w:tcPr>
            <w:tcW w:w="803" w:type="pct"/>
            <w:tcBorders>
              <w:top w:val="single" w:sz="4" w:space="0" w:color="auto"/>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70" w:type="pct"/>
            <w:tcBorders>
              <w:top w:val="single" w:sz="4" w:space="0" w:color="auto"/>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284"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 via</w:t>
            </w:r>
          </w:p>
        </w:tc>
        <w:tc>
          <w:tcPr>
            <w:tcW w:w="297"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Vastgestelde</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w:t>
            </w:r>
          </w:p>
        </w:tc>
        <w:tc>
          <w:tcPr>
            <w:tcW w:w="326"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r>
      <w:tr w:rsidR="000C2622" w:rsidRPr="006E0528" w:rsidTr="00602BE7">
        <w:trPr>
          <w:trHeight w:val="200"/>
        </w:trPr>
        <w:tc>
          <w:tcPr>
            <w:tcW w:w="1390"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Bedragen in EUR 1 000</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270"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ontwerp-</w:t>
            </w:r>
          </w:p>
        </w:tc>
        <w:tc>
          <w:tcPr>
            <w:tcW w:w="284"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amende</w:t>
            </w:r>
            <w:proofErr w:type="spellEnd"/>
            <w:r w:rsidRPr="006E0528">
              <w:rPr>
                <w:rFonts w:ascii="Verdana" w:hAnsi="Verdana" w:cs="Arial"/>
                <w:sz w:val="12"/>
                <w:szCs w:val="12"/>
              </w:rPr>
              <w:t>-</w:t>
            </w:r>
          </w:p>
        </w:tc>
        <w:tc>
          <w:tcPr>
            <w:tcW w:w="297"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r>
      <w:tr w:rsidR="000C2622" w:rsidRPr="006E0528" w:rsidTr="00602BE7">
        <w:trPr>
          <w:trHeight w:val="200"/>
        </w:trPr>
        <w:tc>
          <w:tcPr>
            <w:tcW w:w="587"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70"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284"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menten</w:t>
            </w:r>
            <w:proofErr w:type="spellEnd"/>
          </w:p>
        </w:tc>
        <w:tc>
          <w:tcPr>
            <w:tcW w:w="297"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r>
      <w:tr w:rsidR="000C2622" w:rsidRPr="006E0528" w:rsidTr="00602BE7">
        <w:trPr>
          <w:trHeight w:val="200"/>
        </w:trPr>
        <w:tc>
          <w:tcPr>
            <w:tcW w:w="587"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70"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284"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r>
      <w:tr w:rsidR="000C2622" w:rsidRPr="006E0528" w:rsidTr="00602BE7">
        <w:trPr>
          <w:trHeight w:val="200"/>
        </w:trPr>
        <w:tc>
          <w:tcPr>
            <w:tcW w:w="587"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70"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284"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297"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2018</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2019</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2020</w:t>
            </w:r>
          </w:p>
        </w:tc>
        <w:tc>
          <w:tcPr>
            <w:tcW w:w="326"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2021</w:t>
            </w:r>
          </w:p>
        </w:tc>
      </w:tr>
      <w:tr w:rsidR="000C2622" w:rsidRPr="006E0528" w:rsidTr="00602BE7">
        <w:trPr>
          <w:trHeight w:val="200"/>
        </w:trPr>
        <w:tc>
          <w:tcPr>
            <w:tcW w:w="1390" w:type="pct"/>
            <w:gridSpan w:val="2"/>
            <w:tcBorders>
              <w:top w:val="nil"/>
              <w:left w:val="single" w:sz="4" w:space="0" w:color="auto"/>
              <w:bottom w:val="single" w:sz="4" w:space="0" w:color="auto"/>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(3)=(1+2)</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(5)=(3+4)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13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Verplichtingen</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222 763</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222 763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173 437</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Pr>
                <w:rFonts w:ascii="Verdana" w:hAnsi="Verdana" w:cs="Arial"/>
                <w:b/>
                <w:bCs/>
                <w:sz w:val="12"/>
                <w:szCs w:val="12"/>
              </w:rPr>
              <w:t>396 200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28 750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- 7 350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- 69 850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- 70 850</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13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Uitgaven:</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Programma-uitgaven totaal</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727 524</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727 524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- 10 376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717 148</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96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870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1 806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11 806</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waarvan juridisch verplicht</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96%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54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3.1</w:t>
            </w:r>
          </w:p>
        </w:tc>
        <w:tc>
          <w:tcPr>
            <w:tcW w:w="1606"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Seksuele en reproductieve gezondheid en rechten voor iedereen en een halt aan de verspreiding van HIV/aids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416 784</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416 784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416 784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Centrale programma's SRGR &amp; HIV/aids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168 914</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168 914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- 2 011</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166 903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000000" w:fill="FFFFFF"/>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UNICEF</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UNAIDS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18 000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495"/>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SRGR; Strategische Alliantie Internationale </w:t>
            </w:r>
            <w:proofErr w:type="spellStart"/>
            <w:r w:rsidRPr="006E0528">
              <w:rPr>
                <w:rFonts w:ascii="Verdana" w:hAnsi="Verdana" w:cs="Arial"/>
                <w:sz w:val="12"/>
                <w:szCs w:val="12"/>
              </w:rPr>
              <w:t>NGO's</w:t>
            </w:r>
            <w:proofErr w:type="spellEnd"/>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48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lang w:val="en-US"/>
              </w:rPr>
            </w:pPr>
            <w:r w:rsidRPr="006E0528">
              <w:rPr>
                <w:rFonts w:ascii="Verdana" w:hAnsi="Verdana" w:cs="Arial"/>
                <w:sz w:val="12"/>
                <w:szCs w:val="12"/>
                <w:lang w:val="en-US"/>
              </w:rPr>
              <w:t>Global Fund to Fight Aids, Malaria and Tuberculosis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lang w:val="en-US"/>
              </w:rPr>
              <w:t xml:space="preserve"> </w:t>
            </w:r>
            <w:r w:rsidRPr="006E0528">
              <w:rPr>
                <w:rFonts w:ascii="Verdana" w:hAnsi="Verdana" w:cs="Arial"/>
                <w:sz w:val="12"/>
                <w:szCs w:val="12"/>
              </w:rPr>
              <w:t>52 000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52 000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52 000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000000" w:fill="FFFFFF"/>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UNFPA</w:t>
            </w:r>
          </w:p>
        </w:tc>
        <w:tc>
          <w:tcPr>
            <w:tcW w:w="270" w:type="pct"/>
            <w:tcBorders>
              <w:top w:val="nil"/>
              <w:left w:val="nil"/>
              <w:bottom w:val="single" w:sz="4" w:space="0" w:color="auto"/>
              <w:right w:val="single" w:sz="4" w:space="0" w:color="auto"/>
            </w:tcBorders>
            <w:shd w:val="clear" w:color="000000" w:fill="FFFFFF"/>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65 500</w:t>
            </w:r>
          </w:p>
        </w:tc>
        <w:tc>
          <w:tcPr>
            <w:tcW w:w="284" w:type="pct"/>
            <w:tcBorders>
              <w:top w:val="nil"/>
              <w:left w:val="nil"/>
              <w:bottom w:val="single" w:sz="4" w:space="0" w:color="auto"/>
              <w:right w:val="single" w:sz="4" w:space="0" w:color="auto"/>
            </w:tcBorders>
            <w:shd w:val="clear" w:color="000000" w:fill="FFFFFF"/>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65 500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68 500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WHO-PAHO</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6 713</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6 713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6 713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Partnershipprogramma WHO</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11 683</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11 683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11 683</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55"/>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SRGR &amp; HIV/aids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83 974</w:t>
            </w:r>
          </w:p>
        </w:tc>
        <w:tc>
          <w:tcPr>
            <w:tcW w:w="284" w:type="pct"/>
            <w:tcBorders>
              <w:top w:val="nil"/>
              <w:left w:val="nil"/>
              <w:bottom w:val="nil"/>
              <w:right w:val="nil"/>
            </w:tcBorders>
            <w:shd w:val="clear" w:color="auto" w:fill="auto"/>
            <w:noWrap/>
            <w:vAlign w:val="bottom"/>
            <w:hideMark/>
          </w:tcPr>
          <w:p w:rsidR="000C2622" w:rsidRPr="006E0528" w:rsidRDefault="000C2622" w:rsidP="00602BE7">
            <w:pPr>
              <w:jc w:val="right"/>
              <w:rPr>
                <w:rFonts w:ascii="Verdana" w:hAnsi="Verdana" w:cs="Arial"/>
                <w:sz w:val="12"/>
                <w:szCs w:val="12"/>
              </w:rPr>
            </w:pP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83 974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- 1 989</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81 985</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vAlign w:val="center"/>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3.2</w:t>
            </w:r>
          </w:p>
        </w:tc>
        <w:tc>
          <w:tcPr>
            <w:tcW w:w="1606" w:type="pct"/>
            <w:gridSpan w:val="2"/>
            <w:tcBorders>
              <w:top w:val="single" w:sz="4" w:space="0" w:color="auto"/>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Gelijke rechten en kansen voor vrouwen</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53 989</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53 989</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- 10 290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43 699</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400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400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400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9 600</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Vrouwenrechten en gendergelijkheid</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42 289</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42 289</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- 10 550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31 739</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sz w:val="12"/>
                <w:szCs w:val="12"/>
              </w:rPr>
            </w:pPr>
          </w:p>
        </w:tc>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lastRenderedPageBreak/>
              <w:t>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UNWOMEN</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4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sz w:val="12"/>
                <w:szCs w:val="12"/>
              </w:rPr>
            </w:pPr>
          </w:p>
        </w:tc>
        <w:tc>
          <w:tcPr>
            <w:tcW w:w="803" w:type="pct"/>
            <w:tcBorders>
              <w:top w:val="nil"/>
              <w:left w:val="single" w:sz="4" w:space="0" w:color="auto"/>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gelijke rechten en kansen voor vrouwen</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4 700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4 700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260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4 960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3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3.3</w:t>
            </w:r>
          </w:p>
        </w:tc>
        <w:tc>
          <w:tcPr>
            <w:tcW w:w="1606" w:type="pct"/>
            <w:gridSpan w:val="2"/>
            <w:tcBorders>
              <w:top w:val="single" w:sz="4" w:space="0" w:color="auto"/>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Versterkt maatschappelijk middenveld</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221 451</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221 451</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86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221 365</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304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1 270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2 206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2 206</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Vakbondsmedefinancieringsprogramma</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2 451</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2 451</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2 451</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SNV programma</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Strategische partnerschappen</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219 000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219 000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936</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218 064</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proofErr w:type="spellStart"/>
            <w:r w:rsidRPr="006E0528">
              <w:rPr>
                <w:rFonts w:ascii="Verdana" w:hAnsi="Verdana" w:cs="Arial"/>
                <w:sz w:val="12"/>
                <w:szCs w:val="12"/>
              </w:rPr>
              <w:t>Twinningsfaciliteit</w:t>
            </w:r>
            <w:proofErr w:type="spellEnd"/>
            <w:r w:rsidRPr="006E0528">
              <w:rPr>
                <w:rFonts w:ascii="Verdana" w:hAnsi="Verdana" w:cs="Arial"/>
                <w:sz w:val="12"/>
                <w:szCs w:val="12"/>
              </w:rPr>
              <w:t xml:space="preserve"> Suriname</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850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850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1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720"/>
        </w:trPr>
        <w:tc>
          <w:tcPr>
            <w:tcW w:w="587"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3.4</w:t>
            </w:r>
          </w:p>
        </w:tc>
        <w:tc>
          <w:tcPr>
            <w:tcW w:w="1606"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xml:space="preserve">Toename van het aantal goed opgeleide professionals, versterking van hoger- en beroepsonderwijsinstellingen en het bevorderen van beleidsrelevant onderzoek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35 300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35 300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35 300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Onderzoekprogramma's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3 000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3 000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Onderwijsprogramma's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Internationale hoger onderwijsprogramma's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32 300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32 300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32 300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hoger onderwijs</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8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803"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bl>
    <w:p w:rsidR="000C2622" w:rsidRPr="003067A5" w:rsidRDefault="000C2622" w:rsidP="000C2622">
      <w:pPr>
        <w:rPr>
          <w:rFonts w:ascii="Verdana" w:hAnsi="Verdana"/>
          <w:i/>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Verplichtingen</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Het verplichtingenbudget voor artikel 3 stijgt met EUR 173,4 miljoen. Het betreft met name een nieuwe verplichting van EUR 166 miljoen voor het Global Fund </w:t>
      </w:r>
      <w:proofErr w:type="spellStart"/>
      <w:r w:rsidRPr="003067A5">
        <w:rPr>
          <w:rFonts w:ascii="Verdana" w:hAnsi="Verdana"/>
          <w:sz w:val="18"/>
          <w:szCs w:val="18"/>
        </w:rPr>
        <w:t>to</w:t>
      </w:r>
      <w:proofErr w:type="spellEnd"/>
      <w:r w:rsidRPr="003067A5">
        <w:rPr>
          <w:rFonts w:ascii="Verdana" w:hAnsi="Verdana"/>
          <w:sz w:val="18"/>
          <w:szCs w:val="18"/>
        </w:rPr>
        <w:t xml:space="preserve"> </w:t>
      </w:r>
      <w:proofErr w:type="spellStart"/>
      <w:r w:rsidRPr="003067A5">
        <w:rPr>
          <w:rFonts w:ascii="Verdana" w:hAnsi="Verdana"/>
          <w:sz w:val="18"/>
          <w:szCs w:val="18"/>
        </w:rPr>
        <w:t>Fight</w:t>
      </w:r>
      <w:proofErr w:type="spellEnd"/>
      <w:r w:rsidRPr="003067A5">
        <w:rPr>
          <w:rFonts w:ascii="Verdana" w:hAnsi="Verdana"/>
          <w:sz w:val="18"/>
          <w:szCs w:val="18"/>
        </w:rPr>
        <w:t xml:space="preserve"> Aids, TB </w:t>
      </w:r>
      <w:proofErr w:type="spellStart"/>
      <w:r w:rsidRPr="003067A5">
        <w:rPr>
          <w:rFonts w:ascii="Verdana" w:hAnsi="Verdana"/>
          <w:sz w:val="18"/>
          <w:szCs w:val="18"/>
        </w:rPr>
        <w:t>and</w:t>
      </w:r>
      <w:proofErr w:type="spellEnd"/>
      <w:r w:rsidRPr="003067A5">
        <w:rPr>
          <w:rFonts w:ascii="Verdana" w:hAnsi="Verdana"/>
          <w:sz w:val="18"/>
          <w:szCs w:val="18"/>
        </w:rPr>
        <w:t xml:space="preserve"> Malaria (GFATM). Deze verplichting was voorzien voor 2016 maar kon nog niet worden aangegaan. Daarnaast worden in enkele partnerlanden (o.a. Benin en Mozambique) nieuwe activiteiten gestart op het gebied van SRGR en wordt voor Suriname een volgende fase gecommitteerd voor het </w:t>
      </w:r>
      <w:proofErr w:type="spellStart"/>
      <w:r w:rsidRPr="003067A5">
        <w:rPr>
          <w:rFonts w:ascii="Verdana" w:hAnsi="Verdana"/>
          <w:sz w:val="18"/>
          <w:szCs w:val="18"/>
        </w:rPr>
        <w:t>Twinning</w:t>
      </w:r>
      <w:proofErr w:type="spellEnd"/>
      <w:r w:rsidRPr="003067A5">
        <w:rPr>
          <w:rFonts w:ascii="Verdana" w:hAnsi="Verdana"/>
          <w:sz w:val="18"/>
          <w:szCs w:val="18"/>
        </w:rPr>
        <w:t xml:space="preserve"> project 2017-2020 (EUR 6,5 miljoen). </w:t>
      </w:r>
    </w:p>
    <w:p w:rsidR="000C2622" w:rsidRPr="003067A5" w:rsidRDefault="000C2622" w:rsidP="000C2622">
      <w:pPr>
        <w:rPr>
          <w:rFonts w:ascii="Verdana" w:hAnsi="Verdana"/>
          <w:sz w:val="18"/>
          <w:szCs w:val="18"/>
        </w:rPr>
      </w:pPr>
      <w:r w:rsidRPr="003067A5">
        <w:rPr>
          <w:rFonts w:ascii="Verdana" w:hAnsi="Verdana"/>
          <w:sz w:val="18"/>
          <w:szCs w:val="18"/>
        </w:rPr>
        <w:t xml:space="preserve"> </w:t>
      </w:r>
    </w:p>
    <w:p w:rsidR="000C2622" w:rsidRPr="003067A5" w:rsidRDefault="000C2622" w:rsidP="000C2622">
      <w:pPr>
        <w:rPr>
          <w:rFonts w:ascii="Verdana" w:hAnsi="Verdana"/>
          <w:b/>
          <w:i/>
          <w:sz w:val="18"/>
          <w:szCs w:val="18"/>
        </w:rPr>
      </w:pPr>
      <w:r w:rsidRPr="003067A5">
        <w:rPr>
          <w:rFonts w:ascii="Verdana" w:hAnsi="Verdana"/>
          <w:b/>
          <w:i/>
          <w:sz w:val="18"/>
          <w:szCs w:val="18"/>
        </w:rPr>
        <w:t>Uitgaven</w:t>
      </w:r>
    </w:p>
    <w:p w:rsidR="000C2622" w:rsidRPr="003067A5" w:rsidRDefault="000C2622" w:rsidP="000C2622">
      <w:pPr>
        <w:rPr>
          <w:rFonts w:ascii="Verdana" w:hAnsi="Verdana" w:cs="Calibri"/>
          <w:sz w:val="18"/>
          <w:szCs w:val="18"/>
          <w:u w:val="single"/>
        </w:rPr>
      </w:pPr>
    </w:p>
    <w:p w:rsidR="000C2622" w:rsidRPr="003067A5" w:rsidRDefault="000C2622" w:rsidP="000C2622">
      <w:pPr>
        <w:rPr>
          <w:rFonts w:ascii="Verdana" w:hAnsi="Verdana" w:cs="Calibri"/>
          <w:sz w:val="18"/>
          <w:szCs w:val="18"/>
        </w:rPr>
      </w:pPr>
      <w:r w:rsidRPr="003067A5">
        <w:rPr>
          <w:rFonts w:ascii="Verdana" w:hAnsi="Verdana" w:cs="Calibri"/>
          <w:sz w:val="18"/>
          <w:szCs w:val="18"/>
          <w:u w:val="single"/>
        </w:rPr>
        <w:t>Artikel 3.1</w:t>
      </w:r>
      <w:r w:rsidRPr="003067A5">
        <w:rPr>
          <w:rFonts w:ascii="Verdana" w:hAnsi="Verdana" w:cs="Calibri"/>
          <w:sz w:val="18"/>
          <w:szCs w:val="18"/>
        </w:rPr>
        <w:t xml:space="preserve">: </w:t>
      </w:r>
    </w:p>
    <w:p w:rsidR="000C2622" w:rsidRPr="003067A5" w:rsidRDefault="000C2622" w:rsidP="000C2622">
      <w:pPr>
        <w:rPr>
          <w:rFonts w:ascii="Verdana" w:hAnsi="Verdana" w:cs="Calibri"/>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Per saldo is er op dit artikel geen mutatie. Wel wordt invulling gegeven aan het amendement Taverne (34 550 XVII/</w:t>
      </w:r>
      <w:proofErr w:type="spellStart"/>
      <w:r w:rsidRPr="003067A5">
        <w:rPr>
          <w:rFonts w:ascii="Verdana" w:hAnsi="Verdana"/>
          <w:sz w:val="18"/>
          <w:szCs w:val="18"/>
        </w:rPr>
        <w:t>nr</w:t>
      </w:r>
      <w:proofErr w:type="spellEnd"/>
      <w:r w:rsidRPr="003067A5">
        <w:rPr>
          <w:rFonts w:ascii="Verdana" w:hAnsi="Verdana"/>
          <w:sz w:val="18"/>
          <w:szCs w:val="18"/>
        </w:rPr>
        <w:t xml:space="preserve"> 16) waarbij EUR 3 miljoen wordt vrijgemaakt om de keuzevrijheid van vrouwen te vergroten. De middelen worden via UNFPA ingezet.  Dekking hiervan wordt onder andere gevonden door verlaging van het budget voor Seksuele en reproductieve gezondheid en rechten (SRGR) programma’s in onder andere Mozambique.</w:t>
      </w:r>
    </w:p>
    <w:p w:rsidR="000C2622" w:rsidRPr="003067A5" w:rsidRDefault="000C2622" w:rsidP="000C2622">
      <w:pPr>
        <w:autoSpaceDE w:val="0"/>
        <w:autoSpaceDN w:val="0"/>
        <w:adjustRightInd w:val="0"/>
        <w:rPr>
          <w:rFonts w:ascii="Verdana" w:hAnsi="Verdana" w:cs="Courier New"/>
          <w:sz w:val="18"/>
          <w:szCs w:val="18"/>
          <w:u w:val="single"/>
        </w:rPr>
      </w:pPr>
    </w:p>
    <w:p w:rsidR="000C2622" w:rsidRPr="003067A5" w:rsidRDefault="000C2622" w:rsidP="000C2622">
      <w:pPr>
        <w:autoSpaceDE w:val="0"/>
        <w:autoSpaceDN w:val="0"/>
        <w:adjustRightInd w:val="0"/>
        <w:rPr>
          <w:rFonts w:ascii="Verdana" w:hAnsi="Verdana" w:cs="Courier New"/>
          <w:sz w:val="18"/>
          <w:szCs w:val="18"/>
          <w:u w:val="single"/>
        </w:rPr>
      </w:pPr>
    </w:p>
    <w:p w:rsidR="000C2622" w:rsidRPr="003067A5" w:rsidRDefault="000C2622" w:rsidP="000C2622">
      <w:pPr>
        <w:autoSpaceDE w:val="0"/>
        <w:autoSpaceDN w:val="0"/>
        <w:adjustRightInd w:val="0"/>
        <w:rPr>
          <w:rFonts w:ascii="Verdana" w:hAnsi="Verdana" w:cs="Courier New"/>
          <w:sz w:val="18"/>
          <w:szCs w:val="18"/>
          <w:u w:val="single"/>
        </w:rPr>
      </w:pPr>
      <w:r w:rsidRPr="003067A5">
        <w:rPr>
          <w:rFonts w:ascii="Verdana" w:hAnsi="Verdana" w:cs="Courier New"/>
          <w:sz w:val="18"/>
          <w:szCs w:val="18"/>
          <w:u w:val="single"/>
        </w:rPr>
        <w:t xml:space="preserve">Artikel 3.2: </w:t>
      </w:r>
    </w:p>
    <w:p w:rsidR="000C2622" w:rsidRPr="003067A5" w:rsidRDefault="000C2622" w:rsidP="000C2622">
      <w:pPr>
        <w:autoSpaceDE w:val="0"/>
        <w:autoSpaceDN w:val="0"/>
        <w:adjustRightInd w:val="0"/>
        <w:rPr>
          <w:rFonts w:ascii="Verdana" w:hAnsi="Verdana" w:cs="Courier New"/>
          <w:sz w:val="18"/>
          <w:szCs w:val="18"/>
          <w:u w:val="single"/>
        </w:rPr>
      </w:pPr>
    </w:p>
    <w:p w:rsidR="000C2622" w:rsidRPr="003067A5" w:rsidRDefault="000C2622" w:rsidP="000C2622">
      <w:pPr>
        <w:rPr>
          <w:rFonts w:ascii="Verdana" w:hAnsi="Verdana"/>
          <w:sz w:val="18"/>
          <w:szCs w:val="18"/>
        </w:rPr>
      </w:pPr>
      <w:r w:rsidRPr="003067A5">
        <w:rPr>
          <w:rFonts w:ascii="Verdana" w:hAnsi="Verdana"/>
          <w:sz w:val="18"/>
          <w:szCs w:val="18"/>
        </w:rPr>
        <w:t xml:space="preserve">Het budget wordt per saldo verlaagd met EUR 10,3 miljoen. De motie Van Laar/Van Veldhoven (Kamerstuk 33 625, nr. 207) beoogt ondersteuning van Zuidelijke vrouwenorganisaties vanaf 2017. Om uitvoering van deze motie en de daaruit voortvloeiende activiteiten in 2017 mogelijk te maken, is financiering al in 2016 ter beschikking  gesteld en wordt het budget voor 2017 daarom verlaagd.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br w:type="page"/>
      </w:r>
    </w:p>
    <w:p w:rsidR="000C2622" w:rsidRPr="003067A5" w:rsidRDefault="000C2622" w:rsidP="000C2622">
      <w:pPr>
        <w:rPr>
          <w:rFonts w:ascii="Verdana" w:hAnsi="Verdana"/>
          <w:b/>
          <w:sz w:val="18"/>
          <w:szCs w:val="18"/>
        </w:rPr>
      </w:pPr>
      <w:r w:rsidRPr="003067A5">
        <w:rPr>
          <w:rFonts w:ascii="Verdana" w:hAnsi="Verdana"/>
          <w:b/>
          <w:sz w:val="18"/>
          <w:szCs w:val="18"/>
        </w:rPr>
        <w:lastRenderedPageBreak/>
        <w:t xml:space="preserve">Beleidsartikel 4 </w:t>
      </w:r>
    </w:p>
    <w:p w:rsidR="000C2622" w:rsidRPr="003067A5" w:rsidRDefault="000C2622" w:rsidP="000C2622">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1803"/>
        <w:gridCol w:w="1448"/>
        <w:gridCol w:w="2248"/>
        <w:gridCol w:w="1023"/>
        <w:gridCol w:w="1023"/>
        <w:gridCol w:w="1023"/>
        <w:gridCol w:w="1023"/>
        <w:gridCol w:w="1023"/>
        <w:gridCol w:w="1023"/>
        <w:gridCol w:w="1023"/>
        <w:gridCol w:w="1023"/>
        <w:gridCol w:w="1023"/>
      </w:tblGrid>
      <w:tr w:rsidR="000C2622" w:rsidRPr="006E0528" w:rsidTr="00602BE7">
        <w:trPr>
          <w:trHeight w:val="200"/>
        </w:trPr>
        <w:tc>
          <w:tcPr>
            <w:tcW w:w="1000" w:type="pct"/>
            <w:gridSpan w:val="2"/>
            <w:tcBorders>
              <w:top w:val="single" w:sz="4" w:space="0" w:color="auto"/>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lang w:eastAsia="nl-NL"/>
              </w:rPr>
            </w:pPr>
            <w:r w:rsidRPr="006E0528">
              <w:rPr>
                <w:rFonts w:ascii="Verdana" w:hAnsi="Verdana" w:cs="Arial"/>
                <w:b/>
                <w:bCs/>
                <w:sz w:val="12"/>
                <w:szCs w:val="12"/>
              </w:rPr>
              <w:t>Beleidsartikel 4 Vrede en veiligheid</w:t>
            </w:r>
          </w:p>
        </w:tc>
        <w:tc>
          <w:tcPr>
            <w:tcW w:w="774" w:type="pct"/>
            <w:tcBorders>
              <w:top w:val="single" w:sz="4" w:space="0" w:color="auto"/>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single" w:sz="4" w:space="0" w:color="auto"/>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 via</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Vastgestelde</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w:t>
            </w:r>
          </w:p>
        </w:tc>
        <w:tc>
          <w:tcPr>
            <w:tcW w:w="358"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r>
      <w:tr w:rsidR="000C2622" w:rsidRPr="006E0528" w:rsidTr="00602BE7">
        <w:trPr>
          <w:trHeight w:val="200"/>
        </w:trPr>
        <w:tc>
          <w:tcPr>
            <w:tcW w:w="1000"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voor ontwikkeling</w:t>
            </w:r>
          </w:p>
        </w:tc>
        <w:tc>
          <w:tcPr>
            <w:tcW w:w="774"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358"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ontwerp-</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amende</w:t>
            </w:r>
            <w:proofErr w:type="spellEnd"/>
            <w:r w:rsidRPr="006E0528">
              <w:rPr>
                <w:rFonts w:ascii="Verdana" w:hAnsi="Verdana" w:cs="Arial"/>
                <w:sz w:val="12"/>
                <w:szCs w:val="12"/>
              </w:rPr>
              <w:t>-</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r>
      <w:tr w:rsidR="000C2622" w:rsidRPr="006E0528" w:rsidTr="00602BE7">
        <w:trPr>
          <w:trHeight w:val="200"/>
        </w:trPr>
        <w:tc>
          <w:tcPr>
            <w:tcW w:w="1000"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Bedragen in EUR 1 000</w:t>
            </w:r>
          </w:p>
        </w:tc>
        <w:tc>
          <w:tcPr>
            <w:tcW w:w="774"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358"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menten</w:t>
            </w:r>
            <w:proofErr w:type="spellEnd"/>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r>
      <w:tr w:rsidR="000C2622" w:rsidRPr="006E0528" w:rsidTr="00602BE7">
        <w:trPr>
          <w:trHeight w:val="200"/>
        </w:trPr>
        <w:tc>
          <w:tcPr>
            <w:tcW w:w="497"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774"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358"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r>
      <w:tr w:rsidR="000C2622" w:rsidRPr="006E0528" w:rsidTr="00602BE7">
        <w:trPr>
          <w:trHeight w:val="200"/>
        </w:trPr>
        <w:tc>
          <w:tcPr>
            <w:tcW w:w="497"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774"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358"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2018</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2019</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2020</w:t>
            </w:r>
          </w:p>
        </w:tc>
        <w:tc>
          <w:tcPr>
            <w:tcW w:w="358"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2021</w:t>
            </w:r>
          </w:p>
        </w:tc>
      </w:tr>
      <w:tr w:rsidR="000C2622" w:rsidRPr="006E0528" w:rsidTr="00602BE7">
        <w:trPr>
          <w:trHeight w:val="200"/>
        </w:trPr>
        <w:tc>
          <w:tcPr>
            <w:tcW w:w="1000" w:type="pct"/>
            <w:gridSpan w:val="2"/>
            <w:tcBorders>
              <w:top w:val="nil"/>
              <w:left w:val="single" w:sz="4" w:space="0" w:color="auto"/>
              <w:bottom w:val="single" w:sz="4" w:space="0" w:color="auto"/>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(3)=(1+2)</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(5)=(3+4)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Verplichtingen</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329 990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329 990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227 753</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557 743</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- 30 081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- 8 264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145 736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- 18 264</w:t>
            </w:r>
          </w:p>
        </w:tc>
      </w:tr>
      <w:tr w:rsidR="000C2622" w:rsidRPr="006E0528" w:rsidTr="00602BE7">
        <w:trPr>
          <w:trHeight w:val="25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Uitgaven:</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Programma-uitgaven totaal</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469 106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469 106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245 368</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714 474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174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5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waarvan juridisch verplicht</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71%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25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4.1</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Humanitaire hulp</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220 017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220 017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174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220 191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174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UNHCR</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Wereldvoedselprogramma</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UNRWA</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13 000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13 000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13 000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Noodhulpprogramma's</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124 000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124 000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124 000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nil"/>
              <w:right w:val="nil"/>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Noodhulpprogramma's non-ODA</w:t>
            </w:r>
          </w:p>
        </w:tc>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1 017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1 017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174</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1 191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65"/>
        </w:trPr>
        <w:tc>
          <w:tcPr>
            <w:tcW w:w="497"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4.3</w:t>
            </w:r>
          </w:p>
        </w:tc>
        <w:tc>
          <w:tcPr>
            <w:tcW w:w="1277"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Rechtstaatontwikkeling, wederopbouw, vredesopbouw, versterkte legitimiteit van democratische structuren en tegengaan van corruptie</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191 718</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191 718</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142 217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333 935</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774"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legitieme en capabele overheid</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1 530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1 530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259</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1 789</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Landenprogramma's functionerende rechtsorde</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79 126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79 126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19 050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98 176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Midden Amerika programma</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6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xml:space="preserve">Landenprogramma's inclusieve en politieke processen; vredesdialoog en </w:t>
            </w:r>
            <w:proofErr w:type="spellStart"/>
            <w:r w:rsidRPr="006E0528">
              <w:rPr>
                <w:rFonts w:ascii="Verdana" w:hAnsi="Verdana" w:cs="Arial"/>
                <w:sz w:val="12"/>
                <w:szCs w:val="12"/>
              </w:rPr>
              <w:t>confilictpreventie</w:t>
            </w:r>
            <w:proofErr w:type="spellEnd"/>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4 500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4 500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4 500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2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functionerende rechtsorde</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3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Inclusieve politieke processen: vredesdialoog en conflictpreventie</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31 287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31 287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- 10 000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21 287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0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lastRenderedPageBreak/>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Vredesdividend: werkgelegenheid en basisvoorzieningen</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20 000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66 000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2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Legitieme en capabele overheid</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19 275</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19 275</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691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19 966</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2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nil"/>
              <w:right w:val="nil"/>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Vluchtelingenopvang in de regio</w:t>
            </w:r>
          </w:p>
        </w:tc>
        <w:tc>
          <w:tcPr>
            <w:tcW w:w="358"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112 217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112 217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2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25"/>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70"/>
        </w:trPr>
        <w:tc>
          <w:tcPr>
            <w:tcW w:w="497"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4.4</w:t>
            </w:r>
          </w:p>
        </w:tc>
        <w:tc>
          <w:tcPr>
            <w:tcW w:w="1277"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Noodhulpfonds</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57 371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57 371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102 977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160 348</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10"/>
        </w:trPr>
        <w:tc>
          <w:tcPr>
            <w:tcW w:w="497"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300"/>
        </w:trPr>
        <w:tc>
          <w:tcPr>
            <w:tcW w:w="497"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774"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Noodhulpfonds</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57 371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57 371</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102 977</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160 348</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4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03"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774"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58"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bl>
    <w:p w:rsidR="000C2622" w:rsidRPr="003067A5" w:rsidRDefault="000C2622" w:rsidP="000C2622">
      <w:pPr>
        <w:rPr>
          <w:rFonts w:ascii="Verdana" w:hAnsi="Verdana"/>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Verplichtingen</w:t>
      </w: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Het verplichtingenbudget voor artikel 4 wordt verhoogd met EUR 227,8 miljoen. Het betreft met name verplichtingen voor het Noodhulpfonds en Opvang in de Regio.  Zie verder hieronder de toelichting bij de uitgaven.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cs="Arial"/>
          <w:sz w:val="18"/>
          <w:szCs w:val="18"/>
        </w:rPr>
      </w:pPr>
      <w:r w:rsidRPr="003067A5">
        <w:rPr>
          <w:rFonts w:ascii="Verdana" w:hAnsi="Verdana"/>
          <w:sz w:val="18"/>
          <w:szCs w:val="18"/>
        </w:rPr>
        <w:t xml:space="preserve">Tenslotte wordt een aantal verplichtingen voor de landenprogramma’s op het speerpunt ‘Veiligheid en rechtsorde’ in 2017 aangegaan in plaats van 2016. Het betreft onder andere programma’s in Burundi (EUR 3,9 miljoen), Mali (EUR 15) en de Palestijnse Gebieden </w:t>
      </w:r>
      <w:r w:rsidRPr="003067A5">
        <w:rPr>
          <w:rFonts w:ascii="Verdana" w:hAnsi="Verdana" w:cs="Arial"/>
          <w:sz w:val="18"/>
          <w:szCs w:val="18"/>
        </w:rPr>
        <w:t xml:space="preserve">(EUR 16,1 miljoen). </w:t>
      </w:r>
    </w:p>
    <w:p w:rsidR="000C2622" w:rsidRDefault="000C2622" w:rsidP="000C2622">
      <w:pPr>
        <w:rPr>
          <w:rFonts w:ascii="Verdana" w:hAnsi="Verdana"/>
          <w:b/>
          <w:sz w:val="18"/>
          <w:szCs w:val="18"/>
        </w:rPr>
      </w:pPr>
    </w:p>
    <w:p w:rsidR="000C2622" w:rsidRDefault="000C2622" w:rsidP="000C2622">
      <w:pPr>
        <w:rPr>
          <w:rFonts w:ascii="Verdana" w:hAnsi="Verdana"/>
          <w:b/>
          <w:sz w:val="18"/>
          <w:szCs w:val="18"/>
        </w:rPr>
      </w:pPr>
    </w:p>
    <w:p w:rsidR="000C2622" w:rsidRPr="003067A5" w:rsidRDefault="000C2622" w:rsidP="000C2622">
      <w:pPr>
        <w:rPr>
          <w:rFonts w:ascii="Verdana" w:hAnsi="Verdana" w:cs="Arial"/>
          <w:sz w:val="18"/>
          <w:szCs w:val="18"/>
        </w:rPr>
      </w:pPr>
      <w:r w:rsidRPr="003067A5">
        <w:rPr>
          <w:rFonts w:ascii="Verdana" w:hAnsi="Verdana"/>
          <w:b/>
          <w:sz w:val="18"/>
          <w:szCs w:val="18"/>
        </w:rPr>
        <w:t>Uitgaven</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4.3</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Per saldo wordt dit artikel met EUR 142,2 miljoen verhoogd. In 2016 is EUR 260 miljoen beschikbaar gesteld voor opvang in de regio.  Zie de kamerbrief van 2 mei 2016 (Kamerstuk </w:t>
      </w:r>
      <w:hyperlink r:id="rId7" w:tooltip="link naar publicatie kst-32605-182" w:history="1">
        <w:r w:rsidRPr="003067A5">
          <w:rPr>
            <w:rFonts w:ascii="Verdana" w:hAnsi="Verdana"/>
            <w:sz w:val="18"/>
            <w:szCs w:val="18"/>
            <w:u w:val="single"/>
          </w:rPr>
          <w:t>32 605 nr. 182</w:t>
        </w:r>
      </w:hyperlink>
      <w:r w:rsidRPr="003067A5">
        <w:rPr>
          <w:rFonts w:ascii="Verdana" w:hAnsi="Verdana"/>
          <w:sz w:val="18"/>
          <w:szCs w:val="18"/>
        </w:rPr>
        <w:t>). De middelen worden ingezet voor vluchtelingenopvang in de Syrië-regio. Van het totale bedrag resteert nog EUR 82,2 miljoen voor 2017. Daarnaast stelt het Kabinet nog eens EUR 30 miljoen ter beschikking voor vluchtelingenopvang in de regio noordelijk Afrika</w:t>
      </w:r>
      <w:r>
        <w:rPr>
          <w:rFonts w:ascii="Verdana" w:hAnsi="Verdana"/>
          <w:sz w:val="18"/>
          <w:szCs w:val="18"/>
        </w:rPr>
        <w:t xml:space="preserve"> (EUR 30 miljoen betreft een voorlopig bedrag. Het definitieve bedrag zal tijdens een komend begrotingsmoment gemeld worden)</w:t>
      </w:r>
      <w:r w:rsidRPr="003067A5">
        <w:rPr>
          <w:rFonts w:ascii="Verdana" w:hAnsi="Verdana"/>
          <w:sz w:val="18"/>
          <w:szCs w:val="18"/>
        </w:rPr>
        <w:t xml:space="preserve">. Hiermee komen de uitgaven voor opvang in de regio in 2017 uit op EUR 112,2 mln.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iCs/>
          <w:sz w:val="18"/>
          <w:szCs w:val="18"/>
        </w:rPr>
      </w:pPr>
      <w:r w:rsidRPr="003067A5">
        <w:rPr>
          <w:rFonts w:ascii="Verdana" w:hAnsi="Verdana"/>
          <w:iCs/>
          <w:sz w:val="18"/>
          <w:szCs w:val="18"/>
        </w:rPr>
        <w:t xml:space="preserve">Vanuit het Budget Internationale Veiligheid (BIV) op de begroting van het Ministerie van Defensie wordt, zoals gebruikelijk, EUR 30 miljoen overgeheveld naar de begroting van BHOS. Hieruit worden activiteiten gefinancierd op het terrein van stabiliteit, veiligheidssectorhervorming, rechtstaatontwikkeling en capaciteitsopbouw. Daarnaast vinden nog enkele technische mutaties plaats tussen de verschillende instrumenten binnen dit artikel.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4.4</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Het budget van het Noodhulpfonds in 2017 wordt verhoogd naar EUR 160,3 miljoen. De verhoging bestaat uit inzet van niet bestede middelen uit 2016 (EUR 46,3 miljoen), vrijkomende middelen als gevolg van een administratieve correctie op de ODA toerekening voor de kosten voor eerstejaars asielopvang voor 2017 (EUR 17 miljoen) en </w:t>
      </w:r>
      <w:r>
        <w:rPr>
          <w:rFonts w:ascii="Verdana" w:hAnsi="Verdana"/>
          <w:sz w:val="18"/>
          <w:szCs w:val="18"/>
        </w:rPr>
        <w:t xml:space="preserve">als gevolg van de </w:t>
      </w:r>
      <w:r w:rsidRPr="003067A5">
        <w:rPr>
          <w:rFonts w:ascii="Verdana" w:hAnsi="Verdana"/>
          <w:sz w:val="18"/>
          <w:szCs w:val="18"/>
        </w:rPr>
        <w:t xml:space="preserve">verlaging van de asieltoerekening 2017 (EUR 40 miljoen). Met de verhoging van het Noodhulpfonds kan tevens voldaan worden aan de motie Voordewind c.s. (32605 nr.197) die oproept het budget voor de </w:t>
      </w:r>
      <w:r w:rsidRPr="003067A5">
        <w:rPr>
          <w:rFonts w:ascii="Verdana" w:hAnsi="Verdana"/>
          <w:i/>
          <w:sz w:val="18"/>
          <w:szCs w:val="18"/>
        </w:rPr>
        <w:t xml:space="preserve">Dutch </w:t>
      </w:r>
      <w:proofErr w:type="spellStart"/>
      <w:r w:rsidRPr="003067A5">
        <w:rPr>
          <w:rFonts w:ascii="Verdana" w:hAnsi="Verdana"/>
          <w:i/>
          <w:sz w:val="18"/>
          <w:szCs w:val="18"/>
        </w:rPr>
        <w:t>Relief</w:t>
      </w:r>
      <w:proofErr w:type="spellEnd"/>
      <w:r w:rsidRPr="003067A5">
        <w:rPr>
          <w:rFonts w:ascii="Verdana" w:hAnsi="Verdana"/>
          <w:i/>
          <w:sz w:val="18"/>
          <w:szCs w:val="18"/>
        </w:rPr>
        <w:t xml:space="preserve"> Alliance</w:t>
      </w:r>
      <w:r w:rsidRPr="003067A5">
        <w:rPr>
          <w:rFonts w:ascii="Verdana" w:hAnsi="Verdana"/>
          <w:sz w:val="18"/>
          <w:szCs w:val="18"/>
        </w:rPr>
        <w:t xml:space="preserve"> </w:t>
      </w:r>
      <w:r w:rsidRPr="003067A5">
        <w:rPr>
          <w:rFonts w:ascii="Verdana" w:hAnsi="Verdana"/>
          <w:i/>
          <w:sz w:val="18"/>
          <w:szCs w:val="18"/>
        </w:rPr>
        <w:t>(DRA)</w:t>
      </w:r>
      <w:r w:rsidRPr="003067A5">
        <w:rPr>
          <w:rFonts w:ascii="Verdana" w:hAnsi="Verdana"/>
          <w:sz w:val="18"/>
          <w:szCs w:val="18"/>
        </w:rPr>
        <w:t xml:space="preserve"> in 2017 te verhogen met EUR 15 miljoen.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p>
    <w:p w:rsidR="000C2622" w:rsidRPr="003067A5" w:rsidRDefault="000C2622" w:rsidP="000C2622">
      <w:pPr>
        <w:rPr>
          <w:rFonts w:ascii="Verdana" w:hAnsi="Verdana"/>
          <w:b/>
          <w:sz w:val="18"/>
          <w:szCs w:val="18"/>
        </w:rPr>
      </w:pPr>
      <w:r w:rsidRPr="003067A5">
        <w:rPr>
          <w:rFonts w:ascii="Verdana" w:hAnsi="Verdana"/>
          <w:b/>
          <w:sz w:val="18"/>
          <w:szCs w:val="18"/>
        </w:rPr>
        <w:t xml:space="preserve">Beleidsartikel 5 </w:t>
      </w:r>
    </w:p>
    <w:p w:rsidR="000C2622" w:rsidRPr="003067A5" w:rsidRDefault="000C2622" w:rsidP="000C2622">
      <w:pPr>
        <w:rPr>
          <w:rFonts w:ascii="Verdana" w:hAnsi="Verdana"/>
          <w:b/>
          <w:sz w:val="18"/>
          <w:szCs w:val="18"/>
        </w:rPr>
      </w:pPr>
    </w:p>
    <w:tbl>
      <w:tblPr>
        <w:tblW w:w="5000" w:type="pct"/>
        <w:tblLayout w:type="fixed"/>
        <w:tblCellMar>
          <w:left w:w="70" w:type="dxa"/>
          <w:right w:w="70" w:type="dxa"/>
        </w:tblCellMar>
        <w:tblLook w:val="04A0" w:firstRow="1" w:lastRow="0" w:firstColumn="1" w:lastColumn="0" w:noHBand="0" w:noVBand="1"/>
      </w:tblPr>
      <w:tblGrid>
        <w:gridCol w:w="1775"/>
        <w:gridCol w:w="2680"/>
        <w:gridCol w:w="1713"/>
        <w:gridCol w:w="875"/>
        <w:gridCol w:w="856"/>
        <w:gridCol w:w="897"/>
        <w:gridCol w:w="985"/>
        <w:gridCol w:w="985"/>
        <w:gridCol w:w="985"/>
        <w:gridCol w:w="985"/>
        <w:gridCol w:w="985"/>
        <w:gridCol w:w="985"/>
      </w:tblGrid>
      <w:tr w:rsidR="000C2622" w:rsidRPr="006E0528" w:rsidTr="00602BE7">
        <w:trPr>
          <w:trHeight w:val="200"/>
        </w:trPr>
        <w:tc>
          <w:tcPr>
            <w:tcW w:w="1514" w:type="pct"/>
            <w:gridSpan w:val="2"/>
            <w:tcBorders>
              <w:top w:val="single" w:sz="4" w:space="0" w:color="auto"/>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lang w:eastAsia="nl-NL"/>
              </w:rPr>
            </w:pPr>
            <w:r w:rsidRPr="006E0528">
              <w:rPr>
                <w:rFonts w:ascii="Verdana" w:hAnsi="Verdana" w:cs="Arial"/>
                <w:b/>
                <w:bCs/>
                <w:sz w:val="12"/>
                <w:szCs w:val="12"/>
              </w:rPr>
              <w:t>Beleidsartikel 5 Versterkte kaders voor</w:t>
            </w:r>
          </w:p>
        </w:tc>
        <w:tc>
          <w:tcPr>
            <w:tcW w:w="582" w:type="pct"/>
            <w:tcBorders>
              <w:top w:val="single" w:sz="4" w:space="0" w:color="auto"/>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single" w:sz="4" w:space="0" w:color="auto"/>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291"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 via</w:t>
            </w:r>
          </w:p>
        </w:tc>
        <w:tc>
          <w:tcPr>
            <w:tcW w:w="30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Vastgestelde</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Stand</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Mutaties</w:t>
            </w:r>
          </w:p>
        </w:tc>
        <w:tc>
          <w:tcPr>
            <w:tcW w:w="335" w:type="pct"/>
            <w:tcBorders>
              <w:top w:val="single" w:sz="4" w:space="0" w:color="auto"/>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Mutaties </w:t>
            </w:r>
          </w:p>
        </w:tc>
      </w:tr>
      <w:tr w:rsidR="000C2622" w:rsidRPr="006E0528" w:rsidTr="00602BE7">
        <w:trPr>
          <w:trHeight w:val="200"/>
        </w:trPr>
        <w:tc>
          <w:tcPr>
            <w:tcW w:w="1514"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ontwikkeling</w:t>
            </w:r>
          </w:p>
        </w:tc>
        <w:tc>
          <w:tcPr>
            <w:tcW w:w="582"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297"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ontwerp-</w:t>
            </w:r>
          </w:p>
        </w:tc>
        <w:tc>
          <w:tcPr>
            <w:tcW w:w="291"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amende</w:t>
            </w:r>
            <w:proofErr w:type="spellEnd"/>
            <w:r w:rsidRPr="006E0528">
              <w:rPr>
                <w:rFonts w:ascii="Verdana" w:hAnsi="Verdana" w:cs="Arial"/>
                <w:sz w:val="12"/>
                <w:szCs w:val="12"/>
              </w:rPr>
              <w:t>-</w:t>
            </w:r>
          </w:p>
        </w:tc>
        <w:tc>
          <w:tcPr>
            <w:tcW w:w="30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1e suppletoire</w:t>
            </w:r>
          </w:p>
        </w:tc>
      </w:tr>
      <w:tr w:rsidR="000C2622" w:rsidRPr="006E0528" w:rsidTr="00602BE7">
        <w:trPr>
          <w:trHeight w:val="200"/>
        </w:trPr>
        <w:tc>
          <w:tcPr>
            <w:tcW w:w="1514" w:type="pct"/>
            <w:gridSpan w:val="2"/>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Bedragen in EUR 1 000</w:t>
            </w:r>
          </w:p>
        </w:tc>
        <w:tc>
          <w:tcPr>
            <w:tcW w:w="582"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297"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291"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proofErr w:type="spellStart"/>
            <w:r w:rsidRPr="006E0528">
              <w:rPr>
                <w:rFonts w:ascii="Verdana" w:hAnsi="Verdana" w:cs="Arial"/>
                <w:sz w:val="12"/>
                <w:szCs w:val="12"/>
              </w:rPr>
              <w:t>menten</w:t>
            </w:r>
            <w:proofErr w:type="spellEnd"/>
          </w:p>
        </w:tc>
        <w:tc>
          <w:tcPr>
            <w:tcW w:w="30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begroting</w:t>
            </w:r>
          </w:p>
        </w:tc>
      </w:tr>
      <w:tr w:rsidR="000C2622" w:rsidRPr="006E0528" w:rsidTr="00602BE7">
        <w:trPr>
          <w:trHeight w:val="200"/>
        </w:trPr>
        <w:tc>
          <w:tcPr>
            <w:tcW w:w="603"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582"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97"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291"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xml:space="preserve"> </w:t>
            </w:r>
          </w:p>
        </w:tc>
      </w:tr>
      <w:tr w:rsidR="000C2622" w:rsidRPr="006E0528" w:rsidTr="00602BE7">
        <w:trPr>
          <w:trHeight w:val="200"/>
        </w:trPr>
        <w:tc>
          <w:tcPr>
            <w:tcW w:w="603"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582"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97" w:type="pct"/>
            <w:tcBorders>
              <w:top w:val="nil"/>
              <w:left w:val="single" w:sz="4" w:space="0" w:color="auto"/>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291"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0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2017</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2018</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2019</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2020</w:t>
            </w: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2021</w:t>
            </w:r>
          </w:p>
        </w:tc>
      </w:tr>
      <w:tr w:rsidR="000C2622" w:rsidRPr="006E0528" w:rsidTr="00602BE7">
        <w:trPr>
          <w:trHeight w:val="200"/>
        </w:trPr>
        <w:tc>
          <w:tcPr>
            <w:tcW w:w="1514" w:type="pct"/>
            <w:gridSpan w:val="2"/>
            <w:tcBorders>
              <w:top w:val="nil"/>
              <w:left w:val="single" w:sz="4" w:space="0" w:color="auto"/>
              <w:bottom w:val="single" w:sz="4" w:space="0" w:color="auto"/>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(1)</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(2)</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(3)=(1+2)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(5)=(3+4)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582"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97" w:type="pct"/>
            <w:tcBorders>
              <w:top w:val="nil"/>
              <w:left w:val="nil"/>
              <w:bottom w:val="nil"/>
              <w:right w:val="nil"/>
            </w:tcBorders>
            <w:shd w:val="clear" w:color="auto" w:fill="auto"/>
            <w:noWrap/>
            <w:vAlign w:val="bottom"/>
            <w:hideMark/>
          </w:tcPr>
          <w:p w:rsidR="000C2622" w:rsidRPr="006E0528" w:rsidRDefault="000C2622" w:rsidP="00602BE7">
            <w:pPr>
              <w:rPr>
                <w:sz w:val="12"/>
                <w:szCs w:val="12"/>
              </w:rPr>
            </w:pPr>
          </w:p>
        </w:tc>
        <w:tc>
          <w:tcPr>
            <w:tcW w:w="291"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0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nil"/>
            </w:tcBorders>
            <w:shd w:val="clear" w:color="auto" w:fill="auto"/>
            <w:noWrap/>
            <w:vAlign w:val="bottom"/>
            <w:hideMark/>
          </w:tcPr>
          <w:p w:rsidR="000C2622" w:rsidRPr="006E0528" w:rsidRDefault="000C2622" w:rsidP="00602BE7">
            <w:pPr>
              <w:jc w:val="right"/>
              <w:rPr>
                <w:sz w:val="12"/>
                <w:szCs w:val="12"/>
              </w:rPr>
            </w:pPr>
          </w:p>
        </w:tc>
        <w:tc>
          <w:tcPr>
            <w:tcW w:w="335" w:type="pct"/>
            <w:tcBorders>
              <w:top w:val="nil"/>
              <w:left w:val="nil"/>
              <w:bottom w:val="nil"/>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15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Verplichtingen</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27 767</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27 767</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271 311</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299 078</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718</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925</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- 7 282</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718</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nil"/>
              <w:right w:val="nil"/>
            </w:tcBorders>
            <w:shd w:val="clear" w:color="auto" w:fill="auto"/>
            <w:noWrap/>
            <w:vAlign w:val="bottom"/>
            <w:hideMark/>
          </w:tcPr>
          <w:p w:rsidR="000C2622" w:rsidRPr="006E0528" w:rsidRDefault="000C2622" w:rsidP="00602BE7">
            <w:pPr>
              <w:rPr>
                <w:rFonts w:ascii="Verdana" w:hAnsi="Verdana" w:cs="Arial"/>
                <w:b/>
                <w:bCs/>
                <w:sz w:val="12"/>
                <w:szCs w:val="12"/>
              </w:rPr>
            </w:pPr>
          </w:p>
        </w:tc>
        <w:tc>
          <w:tcPr>
            <w:tcW w:w="582"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255"/>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15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Uitgaven:</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55"/>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Programma-uitgaven totaal</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- 107 631</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- 107 631</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252 631</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145 000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179 787</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125 599</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129 516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110 906</w:t>
            </w:r>
          </w:p>
        </w:tc>
      </w:tr>
      <w:tr w:rsidR="000C2622" w:rsidRPr="006E0528" w:rsidTr="00602BE7">
        <w:trPr>
          <w:trHeight w:val="255"/>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waarvan juridisch verplicht</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100%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r>
      <w:tr w:rsidR="000C2622" w:rsidRPr="006E0528" w:rsidTr="00602BE7">
        <w:trPr>
          <w:trHeight w:val="255"/>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70"/>
        </w:trPr>
        <w:tc>
          <w:tcPr>
            <w:tcW w:w="603"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5.1</w:t>
            </w:r>
          </w:p>
        </w:tc>
        <w:tc>
          <w:tcPr>
            <w:tcW w:w="1493" w:type="pct"/>
            <w:gridSpan w:val="2"/>
            <w:tcBorders>
              <w:top w:val="single" w:sz="4" w:space="0" w:color="auto"/>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Versterkte multilaterale betrokkenheid</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135 120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135 120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7 395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142 515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cente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UNDP</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28 000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28 000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28 000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UNICEF</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14 000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14 000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14 000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UNIDO</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1 950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1 950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1 950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Middelenaanvullingen multilaterale banken en fondsen</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66 358</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66 358</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7 395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73 753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Kapitaalaanvullingen bij regionale ontwikkelingsbanken</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6 453</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6 453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6 453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Speciale multilaterale activiteiten</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9 359</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9 359</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9 359</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sz w:val="12"/>
                <w:szCs w:val="12"/>
              </w:rPr>
            </w:pPr>
            <w:r w:rsidRPr="006E0528">
              <w:rPr>
                <w:rFonts w:ascii="Verdana" w:hAnsi="Verdana" w:cs="Arial"/>
                <w:sz w:val="12"/>
                <w:szCs w:val="12"/>
              </w:rPr>
              <w:t>Assistent-deskundigen programma</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9 000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5.2</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Overig armoedebeleid</w:t>
            </w:r>
          </w:p>
        </w:tc>
        <w:tc>
          <w:tcPr>
            <w:tcW w:w="582" w:type="pct"/>
            <w:tcBorders>
              <w:top w:val="nil"/>
              <w:left w:val="nil"/>
              <w:bottom w:val="single" w:sz="4" w:space="0" w:color="auto"/>
              <w:right w:val="single" w:sz="4" w:space="0" w:color="auto"/>
            </w:tcBorders>
            <w:shd w:val="clear" w:color="auto" w:fill="auto"/>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71 952</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71 952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515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71 437</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25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525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425</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425</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Bijdragen (</w:t>
            </w:r>
            <w:proofErr w:type="spellStart"/>
            <w:r w:rsidRPr="006E0528">
              <w:rPr>
                <w:rFonts w:ascii="Verdana" w:hAnsi="Verdana" w:cs="Arial"/>
                <w:i/>
                <w:iCs/>
                <w:sz w:val="12"/>
                <w:szCs w:val="12"/>
              </w:rPr>
              <w:t>inter</w:t>
            </w:r>
            <w:proofErr w:type="spellEnd"/>
            <w:r w:rsidRPr="006E0528">
              <w:rPr>
                <w:rFonts w:ascii="Verdana" w:hAnsi="Verdana" w:cs="Arial"/>
                <w:i/>
                <w:iCs/>
                <w:sz w:val="12"/>
                <w:szCs w:val="12"/>
              </w:rPr>
              <w:t>)nationale organisaties</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Kleine activiteiten posten en cultuur en ontwikkeling</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10 404</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10 404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684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11 088</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Voorlichting op het terrein van ontwikkelingssamenwerking</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3 250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3 250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600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2 650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Schuldverlichting</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52 480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52 480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52 480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Unesco</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4 400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4 400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4 400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lastRenderedPageBreak/>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5.3</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Bijdrage aan migratie en ontwikkeling</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15 000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10 000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color w:val="3366FF"/>
                <w:sz w:val="12"/>
                <w:szCs w:val="12"/>
              </w:rPr>
            </w:pPr>
            <w:r w:rsidRPr="006E0528">
              <w:rPr>
                <w:rFonts w:ascii="Verdana" w:hAnsi="Verdana" w:cs="Arial"/>
                <w:color w:val="3366FF"/>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Subsidies</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582"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Migratie en ontwikkeling</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5 000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color w:val="3366FF"/>
                <w:sz w:val="12"/>
                <w:szCs w:val="12"/>
              </w:rPr>
            </w:pPr>
            <w:r w:rsidRPr="006E0528">
              <w:rPr>
                <w:rFonts w:ascii="Verdana" w:hAnsi="Verdana" w:cs="Arial"/>
                <w:i/>
                <w:iCs/>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color w:val="3366FF"/>
                <w:sz w:val="12"/>
                <w:szCs w:val="12"/>
              </w:rPr>
            </w:pPr>
            <w:r w:rsidRPr="006E0528">
              <w:rPr>
                <w:rFonts w:ascii="Verdana" w:hAnsi="Verdana" w:cs="Arial"/>
                <w:i/>
                <w:iCs/>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color w:val="3366FF"/>
                <w:sz w:val="12"/>
                <w:szCs w:val="12"/>
              </w:rPr>
            </w:pPr>
            <w:r w:rsidRPr="006E0528">
              <w:rPr>
                <w:rFonts w:ascii="Verdana" w:hAnsi="Verdana" w:cs="Arial"/>
                <w:i/>
                <w:iCs/>
                <w:color w:val="3366FF"/>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color w:val="3366FF"/>
                <w:sz w:val="12"/>
                <w:szCs w:val="12"/>
              </w:rPr>
            </w:pPr>
            <w:r w:rsidRPr="006E0528">
              <w:rPr>
                <w:rFonts w:ascii="Verdana" w:hAnsi="Verdana" w:cs="Arial"/>
                <w:i/>
                <w:iCs/>
                <w:color w:val="3366FF"/>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Diversen</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Migratie en ontwikkeling</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10 000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20 000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5.4</w:t>
            </w:r>
          </w:p>
        </w:tc>
        <w:tc>
          <w:tcPr>
            <w:tcW w:w="911" w:type="pct"/>
            <w:tcBorders>
              <w:top w:val="nil"/>
              <w:left w:val="nil"/>
              <w:bottom w:val="nil"/>
              <w:right w:val="nil"/>
            </w:tcBorders>
            <w:shd w:val="clear" w:color="auto" w:fill="auto"/>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xml:space="preserve">Nog te verdelen i.v.m. wijzigingen BNI en/of toerekeningen </w:t>
            </w:r>
          </w:p>
        </w:tc>
        <w:tc>
          <w:tcPr>
            <w:tcW w:w="582"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- 329 703</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- 329 703</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235 751</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- 93 952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i/>
                <w:iCs/>
                <w:sz w:val="12"/>
                <w:szCs w:val="12"/>
              </w:rPr>
            </w:pPr>
            <w:r w:rsidRPr="006E0528">
              <w:rPr>
                <w:rFonts w:ascii="Verdana" w:hAnsi="Verdana" w:cs="Arial"/>
                <w:b/>
                <w:bCs/>
                <w:i/>
                <w:iCs/>
                <w:sz w:val="12"/>
                <w:szCs w:val="12"/>
              </w:rPr>
              <w:t xml:space="preserve"> 179 812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i/>
                <w:iCs/>
                <w:sz w:val="12"/>
                <w:szCs w:val="12"/>
              </w:rPr>
            </w:pPr>
            <w:r w:rsidRPr="006E0528">
              <w:rPr>
                <w:rFonts w:ascii="Verdana" w:hAnsi="Verdana" w:cs="Arial"/>
                <w:b/>
                <w:bCs/>
                <w:i/>
                <w:iCs/>
                <w:sz w:val="12"/>
                <w:szCs w:val="12"/>
              </w:rPr>
              <w:t xml:space="preserve"> 126 124</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i/>
                <w:iCs/>
                <w:sz w:val="12"/>
                <w:szCs w:val="12"/>
              </w:rPr>
            </w:pPr>
            <w:r w:rsidRPr="006E0528">
              <w:rPr>
                <w:rFonts w:ascii="Verdana" w:hAnsi="Verdana" w:cs="Arial"/>
                <w:b/>
                <w:bCs/>
                <w:i/>
                <w:iCs/>
                <w:sz w:val="12"/>
                <w:szCs w:val="12"/>
              </w:rPr>
              <w:t xml:space="preserve"> 129 941</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i/>
                <w:iCs/>
                <w:sz w:val="12"/>
                <w:szCs w:val="12"/>
              </w:rPr>
            </w:pPr>
            <w:r w:rsidRPr="006E0528">
              <w:rPr>
                <w:rFonts w:ascii="Verdana" w:hAnsi="Verdana" w:cs="Arial"/>
                <w:b/>
                <w:bCs/>
                <w:i/>
                <w:iCs/>
                <w:sz w:val="12"/>
                <w:szCs w:val="12"/>
              </w:rPr>
              <w:t xml:space="preserve"> 111 331</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i/>
                <w:iCs/>
                <w:sz w:val="12"/>
                <w:szCs w:val="12"/>
              </w:rPr>
            </w:pPr>
            <w:r w:rsidRPr="006E0528">
              <w:rPr>
                <w:rFonts w:ascii="Verdana" w:hAnsi="Verdana" w:cs="Arial"/>
                <w:i/>
                <w:i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i/>
                <w:iCs/>
                <w:sz w:val="12"/>
                <w:szCs w:val="12"/>
              </w:rPr>
            </w:pPr>
            <w:r w:rsidRPr="006E0528">
              <w:rPr>
                <w:rFonts w:ascii="Verdana" w:hAnsi="Verdana" w:cs="Arial"/>
                <w:i/>
                <w:iCs/>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Ontvangsten</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77 082</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77 082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77 082</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b/>
                <w:bCs/>
                <w:sz w:val="12"/>
                <w:szCs w:val="12"/>
              </w:rPr>
            </w:pPr>
            <w:r w:rsidRPr="006E0528">
              <w:rPr>
                <w:rFonts w:ascii="Verdana" w:hAnsi="Verdana" w:cs="Arial"/>
                <w:b/>
                <w:bCs/>
                <w:sz w:val="12"/>
                <w:szCs w:val="12"/>
              </w:rPr>
              <w:t xml:space="preserve">  0</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4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5.20</w:t>
            </w:r>
          </w:p>
        </w:tc>
        <w:tc>
          <w:tcPr>
            <w:tcW w:w="911" w:type="pct"/>
            <w:tcBorders>
              <w:top w:val="nil"/>
              <w:left w:val="nil"/>
              <w:bottom w:val="single" w:sz="4" w:space="0" w:color="auto"/>
              <w:right w:val="single" w:sz="4" w:space="0" w:color="auto"/>
            </w:tcBorders>
            <w:shd w:val="clear" w:color="auto" w:fill="auto"/>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Ontvangsten en restituties met  betrekking tot leningen</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45 906</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45 906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45 906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5.21</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Ontvangsten OS</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31 176</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31 176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31 176</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5.22</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Koersverschillen OS</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proofErr w:type="spellStart"/>
            <w:r w:rsidRPr="006E0528">
              <w:rPr>
                <w:rFonts w:ascii="Verdana" w:hAnsi="Verdana" w:cs="Arial"/>
                <w:sz w:val="12"/>
                <w:szCs w:val="12"/>
              </w:rPr>
              <w:t>pm</w:t>
            </w:r>
            <w:proofErr w:type="spellEnd"/>
          </w:p>
        </w:tc>
      </w:tr>
      <w:tr w:rsidR="000C2622" w:rsidRPr="006E0528" w:rsidTr="00602BE7">
        <w:trPr>
          <w:trHeight w:val="200"/>
        </w:trPr>
        <w:tc>
          <w:tcPr>
            <w:tcW w:w="603"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91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 </w:t>
            </w:r>
          </w:p>
        </w:tc>
        <w:tc>
          <w:tcPr>
            <w:tcW w:w="582" w:type="pct"/>
            <w:tcBorders>
              <w:top w:val="nil"/>
              <w:left w:val="nil"/>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r w:rsidR="000C2622" w:rsidRPr="006E0528" w:rsidTr="00602BE7">
        <w:trPr>
          <w:trHeight w:val="200"/>
        </w:trPr>
        <w:tc>
          <w:tcPr>
            <w:tcW w:w="603" w:type="pct"/>
            <w:tcBorders>
              <w:top w:val="nil"/>
              <w:left w:val="single" w:sz="4" w:space="0" w:color="auto"/>
              <w:bottom w:val="single" w:sz="4" w:space="0" w:color="auto"/>
              <w:right w:val="nil"/>
            </w:tcBorders>
            <w:shd w:val="clear" w:color="auto" w:fill="auto"/>
            <w:noWrap/>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5.23</w:t>
            </w:r>
          </w:p>
        </w:tc>
        <w:tc>
          <w:tcPr>
            <w:tcW w:w="911" w:type="pct"/>
            <w:tcBorders>
              <w:top w:val="nil"/>
              <w:left w:val="nil"/>
              <w:bottom w:val="single" w:sz="4" w:space="0" w:color="auto"/>
              <w:right w:val="nil"/>
            </w:tcBorders>
            <w:shd w:val="clear" w:color="auto" w:fill="auto"/>
            <w:noWrap/>
            <w:vAlign w:val="bottom"/>
            <w:hideMark/>
          </w:tcPr>
          <w:p w:rsidR="000C2622" w:rsidRPr="006E0528" w:rsidRDefault="000C2622" w:rsidP="00602BE7">
            <w:pPr>
              <w:rPr>
                <w:rFonts w:ascii="Verdana" w:hAnsi="Verdana" w:cs="Arial"/>
                <w:b/>
                <w:bCs/>
                <w:sz w:val="12"/>
                <w:szCs w:val="12"/>
              </w:rPr>
            </w:pPr>
            <w:r w:rsidRPr="006E0528">
              <w:rPr>
                <w:rFonts w:ascii="Verdana" w:hAnsi="Verdana" w:cs="Arial"/>
                <w:b/>
                <w:bCs/>
                <w:sz w:val="12"/>
                <w:szCs w:val="12"/>
              </w:rPr>
              <w:t>Diverse ontvangsten non-ODA</w:t>
            </w:r>
          </w:p>
        </w:tc>
        <w:tc>
          <w:tcPr>
            <w:tcW w:w="582" w:type="pct"/>
            <w:tcBorders>
              <w:top w:val="nil"/>
              <w:left w:val="single" w:sz="4" w:space="0" w:color="auto"/>
              <w:bottom w:val="single" w:sz="4" w:space="0" w:color="auto"/>
              <w:right w:val="single" w:sz="4" w:space="0" w:color="auto"/>
            </w:tcBorders>
            <w:shd w:val="clear" w:color="auto" w:fill="auto"/>
            <w:noWrap/>
            <w:hideMark/>
          </w:tcPr>
          <w:p w:rsidR="000C2622" w:rsidRPr="006E0528" w:rsidRDefault="000C2622" w:rsidP="00602BE7">
            <w:pPr>
              <w:rPr>
                <w:rFonts w:ascii="Verdana" w:hAnsi="Verdana" w:cs="Arial"/>
                <w:sz w:val="12"/>
                <w:szCs w:val="12"/>
              </w:rPr>
            </w:pPr>
            <w:r w:rsidRPr="006E0528">
              <w:rPr>
                <w:rFonts w:ascii="Verdana" w:hAnsi="Verdana" w:cs="Arial"/>
                <w:sz w:val="12"/>
                <w:szCs w:val="12"/>
              </w:rPr>
              <w:t> </w:t>
            </w:r>
          </w:p>
        </w:tc>
        <w:tc>
          <w:tcPr>
            <w:tcW w:w="297"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291"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xml:space="preserve">  0</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rsidR="000C2622" w:rsidRPr="006E0528" w:rsidRDefault="000C2622" w:rsidP="00602BE7">
            <w:pPr>
              <w:jc w:val="right"/>
              <w:rPr>
                <w:rFonts w:ascii="Verdana" w:hAnsi="Verdana" w:cs="Arial"/>
                <w:sz w:val="12"/>
                <w:szCs w:val="12"/>
              </w:rPr>
            </w:pPr>
            <w:r w:rsidRPr="006E0528">
              <w:rPr>
                <w:rFonts w:ascii="Verdana" w:hAnsi="Verdana" w:cs="Arial"/>
                <w:sz w:val="12"/>
                <w:szCs w:val="12"/>
              </w:rPr>
              <w:t> </w:t>
            </w:r>
          </w:p>
        </w:tc>
      </w:tr>
    </w:tbl>
    <w:p w:rsidR="000C2622" w:rsidRPr="003067A5" w:rsidRDefault="000C2622" w:rsidP="000C2622">
      <w:pPr>
        <w:rPr>
          <w:rFonts w:ascii="Verdana" w:hAnsi="Verdana"/>
          <w:b/>
          <w:sz w:val="18"/>
          <w:szCs w:val="18"/>
        </w:rPr>
      </w:pPr>
    </w:p>
    <w:p w:rsidR="000C2622" w:rsidRPr="003067A5" w:rsidRDefault="000C2622" w:rsidP="000C2622">
      <w:pPr>
        <w:rPr>
          <w:rFonts w:ascii="Verdana" w:hAnsi="Verdana"/>
          <w:b/>
          <w:sz w:val="18"/>
          <w:szCs w:val="18"/>
        </w:rPr>
      </w:pPr>
      <w:r w:rsidRPr="003067A5">
        <w:rPr>
          <w:rFonts w:ascii="Verdana" w:hAnsi="Verdana"/>
          <w:b/>
          <w:i/>
          <w:sz w:val="18"/>
          <w:szCs w:val="18"/>
        </w:rPr>
        <w:t>Verplichtingen</w:t>
      </w:r>
    </w:p>
    <w:p w:rsidR="000C2622" w:rsidRPr="003067A5" w:rsidRDefault="000C2622" w:rsidP="000C2622">
      <w:pPr>
        <w:spacing w:before="240"/>
        <w:rPr>
          <w:rFonts w:ascii="Verdana" w:hAnsi="Verdana"/>
          <w:sz w:val="18"/>
          <w:szCs w:val="18"/>
        </w:rPr>
      </w:pPr>
      <w:r w:rsidRPr="003067A5">
        <w:rPr>
          <w:rFonts w:ascii="Verdana" w:hAnsi="Verdana"/>
          <w:sz w:val="18"/>
          <w:szCs w:val="18"/>
        </w:rPr>
        <w:t xml:space="preserve">Het verplichtingbudget op dit artikel wordt met EUR 271,3 miljoen verhoogd. Dit is met name als gevolg van de middelenaanvullingen voor van de multilaterale banken voor 2017 met EUR 192 miljoen; onder ander voor het </w:t>
      </w:r>
      <w:proofErr w:type="spellStart"/>
      <w:r w:rsidRPr="003067A5">
        <w:rPr>
          <w:rFonts w:ascii="Verdana" w:hAnsi="Verdana"/>
          <w:i/>
          <w:sz w:val="18"/>
          <w:szCs w:val="18"/>
        </w:rPr>
        <w:t>African</w:t>
      </w:r>
      <w:proofErr w:type="spellEnd"/>
      <w:r w:rsidRPr="003067A5">
        <w:rPr>
          <w:rFonts w:ascii="Verdana" w:hAnsi="Verdana"/>
          <w:i/>
          <w:sz w:val="18"/>
          <w:szCs w:val="18"/>
        </w:rPr>
        <w:t xml:space="preserve"> Development Fund </w:t>
      </w:r>
      <w:proofErr w:type="spellStart"/>
      <w:r w:rsidRPr="003067A5">
        <w:rPr>
          <w:rFonts w:ascii="Verdana" w:hAnsi="Verdana"/>
          <w:i/>
          <w:sz w:val="18"/>
          <w:szCs w:val="18"/>
        </w:rPr>
        <w:t>AfDF</w:t>
      </w:r>
      <w:proofErr w:type="spellEnd"/>
      <w:r w:rsidRPr="003067A5">
        <w:rPr>
          <w:rFonts w:ascii="Verdana" w:hAnsi="Verdana"/>
          <w:i/>
          <w:sz w:val="18"/>
          <w:szCs w:val="18"/>
        </w:rPr>
        <w:t>)</w:t>
      </w:r>
      <w:r w:rsidRPr="003067A5">
        <w:rPr>
          <w:rFonts w:ascii="Verdana" w:hAnsi="Verdana"/>
          <w:sz w:val="18"/>
          <w:szCs w:val="18"/>
        </w:rPr>
        <w:t xml:space="preserve">). Deze verplichting was voorzien voor 2016 maar kon toen nog niet worden aangegaan. Verder valt de verplichting voor schuldverlichting (HIPC) via IDA hoger uit dan verwacht.  </w:t>
      </w:r>
    </w:p>
    <w:p w:rsidR="000C2622" w:rsidRPr="003067A5" w:rsidRDefault="000C2622" w:rsidP="000C2622">
      <w:pPr>
        <w:rPr>
          <w:rFonts w:ascii="Verdana" w:hAnsi="Verdana"/>
          <w:sz w:val="18"/>
          <w:szCs w:val="18"/>
        </w:rPr>
      </w:pPr>
      <w:r w:rsidRPr="003067A5">
        <w:rPr>
          <w:rFonts w:ascii="Verdana" w:hAnsi="Verdana"/>
          <w:sz w:val="18"/>
          <w:szCs w:val="18"/>
        </w:rPr>
        <w:t xml:space="preserve">Daarnaast stelt het kabinet EUR 10 miljoen extra beschikbaar in 2017 voor migratiesamenwerking in Noordelijk Afrika. Voor deze middelen worden nieuwe verplichtingen aangegaan in 2017. </w:t>
      </w:r>
      <w:r w:rsidRPr="003067A5">
        <w:rPr>
          <w:rFonts w:ascii="Verdana" w:hAnsi="Verdana" w:cs="Arial"/>
          <w:color w:val="000000"/>
          <w:sz w:val="18"/>
          <w:szCs w:val="18"/>
        </w:rPr>
        <w:br/>
      </w:r>
    </w:p>
    <w:p w:rsidR="000C2622" w:rsidRPr="003067A5" w:rsidRDefault="000C2622" w:rsidP="000C2622">
      <w:pPr>
        <w:rPr>
          <w:rFonts w:ascii="Verdana" w:hAnsi="Verdana"/>
          <w:b/>
          <w:sz w:val="18"/>
          <w:szCs w:val="18"/>
        </w:rPr>
      </w:pPr>
      <w:r w:rsidRPr="003067A5">
        <w:rPr>
          <w:rFonts w:ascii="Verdana" w:hAnsi="Verdana"/>
          <w:b/>
          <w:i/>
          <w:sz w:val="18"/>
          <w:szCs w:val="18"/>
        </w:rPr>
        <w:t>Uitgaven</w:t>
      </w:r>
    </w:p>
    <w:p w:rsidR="000C2622" w:rsidRPr="003067A5" w:rsidRDefault="000C2622" w:rsidP="000C2622">
      <w:pPr>
        <w:rPr>
          <w:rFonts w:ascii="Verdana" w:hAnsi="Verdana"/>
          <w:sz w:val="18"/>
          <w:szCs w:val="18"/>
          <w:u w:val="single"/>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t>Artikel 5.1</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De mutatie betreft de verhoging van de jaarlijkse bijdragen aan het </w:t>
      </w:r>
      <w:proofErr w:type="spellStart"/>
      <w:r w:rsidRPr="003067A5">
        <w:rPr>
          <w:rFonts w:ascii="Verdana" w:hAnsi="Verdana"/>
          <w:i/>
          <w:sz w:val="18"/>
          <w:szCs w:val="18"/>
        </w:rPr>
        <w:t>African</w:t>
      </w:r>
      <w:proofErr w:type="spellEnd"/>
      <w:r w:rsidRPr="003067A5">
        <w:rPr>
          <w:rFonts w:ascii="Verdana" w:hAnsi="Verdana"/>
          <w:i/>
          <w:sz w:val="18"/>
          <w:szCs w:val="18"/>
        </w:rPr>
        <w:t xml:space="preserve"> Development Fund</w:t>
      </w:r>
      <w:r w:rsidRPr="003067A5">
        <w:rPr>
          <w:rFonts w:ascii="Verdana" w:hAnsi="Verdana"/>
          <w:sz w:val="18"/>
          <w:szCs w:val="18"/>
        </w:rPr>
        <w:t xml:space="preserve"> (</w:t>
      </w:r>
      <w:proofErr w:type="spellStart"/>
      <w:r w:rsidRPr="003067A5">
        <w:rPr>
          <w:rFonts w:ascii="Verdana" w:hAnsi="Verdana"/>
          <w:sz w:val="18"/>
          <w:szCs w:val="18"/>
        </w:rPr>
        <w:t>AfDF</w:t>
      </w:r>
      <w:proofErr w:type="spellEnd"/>
      <w:r w:rsidRPr="003067A5">
        <w:rPr>
          <w:rFonts w:ascii="Verdana" w:hAnsi="Verdana"/>
          <w:sz w:val="18"/>
          <w:szCs w:val="18"/>
        </w:rPr>
        <w:t xml:space="preserve">) en het </w:t>
      </w:r>
      <w:proofErr w:type="spellStart"/>
      <w:r w:rsidRPr="003067A5">
        <w:rPr>
          <w:rFonts w:ascii="Verdana" w:hAnsi="Verdana"/>
          <w:i/>
          <w:sz w:val="18"/>
          <w:szCs w:val="18"/>
        </w:rPr>
        <w:t>Asian</w:t>
      </w:r>
      <w:proofErr w:type="spellEnd"/>
      <w:r w:rsidRPr="003067A5">
        <w:rPr>
          <w:rFonts w:ascii="Verdana" w:hAnsi="Verdana"/>
          <w:i/>
          <w:sz w:val="18"/>
          <w:szCs w:val="18"/>
        </w:rPr>
        <w:t xml:space="preserve"> Development Fund</w:t>
      </w:r>
      <w:r w:rsidRPr="003067A5">
        <w:rPr>
          <w:rFonts w:ascii="Verdana" w:hAnsi="Verdana"/>
          <w:sz w:val="18"/>
          <w:szCs w:val="18"/>
        </w:rPr>
        <w:t xml:space="preserve"> (</w:t>
      </w:r>
      <w:proofErr w:type="spellStart"/>
      <w:r w:rsidRPr="003067A5">
        <w:rPr>
          <w:rFonts w:ascii="Verdana" w:hAnsi="Verdana"/>
          <w:sz w:val="18"/>
          <w:szCs w:val="18"/>
        </w:rPr>
        <w:t>AsDF</w:t>
      </w:r>
      <w:proofErr w:type="spellEnd"/>
      <w:r w:rsidRPr="003067A5">
        <w:rPr>
          <w:rFonts w:ascii="Verdana" w:hAnsi="Verdana"/>
          <w:sz w:val="18"/>
          <w:szCs w:val="18"/>
        </w:rPr>
        <w:t xml:space="preserve">) in 2017 met totaal EUR 7,3 miljoen. Het gaat om de correctie van het ritme van betalingen aan de twee instellingen. Het heeft geen invloed op de totale verplichting. </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u w:val="single"/>
        </w:rPr>
      </w:pPr>
      <w:r w:rsidRPr="003067A5">
        <w:rPr>
          <w:rFonts w:ascii="Verdana" w:hAnsi="Verdana"/>
          <w:sz w:val="18"/>
          <w:szCs w:val="18"/>
          <w:u w:val="single"/>
        </w:rPr>
        <w:lastRenderedPageBreak/>
        <w:t>Artikel 5.3</w:t>
      </w:r>
    </w:p>
    <w:p w:rsidR="000C2622" w:rsidRPr="003067A5" w:rsidRDefault="000C2622" w:rsidP="000C2622">
      <w:pPr>
        <w:rPr>
          <w:rFonts w:ascii="Verdana" w:hAnsi="Verdana"/>
          <w:sz w:val="18"/>
          <w:szCs w:val="18"/>
        </w:rPr>
      </w:pPr>
    </w:p>
    <w:p w:rsidR="000C2622" w:rsidRPr="003067A5" w:rsidRDefault="000C2622" w:rsidP="000C2622">
      <w:pPr>
        <w:rPr>
          <w:rFonts w:ascii="Verdana" w:hAnsi="Verdana"/>
          <w:sz w:val="18"/>
          <w:szCs w:val="18"/>
          <w:u w:val="single"/>
        </w:rPr>
      </w:pPr>
      <w:r w:rsidRPr="003067A5">
        <w:rPr>
          <w:rFonts w:ascii="Verdana" w:hAnsi="Verdana"/>
          <w:sz w:val="18"/>
          <w:szCs w:val="18"/>
        </w:rPr>
        <w:t xml:space="preserve">Het kabinet stelt additioneel EUR 10 miljoen extra beschikbaar in 2017 voor migratiesamenwerking in noordelijk Afrika. Dit is onderdeel van de EUR 50 </w:t>
      </w:r>
      <w:proofErr w:type="spellStart"/>
      <w:r w:rsidRPr="003067A5">
        <w:rPr>
          <w:rFonts w:ascii="Verdana" w:hAnsi="Verdana"/>
          <w:sz w:val="18"/>
          <w:szCs w:val="18"/>
        </w:rPr>
        <w:t>mln</w:t>
      </w:r>
      <w:proofErr w:type="spellEnd"/>
      <w:r w:rsidRPr="003067A5">
        <w:rPr>
          <w:rFonts w:ascii="Verdana" w:hAnsi="Verdana"/>
          <w:sz w:val="18"/>
          <w:szCs w:val="18"/>
        </w:rPr>
        <w:t xml:space="preserve"> voor veiligheid, stabiliteit, migratiesamenwerking en opvang in de regio (</w:t>
      </w:r>
      <w:r w:rsidRPr="003067A5">
        <w:rPr>
          <w:rFonts w:ascii="Verdana" w:hAnsi="Verdana"/>
          <w:iCs/>
          <w:sz w:val="18"/>
          <w:szCs w:val="18"/>
        </w:rPr>
        <w:t>waarvan EUR 10 miljoen voor veiligheid en stabiliteit op de BZ begroting)</w:t>
      </w:r>
      <w:r w:rsidRPr="003067A5">
        <w:rPr>
          <w:rFonts w:ascii="Verdana" w:hAnsi="Verdana"/>
          <w:sz w:val="18"/>
          <w:szCs w:val="18"/>
        </w:rPr>
        <w:t xml:space="preserve">. Hiermee wordt ingezet op beperken van irreguliere migratie. </w:t>
      </w:r>
      <w:r>
        <w:rPr>
          <w:rFonts w:ascii="Verdana" w:hAnsi="Verdana"/>
          <w:sz w:val="18"/>
          <w:szCs w:val="18"/>
        </w:rPr>
        <w:t xml:space="preserve">Het betreft een voorlopige verdeling en de definitieve verdeling zal bij en volgend begrotingsmoment gemeld worden. </w:t>
      </w:r>
    </w:p>
    <w:p w:rsidR="000C2622" w:rsidRPr="003067A5" w:rsidRDefault="000C2622" w:rsidP="000C2622">
      <w:pPr>
        <w:rPr>
          <w:rFonts w:ascii="Verdana" w:hAnsi="Verdana"/>
          <w:sz w:val="18"/>
          <w:szCs w:val="18"/>
        </w:rPr>
      </w:pPr>
    </w:p>
    <w:p w:rsidR="000C2622" w:rsidRPr="003067A5" w:rsidRDefault="000C2622" w:rsidP="000C2622">
      <w:pPr>
        <w:spacing w:after="240"/>
        <w:rPr>
          <w:rFonts w:ascii="Verdana" w:hAnsi="Verdana"/>
          <w:sz w:val="18"/>
          <w:szCs w:val="18"/>
          <w:u w:val="single"/>
        </w:rPr>
      </w:pPr>
      <w:r w:rsidRPr="003067A5">
        <w:rPr>
          <w:rFonts w:ascii="Verdana" w:hAnsi="Verdana"/>
          <w:sz w:val="18"/>
          <w:szCs w:val="18"/>
          <w:u w:val="single"/>
        </w:rPr>
        <w:t>Artikel 5.4</w:t>
      </w:r>
    </w:p>
    <w:p w:rsidR="000C2622" w:rsidRPr="003067A5" w:rsidRDefault="000C2622" w:rsidP="000C2622">
      <w:pPr>
        <w:spacing w:after="240"/>
        <w:rPr>
          <w:rFonts w:ascii="Verdana" w:eastAsia="SimSun" w:hAnsi="Verdana"/>
          <w:sz w:val="18"/>
          <w:szCs w:val="18"/>
          <w:lang w:eastAsia="nl-NL"/>
        </w:rPr>
      </w:pPr>
      <w:r w:rsidRPr="003067A5">
        <w:rPr>
          <w:rFonts w:ascii="Verdana" w:eastAsia="SimSun" w:hAnsi="Verdana"/>
          <w:sz w:val="18"/>
          <w:szCs w:val="18"/>
          <w:lang w:eastAsia="nl-NL"/>
        </w:rPr>
        <w:t xml:space="preserve">Om de inzichtelijkheid van de BHOS begroting verder te verbeteren is er met ingang van begrotingsjaar 2017 een nieuw artikelonderdeel gecreëerd. Zie ook de </w:t>
      </w:r>
      <w:hyperlink r:id="rId8" w:history="1">
        <w:r w:rsidRPr="003067A5">
          <w:rPr>
            <w:rFonts w:ascii="Verdana" w:eastAsia="SimSun" w:hAnsi="Verdana"/>
            <w:color w:val="0000FF"/>
            <w:sz w:val="18"/>
            <w:szCs w:val="18"/>
            <w:u w:val="single"/>
            <w:lang w:eastAsia="nl-NL"/>
          </w:rPr>
          <w:t xml:space="preserve">Kamerbrief 34 300 XVII </w:t>
        </w:r>
        <w:proofErr w:type="spellStart"/>
        <w:r w:rsidRPr="003067A5">
          <w:rPr>
            <w:rFonts w:ascii="Verdana" w:eastAsia="SimSun" w:hAnsi="Verdana"/>
            <w:color w:val="0000FF"/>
            <w:sz w:val="18"/>
            <w:szCs w:val="18"/>
            <w:u w:val="single"/>
            <w:lang w:eastAsia="nl-NL"/>
          </w:rPr>
          <w:t>nr</w:t>
        </w:r>
        <w:proofErr w:type="spellEnd"/>
        <w:r w:rsidRPr="003067A5">
          <w:rPr>
            <w:rFonts w:ascii="Verdana" w:eastAsia="SimSun" w:hAnsi="Verdana"/>
            <w:color w:val="0000FF"/>
            <w:sz w:val="18"/>
            <w:szCs w:val="18"/>
            <w:u w:val="single"/>
            <w:lang w:eastAsia="nl-NL"/>
          </w:rPr>
          <w:t xml:space="preserve"> 62 over de inzichtelijkheid van de BHOS begroting</w:t>
        </w:r>
      </w:hyperlink>
      <w:r w:rsidRPr="003067A5">
        <w:rPr>
          <w:rFonts w:ascii="Verdana" w:eastAsia="SimSun" w:hAnsi="Verdana"/>
          <w:color w:val="1F497D"/>
          <w:sz w:val="18"/>
          <w:szCs w:val="18"/>
          <w:lang w:eastAsia="nl-NL"/>
        </w:rPr>
        <w:t>.</w:t>
      </w:r>
      <w:r w:rsidRPr="003067A5">
        <w:rPr>
          <w:rFonts w:ascii="Verdana" w:eastAsia="SimSun" w:hAnsi="Verdana"/>
          <w:sz w:val="18"/>
          <w:szCs w:val="18"/>
          <w:lang w:eastAsia="nl-NL"/>
        </w:rPr>
        <w:t xml:space="preserve"> Het ODA budget wordt gecorrigeerd voor ontwikkelingen van het BNI. In het kader van behoedzaamheid en stabiliteit in de begroting worden groei en krimp niet direct </w:t>
      </w:r>
      <w:proofErr w:type="spellStart"/>
      <w:r w:rsidRPr="003067A5">
        <w:rPr>
          <w:rFonts w:ascii="Verdana" w:eastAsia="SimSun" w:hAnsi="Verdana"/>
          <w:sz w:val="18"/>
          <w:szCs w:val="18"/>
          <w:lang w:eastAsia="nl-NL"/>
        </w:rPr>
        <w:t>doorvertaald</w:t>
      </w:r>
      <w:proofErr w:type="spellEnd"/>
      <w:r w:rsidRPr="003067A5">
        <w:rPr>
          <w:rFonts w:ascii="Verdana" w:eastAsia="SimSun" w:hAnsi="Verdana"/>
          <w:sz w:val="18"/>
          <w:szCs w:val="18"/>
          <w:lang w:eastAsia="nl-NL"/>
        </w:rPr>
        <w:t xml:space="preserve"> in de OS-programmalijnen. Deze zogeheten BNI-ruimte kan immers weer toenemen of afnemen als in de loop van het jaar de BNI-raming wordt bijgesteld. Daarnaast kan er sprake zijn van nog te verdelen toerekeningen aan het ODA budget. De laatste raming van het CPB (het CEP) toont dat de economische groei van de afgelopen jaren doorzet. </w:t>
      </w:r>
    </w:p>
    <w:p w:rsidR="000C2622" w:rsidRPr="003067A5" w:rsidRDefault="000C2622" w:rsidP="000C2622">
      <w:pPr>
        <w:pStyle w:val="Plattetekst2"/>
        <w:tabs>
          <w:tab w:val="left" w:pos="709"/>
        </w:tabs>
        <w:outlineLvl w:val="0"/>
        <w:rPr>
          <w:rFonts w:ascii="Verdana" w:hAnsi="Verdana"/>
          <w:iCs/>
          <w:sz w:val="18"/>
          <w:szCs w:val="18"/>
        </w:rPr>
      </w:pPr>
      <w:r w:rsidRPr="003067A5">
        <w:rPr>
          <w:rFonts w:ascii="Verdana" w:eastAsia="SimSun" w:hAnsi="Verdana"/>
          <w:sz w:val="18"/>
          <w:szCs w:val="18"/>
          <w:lang w:eastAsia="nl-NL"/>
        </w:rPr>
        <w:t xml:space="preserve">Voor 2017 en volgende jaren wordt het saldo van artikel 5.4 positief bijgesteld. </w:t>
      </w:r>
      <w:r>
        <w:rPr>
          <w:rFonts w:ascii="Verdana" w:eastAsia="SimSun" w:hAnsi="Verdana"/>
          <w:sz w:val="18"/>
          <w:szCs w:val="18"/>
          <w:lang w:eastAsia="nl-NL"/>
        </w:rPr>
        <w:t xml:space="preserve"> Verder is b</w:t>
      </w:r>
      <w:r>
        <w:rPr>
          <w:rFonts w:ascii="Verdana" w:hAnsi="Verdana"/>
          <w:iCs/>
          <w:sz w:val="18"/>
          <w:szCs w:val="18"/>
        </w:rPr>
        <w:t xml:space="preserve">ij de Najaarsnota 2016 de raming voor de asielinstroom in 2016 verlaagd van 58.000 naar 33.000. De verlaging van de instroom in 2016 werkt door in 2017 en leidt tot een overboeking van EUR 170 miljoen van de Veiligheid en Justitie begroting naar de Buitenlandse Handel en Ontwikkelingssamenwerking begroting. Ook is de raming voor de instroom van asielzoekers in 2017 verlaagd van 42.000 naar 41.000. Dit leidt, samen met de reguliere jaarlijkse herijking van onder andere verblijfsduur en kostprijs, tot een neerwaartse  bijstelling van de ODA-toerekening van </w:t>
      </w:r>
      <w:proofErr w:type="spellStart"/>
      <w:r>
        <w:rPr>
          <w:rFonts w:ascii="Verdana" w:hAnsi="Verdana"/>
          <w:iCs/>
          <w:sz w:val="18"/>
          <w:szCs w:val="18"/>
        </w:rPr>
        <w:t>eerstejaarsopvangkosten</w:t>
      </w:r>
      <w:proofErr w:type="spellEnd"/>
      <w:r>
        <w:rPr>
          <w:rFonts w:ascii="Verdana" w:hAnsi="Verdana"/>
          <w:iCs/>
          <w:sz w:val="18"/>
          <w:szCs w:val="18"/>
        </w:rPr>
        <w:t xml:space="preserve"> asielinstroom 2017. Daarnaast heeft het kabinet EUR 75 miljoen vrijgemaakt voor de dekking van de EUR 75 miljoen hogere kosten voor leegstand in de reguliere nacalculatie over 2016. Er is besloten, om aanvullend aan de toevoeging aan het Noodhulpfonds vanuit de correctie toerekening en de eindejaarsmarge, EUR 40 miljoen extra toe te voegen aan het Noodhulpfonds vanuit de lagere ODA-toerekening voor </w:t>
      </w:r>
      <w:proofErr w:type="spellStart"/>
      <w:r>
        <w:rPr>
          <w:rFonts w:ascii="Verdana" w:hAnsi="Verdana"/>
          <w:iCs/>
          <w:sz w:val="18"/>
          <w:szCs w:val="18"/>
        </w:rPr>
        <w:t>eerstejaarsopvangkosten</w:t>
      </w:r>
      <w:proofErr w:type="spellEnd"/>
      <w:r>
        <w:rPr>
          <w:rFonts w:ascii="Verdana" w:hAnsi="Verdana"/>
          <w:iCs/>
          <w:sz w:val="18"/>
          <w:szCs w:val="18"/>
        </w:rPr>
        <w:t xml:space="preserve"> van de asielinstroom in 2017.  </w:t>
      </w:r>
    </w:p>
    <w:p w:rsidR="000C2622" w:rsidRPr="003067A5" w:rsidRDefault="000C2622" w:rsidP="000C2622">
      <w:pPr>
        <w:pStyle w:val="Plattetekst2"/>
        <w:tabs>
          <w:tab w:val="left" w:pos="709"/>
        </w:tabs>
        <w:outlineLvl w:val="0"/>
        <w:rPr>
          <w:rFonts w:ascii="Verdana" w:hAnsi="Verdana"/>
          <w:iCs/>
          <w:sz w:val="18"/>
          <w:szCs w:val="18"/>
        </w:rPr>
      </w:pPr>
    </w:p>
    <w:p w:rsidR="000C2622" w:rsidRPr="003067A5" w:rsidRDefault="000C2622" w:rsidP="000C2622">
      <w:pPr>
        <w:rPr>
          <w:rFonts w:ascii="Verdana" w:hAnsi="Verdana"/>
          <w:b/>
          <w:i/>
          <w:sz w:val="18"/>
          <w:szCs w:val="18"/>
        </w:rPr>
      </w:pPr>
      <w:r w:rsidRPr="003067A5">
        <w:rPr>
          <w:rFonts w:ascii="Verdana" w:hAnsi="Verdana"/>
          <w:b/>
          <w:i/>
          <w:sz w:val="18"/>
          <w:szCs w:val="18"/>
        </w:rPr>
        <w:t>Ontvangsten</w:t>
      </w:r>
    </w:p>
    <w:p w:rsidR="000C2622" w:rsidRPr="003067A5" w:rsidRDefault="000C2622" w:rsidP="000C2622">
      <w:pPr>
        <w:rPr>
          <w:rFonts w:ascii="Verdana" w:hAnsi="Verdana"/>
          <w:b/>
          <w:i/>
          <w:sz w:val="18"/>
          <w:szCs w:val="18"/>
        </w:rPr>
      </w:pPr>
    </w:p>
    <w:p w:rsidR="000C2622" w:rsidRPr="003067A5" w:rsidRDefault="000C2622" w:rsidP="000C2622">
      <w:pPr>
        <w:rPr>
          <w:rFonts w:ascii="Verdana" w:hAnsi="Verdana"/>
          <w:sz w:val="18"/>
          <w:szCs w:val="18"/>
        </w:rPr>
      </w:pPr>
      <w:r w:rsidRPr="003067A5">
        <w:rPr>
          <w:rFonts w:ascii="Verdana" w:hAnsi="Verdana"/>
          <w:sz w:val="18"/>
          <w:szCs w:val="18"/>
        </w:rPr>
        <w:t xml:space="preserve">Geen toelichting </w:t>
      </w:r>
    </w:p>
    <w:p w:rsidR="000C2622" w:rsidRPr="003067A5" w:rsidRDefault="000C2622" w:rsidP="000C2622">
      <w:pPr>
        <w:rPr>
          <w:rFonts w:ascii="Verdana" w:hAnsi="Verdana"/>
          <w:sz w:val="18"/>
          <w:szCs w:val="18"/>
        </w:rPr>
        <w:sectPr w:rsidR="000C2622" w:rsidRPr="003067A5" w:rsidSect="002F1819">
          <w:pgSz w:w="16834" w:h="11907" w:orient="landscape"/>
          <w:pgMar w:top="1134" w:right="1134" w:bottom="1134" w:left="1134" w:header="709" w:footer="709" w:gutter="0"/>
          <w:cols w:space="708"/>
          <w:noEndnote/>
        </w:sectPr>
      </w:pPr>
    </w:p>
    <w:p w:rsidR="000C2622" w:rsidRPr="0053329D" w:rsidRDefault="000C2622" w:rsidP="000C2622">
      <w:pPr>
        <w:pStyle w:val="Plattetekst2"/>
        <w:tabs>
          <w:tab w:val="left" w:pos="709"/>
        </w:tabs>
        <w:outlineLvl w:val="0"/>
        <w:rPr>
          <w:rFonts w:ascii="Verdana" w:hAnsi="Verdana"/>
          <w:b/>
          <w:sz w:val="18"/>
          <w:szCs w:val="18"/>
        </w:rPr>
      </w:pPr>
    </w:p>
    <w:p w:rsidR="000C2622" w:rsidRPr="003067A5" w:rsidRDefault="000C2622" w:rsidP="000C2622">
      <w:pPr>
        <w:pStyle w:val="Plattetekst2"/>
        <w:numPr>
          <w:ilvl w:val="0"/>
          <w:numId w:val="10"/>
        </w:numPr>
        <w:tabs>
          <w:tab w:val="left" w:pos="709"/>
        </w:tabs>
        <w:outlineLvl w:val="0"/>
        <w:rPr>
          <w:rFonts w:ascii="Verdana" w:hAnsi="Verdana"/>
          <w:b/>
          <w:sz w:val="18"/>
          <w:szCs w:val="18"/>
        </w:rPr>
      </w:pPr>
      <w:r w:rsidRPr="003067A5">
        <w:rPr>
          <w:rFonts w:ascii="Verdana" w:hAnsi="Verdana"/>
          <w:b/>
          <w:iCs/>
          <w:sz w:val="18"/>
          <w:szCs w:val="18"/>
        </w:rPr>
        <w:t>Overzicht verwerkte amendementen</w:t>
      </w:r>
    </w:p>
    <w:p w:rsidR="000C2622" w:rsidRPr="003067A5" w:rsidRDefault="000C2622" w:rsidP="000C2622">
      <w:pPr>
        <w:pStyle w:val="Plattetekst2"/>
        <w:tabs>
          <w:tab w:val="left" w:pos="709"/>
        </w:tabs>
        <w:outlineLvl w:val="0"/>
        <w:rPr>
          <w:rFonts w:ascii="Verdana" w:hAnsi="Verdana"/>
          <w:b/>
          <w:iCs/>
          <w:sz w:val="18"/>
          <w:szCs w:val="18"/>
        </w:rPr>
      </w:pPr>
    </w:p>
    <w:p w:rsidR="000C2622" w:rsidRPr="003067A5" w:rsidRDefault="000C2622" w:rsidP="000C2622">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635"/>
        <w:gridCol w:w="2617"/>
        <w:gridCol w:w="4502"/>
      </w:tblGrid>
      <w:tr w:rsidR="000C2622" w:rsidRPr="003067A5" w:rsidTr="00602BE7">
        <w:tc>
          <w:tcPr>
            <w:tcW w:w="1101" w:type="dxa"/>
            <w:shd w:val="clear" w:color="auto" w:fill="auto"/>
          </w:tcPr>
          <w:p w:rsidR="000C2622" w:rsidRPr="003067A5" w:rsidRDefault="000C2622" w:rsidP="00602BE7">
            <w:pPr>
              <w:rPr>
                <w:rFonts w:ascii="Verdana" w:hAnsi="Verdana"/>
                <w:b/>
                <w:sz w:val="18"/>
                <w:szCs w:val="18"/>
              </w:rPr>
            </w:pPr>
            <w:proofErr w:type="spellStart"/>
            <w:r w:rsidRPr="003067A5">
              <w:rPr>
                <w:rFonts w:ascii="Verdana" w:hAnsi="Verdana"/>
                <w:b/>
                <w:sz w:val="18"/>
                <w:szCs w:val="18"/>
              </w:rPr>
              <w:t>Nr</w:t>
            </w:r>
            <w:proofErr w:type="spellEnd"/>
          </w:p>
        </w:tc>
        <w:tc>
          <w:tcPr>
            <w:tcW w:w="1635" w:type="dxa"/>
            <w:shd w:val="clear" w:color="auto" w:fill="auto"/>
          </w:tcPr>
          <w:p w:rsidR="000C2622" w:rsidRPr="003067A5" w:rsidRDefault="000C2622" w:rsidP="00602BE7">
            <w:pPr>
              <w:rPr>
                <w:rFonts w:ascii="Verdana" w:hAnsi="Verdana"/>
                <w:b/>
                <w:sz w:val="18"/>
                <w:szCs w:val="18"/>
              </w:rPr>
            </w:pPr>
            <w:r w:rsidRPr="003067A5">
              <w:rPr>
                <w:rFonts w:ascii="Verdana" w:hAnsi="Verdana"/>
                <w:b/>
                <w:sz w:val="18"/>
                <w:szCs w:val="18"/>
              </w:rPr>
              <w:t>Indiener</w:t>
            </w:r>
          </w:p>
        </w:tc>
        <w:tc>
          <w:tcPr>
            <w:tcW w:w="2617" w:type="dxa"/>
          </w:tcPr>
          <w:p w:rsidR="000C2622" w:rsidRPr="003067A5" w:rsidRDefault="000C2622" w:rsidP="00602BE7">
            <w:pPr>
              <w:rPr>
                <w:rFonts w:ascii="Verdana" w:hAnsi="Verdana"/>
                <w:b/>
                <w:sz w:val="18"/>
                <w:szCs w:val="18"/>
              </w:rPr>
            </w:pPr>
            <w:r w:rsidRPr="003067A5">
              <w:rPr>
                <w:rFonts w:ascii="Verdana" w:hAnsi="Verdana"/>
                <w:b/>
                <w:sz w:val="18"/>
                <w:szCs w:val="18"/>
              </w:rPr>
              <w:t>Begunstigd artikel/dekking uit</w:t>
            </w:r>
          </w:p>
        </w:tc>
        <w:tc>
          <w:tcPr>
            <w:tcW w:w="4502" w:type="dxa"/>
            <w:shd w:val="clear" w:color="auto" w:fill="auto"/>
          </w:tcPr>
          <w:p w:rsidR="000C2622" w:rsidRPr="003067A5" w:rsidRDefault="000C2622" w:rsidP="00602BE7">
            <w:pPr>
              <w:rPr>
                <w:rFonts w:ascii="Verdana" w:hAnsi="Verdana"/>
                <w:b/>
                <w:sz w:val="18"/>
                <w:szCs w:val="18"/>
              </w:rPr>
            </w:pPr>
            <w:r w:rsidRPr="003067A5">
              <w:rPr>
                <w:rFonts w:ascii="Verdana" w:hAnsi="Verdana"/>
                <w:b/>
                <w:sz w:val="18"/>
                <w:szCs w:val="18"/>
              </w:rPr>
              <w:t>Korte omschrijving</w:t>
            </w:r>
          </w:p>
        </w:tc>
      </w:tr>
      <w:tr w:rsidR="000C2622" w:rsidRPr="003067A5" w:rsidTr="00602BE7">
        <w:tc>
          <w:tcPr>
            <w:tcW w:w="1101"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34 550 XVII</w:t>
            </w:r>
          </w:p>
          <w:p w:rsidR="000C2622" w:rsidRPr="003067A5" w:rsidRDefault="000C2622" w:rsidP="00602BE7">
            <w:pPr>
              <w:rPr>
                <w:rFonts w:ascii="Verdana" w:hAnsi="Verdana"/>
                <w:sz w:val="18"/>
                <w:szCs w:val="18"/>
              </w:rPr>
            </w:pPr>
            <w:proofErr w:type="spellStart"/>
            <w:r w:rsidRPr="003067A5">
              <w:rPr>
                <w:rFonts w:ascii="Verdana" w:hAnsi="Verdana"/>
                <w:sz w:val="18"/>
                <w:szCs w:val="18"/>
              </w:rPr>
              <w:t>Nr</w:t>
            </w:r>
            <w:proofErr w:type="spellEnd"/>
            <w:r w:rsidRPr="003067A5">
              <w:rPr>
                <w:rFonts w:ascii="Verdana" w:hAnsi="Verdana"/>
                <w:sz w:val="18"/>
                <w:szCs w:val="18"/>
              </w:rPr>
              <w:t xml:space="preserve"> 14</w:t>
            </w:r>
          </w:p>
        </w:tc>
        <w:tc>
          <w:tcPr>
            <w:tcW w:w="1635"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Smaling en Mulder</w:t>
            </w:r>
          </w:p>
        </w:tc>
        <w:tc>
          <w:tcPr>
            <w:tcW w:w="2617" w:type="dxa"/>
          </w:tcPr>
          <w:p w:rsidR="000C2622" w:rsidRPr="003067A5" w:rsidRDefault="000C2622" w:rsidP="00602BE7">
            <w:pPr>
              <w:rPr>
                <w:rFonts w:ascii="Verdana" w:hAnsi="Verdana"/>
                <w:sz w:val="18"/>
                <w:szCs w:val="18"/>
              </w:rPr>
            </w:pPr>
            <w:r w:rsidRPr="003067A5">
              <w:rPr>
                <w:rFonts w:ascii="Verdana" w:hAnsi="Verdana"/>
                <w:sz w:val="18"/>
                <w:szCs w:val="18"/>
              </w:rPr>
              <w:t>1.3: versterkte private sector</w:t>
            </w:r>
          </w:p>
        </w:tc>
        <w:tc>
          <w:tcPr>
            <w:tcW w:w="4502" w:type="dxa"/>
            <w:shd w:val="clear" w:color="auto" w:fill="auto"/>
          </w:tcPr>
          <w:p w:rsidR="000C2622" w:rsidRPr="003067A5" w:rsidRDefault="000C2622" w:rsidP="00602BE7">
            <w:pPr>
              <w:rPr>
                <w:rFonts w:ascii="Verdana" w:hAnsi="Verdana" w:cs="Arial"/>
                <w:color w:val="444444"/>
                <w:sz w:val="18"/>
                <w:szCs w:val="18"/>
              </w:rPr>
            </w:pPr>
            <w:r w:rsidRPr="003067A5">
              <w:rPr>
                <w:rFonts w:ascii="Verdana" w:hAnsi="Verdana"/>
                <w:sz w:val="18"/>
                <w:szCs w:val="18"/>
              </w:rPr>
              <w:t xml:space="preserve">Met dit amendement wordt vanuit het niet-juridisch verplichte deel van artikel 1.3 ‘versterkte private sector’ EUR 1 miljoen eenmalig voor het jaar 2017 beschikbaar gesteld als startfinanciering voor jonge ondernemers bij gebrek aan andere mogelijkheden tot financiering van een onderneming.  Dit geld is </w:t>
            </w:r>
            <w:r>
              <w:rPr>
                <w:rFonts w:ascii="Verdana" w:hAnsi="Verdana"/>
                <w:sz w:val="18"/>
                <w:szCs w:val="18"/>
              </w:rPr>
              <w:t xml:space="preserve">toegekend </w:t>
            </w:r>
            <w:r w:rsidRPr="003067A5">
              <w:rPr>
                <w:rFonts w:ascii="Verdana" w:hAnsi="Verdana"/>
                <w:sz w:val="18"/>
                <w:szCs w:val="18"/>
              </w:rPr>
              <w:t>aan het initiatief ‘</w:t>
            </w:r>
            <w:r w:rsidRPr="003067A5">
              <w:rPr>
                <w:rFonts w:ascii="Verdana" w:hAnsi="Verdana"/>
                <w:i/>
                <w:sz w:val="18"/>
                <w:szCs w:val="18"/>
              </w:rPr>
              <w:t xml:space="preserve">Making </w:t>
            </w:r>
            <w:proofErr w:type="spellStart"/>
            <w:r w:rsidRPr="003067A5">
              <w:rPr>
                <w:rFonts w:ascii="Verdana" w:hAnsi="Verdana"/>
                <w:i/>
                <w:sz w:val="18"/>
                <w:szCs w:val="18"/>
              </w:rPr>
              <w:t>Africa</w:t>
            </w:r>
            <w:proofErr w:type="spellEnd"/>
            <w:r w:rsidRPr="003067A5">
              <w:rPr>
                <w:rFonts w:ascii="Verdana" w:hAnsi="Verdana"/>
                <w:i/>
                <w:sz w:val="18"/>
                <w:szCs w:val="18"/>
              </w:rPr>
              <w:t xml:space="preserve"> </w:t>
            </w:r>
            <w:proofErr w:type="spellStart"/>
            <w:r w:rsidRPr="003067A5">
              <w:rPr>
                <w:rFonts w:ascii="Verdana" w:hAnsi="Verdana"/>
                <w:i/>
                <w:sz w:val="18"/>
                <w:szCs w:val="18"/>
              </w:rPr>
              <w:t>Work</w:t>
            </w:r>
            <w:proofErr w:type="spellEnd"/>
            <w:r w:rsidRPr="003067A5">
              <w:rPr>
                <w:rFonts w:ascii="Verdana" w:hAnsi="Verdana"/>
                <w:i/>
                <w:sz w:val="18"/>
                <w:szCs w:val="18"/>
              </w:rPr>
              <w:t>’</w:t>
            </w:r>
            <w:r w:rsidRPr="003067A5">
              <w:rPr>
                <w:rFonts w:ascii="Verdana" w:hAnsi="Verdana"/>
                <w:sz w:val="18"/>
                <w:szCs w:val="18"/>
              </w:rPr>
              <w:t xml:space="preserve"> (PUM en </w:t>
            </w:r>
            <w:proofErr w:type="spellStart"/>
            <w:r w:rsidRPr="003067A5">
              <w:rPr>
                <w:rFonts w:ascii="Verdana" w:hAnsi="Verdana"/>
                <w:sz w:val="18"/>
                <w:szCs w:val="18"/>
              </w:rPr>
              <w:t>Africa</w:t>
            </w:r>
            <w:proofErr w:type="spellEnd"/>
            <w:r w:rsidRPr="003067A5">
              <w:rPr>
                <w:rFonts w:ascii="Verdana" w:hAnsi="Verdana"/>
                <w:sz w:val="18"/>
                <w:szCs w:val="18"/>
              </w:rPr>
              <w:t xml:space="preserve"> in Motion)</w:t>
            </w:r>
            <w:r>
              <w:rPr>
                <w:rFonts w:ascii="Verdana" w:hAnsi="Verdana"/>
                <w:sz w:val="18"/>
                <w:szCs w:val="18"/>
              </w:rPr>
              <w:t>.</w:t>
            </w:r>
            <w:r w:rsidRPr="003067A5">
              <w:rPr>
                <w:rFonts w:ascii="Verdana" w:hAnsi="Verdana" w:cs="Arial"/>
                <w:color w:val="444444"/>
                <w:sz w:val="18"/>
                <w:szCs w:val="18"/>
              </w:rPr>
              <w:t xml:space="preserve"> </w:t>
            </w:r>
          </w:p>
          <w:p w:rsidR="000C2622" w:rsidRPr="003067A5" w:rsidRDefault="000C2622" w:rsidP="00602BE7">
            <w:pPr>
              <w:rPr>
                <w:rFonts w:ascii="Verdana" w:hAnsi="Verdana" w:cs="Arial"/>
                <w:color w:val="444444"/>
                <w:sz w:val="18"/>
                <w:szCs w:val="18"/>
              </w:rPr>
            </w:pPr>
          </w:p>
          <w:p w:rsidR="000C2622" w:rsidRPr="003067A5" w:rsidRDefault="000C2622" w:rsidP="00602BE7">
            <w:pPr>
              <w:rPr>
                <w:rFonts w:ascii="Verdana" w:hAnsi="Verdana"/>
                <w:sz w:val="18"/>
                <w:szCs w:val="18"/>
              </w:rPr>
            </w:pPr>
            <w:r w:rsidRPr="003067A5">
              <w:rPr>
                <w:rFonts w:ascii="Verdana" w:hAnsi="Verdana"/>
                <w:i/>
                <w:sz w:val="18"/>
                <w:szCs w:val="18"/>
              </w:rPr>
              <w:t xml:space="preserve">Making </w:t>
            </w:r>
            <w:proofErr w:type="spellStart"/>
            <w:r w:rsidRPr="003067A5">
              <w:rPr>
                <w:rFonts w:ascii="Verdana" w:hAnsi="Verdana"/>
                <w:i/>
                <w:sz w:val="18"/>
                <w:szCs w:val="18"/>
              </w:rPr>
              <w:t>Africa</w:t>
            </w:r>
            <w:proofErr w:type="spellEnd"/>
            <w:r w:rsidRPr="003067A5">
              <w:rPr>
                <w:rFonts w:ascii="Verdana" w:hAnsi="Verdana"/>
                <w:i/>
                <w:sz w:val="18"/>
                <w:szCs w:val="18"/>
              </w:rPr>
              <w:t xml:space="preserve"> </w:t>
            </w:r>
            <w:proofErr w:type="spellStart"/>
            <w:r w:rsidRPr="003067A5">
              <w:rPr>
                <w:rFonts w:ascii="Verdana" w:hAnsi="Verdana"/>
                <w:i/>
                <w:sz w:val="18"/>
                <w:szCs w:val="18"/>
              </w:rPr>
              <w:t>Work</w:t>
            </w:r>
            <w:proofErr w:type="spellEnd"/>
            <w:r w:rsidRPr="003067A5">
              <w:rPr>
                <w:rFonts w:ascii="Verdana" w:hAnsi="Verdana"/>
                <w:sz w:val="18"/>
                <w:szCs w:val="18"/>
              </w:rPr>
              <w:t xml:space="preserve"> is een eenjarig pilot programma dat voortbouwt op ervaringen die zijn opgedaan door de stichting </w:t>
            </w:r>
            <w:proofErr w:type="spellStart"/>
            <w:r w:rsidRPr="003067A5">
              <w:rPr>
                <w:rFonts w:ascii="Verdana" w:hAnsi="Verdana"/>
                <w:i/>
                <w:sz w:val="18"/>
                <w:szCs w:val="18"/>
              </w:rPr>
              <w:t>Africa</w:t>
            </w:r>
            <w:proofErr w:type="spellEnd"/>
            <w:r w:rsidRPr="003067A5">
              <w:rPr>
                <w:rFonts w:ascii="Verdana" w:hAnsi="Verdana"/>
                <w:i/>
                <w:sz w:val="18"/>
                <w:szCs w:val="18"/>
              </w:rPr>
              <w:t xml:space="preserve"> in Motion</w:t>
            </w:r>
            <w:r w:rsidRPr="003067A5">
              <w:rPr>
                <w:rFonts w:ascii="Verdana" w:hAnsi="Verdana"/>
                <w:sz w:val="18"/>
                <w:szCs w:val="18"/>
              </w:rPr>
              <w:t xml:space="preserve"> die eerder o.a. een Rwandese migrant en een Nederlandse melkveehouder aan elkaar heeft </w:t>
            </w:r>
            <w:proofErr w:type="spellStart"/>
            <w:r w:rsidRPr="003067A5">
              <w:rPr>
                <w:rFonts w:ascii="Verdana" w:hAnsi="Verdana"/>
                <w:sz w:val="18"/>
                <w:szCs w:val="18"/>
              </w:rPr>
              <w:t>gekoppelden</w:t>
            </w:r>
            <w:proofErr w:type="spellEnd"/>
            <w:r w:rsidRPr="003067A5">
              <w:rPr>
                <w:rFonts w:ascii="Verdana" w:hAnsi="Verdana"/>
                <w:sz w:val="18"/>
                <w:szCs w:val="18"/>
              </w:rPr>
              <w:t xml:space="preserve"> die nu samen succesvol samenwerken in Rwanda. </w:t>
            </w:r>
          </w:p>
        </w:tc>
      </w:tr>
      <w:tr w:rsidR="000C2622" w:rsidRPr="003067A5" w:rsidTr="00602BE7">
        <w:tc>
          <w:tcPr>
            <w:tcW w:w="1101"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 xml:space="preserve">34 550 XVII  nr. 16  </w:t>
            </w:r>
          </w:p>
        </w:tc>
        <w:tc>
          <w:tcPr>
            <w:tcW w:w="1635"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Taverne</w:t>
            </w:r>
          </w:p>
        </w:tc>
        <w:tc>
          <w:tcPr>
            <w:tcW w:w="2617" w:type="dxa"/>
          </w:tcPr>
          <w:p w:rsidR="000C2622" w:rsidRPr="003067A5" w:rsidRDefault="000C2622" w:rsidP="00602BE7">
            <w:pPr>
              <w:rPr>
                <w:rFonts w:ascii="Verdana" w:hAnsi="Verdana"/>
                <w:sz w:val="18"/>
                <w:szCs w:val="18"/>
              </w:rPr>
            </w:pPr>
            <w:r w:rsidRPr="003067A5">
              <w:rPr>
                <w:rFonts w:ascii="Verdana" w:hAnsi="Verdana"/>
                <w:sz w:val="18"/>
                <w:szCs w:val="18"/>
              </w:rPr>
              <w:t>3.1: sociale vooruitgang</w:t>
            </w:r>
          </w:p>
        </w:tc>
        <w:tc>
          <w:tcPr>
            <w:tcW w:w="4502"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Vergroting van de keuzevrijheid van vrouwen door financiering ten gunste van U</w:t>
            </w:r>
            <w:r>
              <w:rPr>
                <w:rFonts w:ascii="Verdana" w:hAnsi="Verdana"/>
                <w:sz w:val="18"/>
                <w:szCs w:val="18"/>
              </w:rPr>
              <w:t>NFPA-</w:t>
            </w:r>
            <w:proofErr w:type="spellStart"/>
            <w:r>
              <w:rPr>
                <w:rFonts w:ascii="Verdana" w:hAnsi="Verdana"/>
                <w:sz w:val="18"/>
                <w:szCs w:val="18"/>
              </w:rPr>
              <w:t>supplies</w:t>
            </w:r>
            <w:proofErr w:type="spellEnd"/>
            <w:r>
              <w:rPr>
                <w:rFonts w:ascii="Verdana" w:hAnsi="Verdana"/>
                <w:sz w:val="18"/>
                <w:szCs w:val="18"/>
              </w:rPr>
              <w:t xml:space="preserve">, verhoogd </w:t>
            </w:r>
            <w:proofErr w:type="spellStart"/>
            <w:r>
              <w:rPr>
                <w:rFonts w:ascii="Verdana" w:hAnsi="Verdana"/>
                <w:sz w:val="18"/>
                <w:szCs w:val="18"/>
              </w:rPr>
              <w:t>mer</w:t>
            </w:r>
            <w:proofErr w:type="spellEnd"/>
            <w:r>
              <w:rPr>
                <w:rFonts w:ascii="Verdana" w:hAnsi="Verdana"/>
                <w:sz w:val="18"/>
                <w:szCs w:val="18"/>
              </w:rPr>
              <w:t xml:space="preserve"> EUR </w:t>
            </w:r>
            <w:r w:rsidRPr="003067A5">
              <w:rPr>
                <w:rFonts w:ascii="Verdana" w:hAnsi="Verdana"/>
                <w:sz w:val="18"/>
                <w:szCs w:val="18"/>
              </w:rPr>
              <w:t>3 miljoen in 2017.  Dekking wordt geboden door een vermindering van de niet juridisch verplichte bijdragen aan landen programma’s in beleidsartikel 3.1, waaronder in Mozambique.</w:t>
            </w:r>
          </w:p>
        </w:tc>
      </w:tr>
      <w:tr w:rsidR="000C2622" w:rsidRPr="003067A5" w:rsidTr="00602BE7">
        <w:tc>
          <w:tcPr>
            <w:tcW w:w="1101"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 xml:space="preserve">34 550 XVII </w:t>
            </w:r>
            <w:proofErr w:type="spellStart"/>
            <w:r w:rsidRPr="003067A5">
              <w:rPr>
                <w:rFonts w:ascii="Verdana" w:hAnsi="Verdana"/>
                <w:sz w:val="18"/>
                <w:szCs w:val="18"/>
              </w:rPr>
              <w:t>nr</w:t>
            </w:r>
            <w:proofErr w:type="spellEnd"/>
            <w:r w:rsidRPr="003067A5">
              <w:rPr>
                <w:rFonts w:ascii="Verdana" w:hAnsi="Verdana"/>
                <w:sz w:val="18"/>
                <w:szCs w:val="18"/>
              </w:rPr>
              <w:t xml:space="preserve"> 40</w:t>
            </w:r>
          </w:p>
        </w:tc>
        <w:tc>
          <w:tcPr>
            <w:tcW w:w="1635"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Smaling en Grashoff</w:t>
            </w:r>
          </w:p>
        </w:tc>
        <w:tc>
          <w:tcPr>
            <w:tcW w:w="2617" w:type="dxa"/>
          </w:tcPr>
          <w:p w:rsidR="000C2622" w:rsidRPr="003067A5" w:rsidRDefault="000C2622" w:rsidP="00602BE7">
            <w:pPr>
              <w:rPr>
                <w:rFonts w:ascii="Verdana" w:hAnsi="Verdana"/>
                <w:sz w:val="18"/>
                <w:szCs w:val="18"/>
              </w:rPr>
            </w:pPr>
            <w:r w:rsidRPr="003067A5">
              <w:rPr>
                <w:rFonts w:ascii="Verdana" w:hAnsi="Verdana"/>
                <w:sz w:val="18"/>
                <w:szCs w:val="18"/>
              </w:rPr>
              <w:t xml:space="preserve">2.1: toename van </w:t>
            </w:r>
            <w:proofErr w:type="spellStart"/>
            <w:r w:rsidRPr="003067A5">
              <w:rPr>
                <w:rFonts w:ascii="Verdana" w:hAnsi="Verdana"/>
                <w:sz w:val="18"/>
                <w:szCs w:val="18"/>
              </w:rPr>
              <w:t>voedzelzekerheid</w:t>
            </w:r>
            <w:proofErr w:type="spellEnd"/>
          </w:p>
        </w:tc>
        <w:tc>
          <w:tcPr>
            <w:tcW w:w="4502" w:type="dxa"/>
            <w:shd w:val="clear" w:color="auto" w:fill="auto"/>
          </w:tcPr>
          <w:p w:rsidR="000C2622" w:rsidRPr="003067A5" w:rsidRDefault="000C2622" w:rsidP="00602BE7">
            <w:pPr>
              <w:rPr>
                <w:rFonts w:ascii="Verdana" w:hAnsi="Verdana"/>
                <w:sz w:val="18"/>
                <w:szCs w:val="18"/>
              </w:rPr>
            </w:pPr>
            <w:r w:rsidRPr="003067A5">
              <w:rPr>
                <w:rFonts w:ascii="Verdana" w:hAnsi="Verdana"/>
                <w:sz w:val="18"/>
                <w:szCs w:val="18"/>
              </w:rPr>
              <w:t xml:space="preserve">Met dit amendement wordt eenmalig in 2017 EUR 500,000 extra </w:t>
            </w:r>
            <w:proofErr w:type="spellStart"/>
            <w:r w:rsidRPr="003067A5">
              <w:rPr>
                <w:rFonts w:ascii="Verdana" w:hAnsi="Verdana"/>
                <w:sz w:val="18"/>
                <w:szCs w:val="18"/>
              </w:rPr>
              <w:t>geinvesteerd</w:t>
            </w:r>
            <w:proofErr w:type="spellEnd"/>
            <w:r w:rsidRPr="003067A5">
              <w:rPr>
                <w:rFonts w:ascii="Verdana" w:hAnsi="Verdana"/>
                <w:sz w:val="18"/>
                <w:szCs w:val="18"/>
              </w:rPr>
              <w:t xml:space="preserve"> op het gebied van landrechten in Senegal, Kenia, Malawi en Mozambique.  Hiervoor is een verplichting aangegaan met </w:t>
            </w:r>
            <w:proofErr w:type="spellStart"/>
            <w:r w:rsidRPr="003067A5">
              <w:rPr>
                <w:rFonts w:ascii="Verdana" w:hAnsi="Verdana" w:cs="Arial"/>
                <w:sz w:val="18"/>
                <w:szCs w:val="18"/>
              </w:rPr>
              <w:t>LANDac</w:t>
            </w:r>
            <w:proofErr w:type="spellEnd"/>
            <w:r w:rsidRPr="003067A5">
              <w:rPr>
                <w:rFonts w:ascii="Verdana" w:hAnsi="Verdana" w:cs="Arial"/>
                <w:sz w:val="18"/>
                <w:szCs w:val="18"/>
              </w:rPr>
              <w:t xml:space="preserve"> (</w:t>
            </w:r>
            <w:r w:rsidRPr="003067A5">
              <w:rPr>
                <w:rFonts w:ascii="Verdana" w:hAnsi="Verdana"/>
                <w:i/>
                <w:sz w:val="18"/>
                <w:szCs w:val="18"/>
              </w:rPr>
              <w:t xml:space="preserve">Netherlands Academie on Land </w:t>
            </w:r>
            <w:proofErr w:type="spellStart"/>
            <w:r w:rsidRPr="003067A5">
              <w:rPr>
                <w:rFonts w:ascii="Verdana" w:hAnsi="Verdana"/>
                <w:i/>
                <w:sz w:val="18"/>
                <w:szCs w:val="18"/>
              </w:rPr>
              <w:t>Governance</w:t>
            </w:r>
            <w:proofErr w:type="spellEnd"/>
            <w:r w:rsidRPr="003067A5">
              <w:rPr>
                <w:rFonts w:ascii="Verdana" w:hAnsi="Verdana"/>
                <w:i/>
                <w:sz w:val="18"/>
                <w:szCs w:val="18"/>
              </w:rPr>
              <w:t xml:space="preserve"> </w:t>
            </w:r>
            <w:proofErr w:type="spellStart"/>
            <w:r w:rsidRPr="003067A5">
              <w:rPr>
                <w:rFonts w:ascii="Verdana" w:hAnsi="Verdana"/>
                <w:i/>
                <w:sz w:val="18"/>
                <w:szCs w:val="18"/>
              </w:rPr>
              <w:t>for</w:t>
            </w:r>
            <w:proofErr w:type="spellEnd"/>
            <w:r w:rsidRPr="003067A5">
              <w:rPr>
                <w:rFonts w:ascii="Verdana" w:hAnsi="Verdana"/>
                <w:i/>
                <w:sz w:val="18"/>
                <w:szCs w:val="18"/>
              </w:rPr>
              <w:t xml:space="preserve"> </w:t>
            </w:r>
            <w:proofErr w:type="spellStart"/>
            <w:r w:rsidRPr="003067A5">
              <w:rPr>
                <w:rFonts w:ascii="Verdana" w:hAnsi="Verdana"/>
                <w:i/>
                <w:sz w:val="18"/>
                <w:szCs w:val="18"/>
              </w:rPr>
              <w:t>Equitable</w:t>
            </w:r>
            <w:proofErr w:type="spellEnd"/>
            <w:r w:rsidRPr="003067A5">
              <w:rPr>
                <w:rFonts w:ascii="Verdana" w:hAnsi="Verdana"/>
                <w:i/>
                <w:sz w:val="18"/>
                <w:szCs w:val="18"/>
              </w:rPr>
              <w:t xml:space="preserve"> </w:t>
            </w:r>
            <w:proofErr w:type="spellStart"/>
            <w:r w:rsidRPr="003067A5">
              <w:rPr>
                <w:rFonts w:ascii="Verdana" w:hAnsi="Verdana"/>
                <w:i/>
                <w:sz w:val="18"/>
                <w:szCs w:val="18"/>
              </w:rPr>
              <w:t>and</w:t>
            </w:r>
            <w:proofErr w:type="spellEnd"/>
            <w:r w:rsidRPr="003067A5">
              <w:rPr>
                <w:rFonts w:ascii="Verdana" w:hAnsi="Verdana"/>
                <w:i/>
                <w:sz w:val="18"/>
                <w:szCs w:val="18"/>
              </w:rPr>
              <w:t xml:space="preserve"> </w:t>
            </w:r>
            <w:proofErr w:type="spellStart"/>
            <w:r w:rsidRPr="003067A5">
              <w:rPr>
                <w:rFonts w:ascii="Verdana" w:hAnsi="Verdana"/>
                <w:i/>
                <w:sz w:val="18"/>
                <w:szCs w:val="18"/>
              </w:rPr>
              <w:t>Sustainable</w:t>
            </w:r>
            <w:proofErr w:type="spellEnd"/>
            <w:r w:rsidRPr="003067A5">
              <w:rPr>
                <w:rFonts w:ascii="Verdana" w:hAnsi="Verdana"/>
                <w:i/>
                <w:sz w:val="18"/>
                <w:szCs w:val="18"/>
              </w:rPr>
              <w:t xml:space="preserve"> Development</w:t>
            </w:r>
            <w:r w:rsidRPr="003067A5">
              <w:rPr>
                <w:rFonts w:ascii="Verdana" w:hAnsi="Verdana"/>
                <w:sz w:val="18"/>
                <w:szCs w:val="18"/>
              </w:rPr>
              <w:t>), een partnerschap tussen Nederlandse organisaties di</w:t>
            </w:r>
            <w:r>
              <w:rPr>
                <w:rFonts w:ascii="Verdana" w:hAnsi="Verdana"/>
                <w:sz w:val="18"/>
                <w:szCs w:val="18"/>
              </w:rPr>
              <w:t xml:space="preserve">e werken aan ‘land </w:t>
            </w:r>
            <w:proofErr w:type="spellStart"/>
            <w:r>
              <w:rPr>
                <w:rFonts w:ascii="Verdana" w:hAnsi="Verdana"/>
                <w:sz w:val="18"/>
                <w:szCs w:val="18"/>
              </w:rPr>
              <w:t>governance</w:t>
            </w:r>
            <w:proofErr w:type="spellEnd"/>
            <w:r>
              <w:rPr>
                <w:rFonts w:ascii="Verdana" w:hAnsi="Verdana"/>
                <w:sz w:val="18"/>
                <w:szCs w:val="18"/>
              </w:rPr>
              <w:t>’ (</w:t>
            </w:r>
            <w:r w:rsidRPr="003067A5">
              <w:rPr>
                <w:rFonts w:ascii="Verdana" w:hAnsi="Verdana"/>
                <w:sz w:val="18"/>
                <w:szCs w:val="18"/>
              </w:rPr>
              <w:t>best</w:t>
            </w:r>
            <w:r>
              <w:rPr>
                <w:rFonts w:ascii="Verdana" w:hAnsi="Verdana"/>
                <w:sz w:val="18"/>
                <w:szCs w:val="18"/>
              </w:rPr>
              <w:t>uurlijke vraagstukken over land).</w:t>
            </w:r>
          </w:p>
          <w:p w:rsidR="000C2622" w:rsidRPr="003067A5" w:rsidRDefault="000C2622" w:rsidP="00602BE7">
            <w:pPr>
              <w:rPr>
                <w:rFonts w:ascii="Verdana" w:hAnsi="Verdana"/>
                <w:sz w:val="18"/>
                <w:szCs w:val="18"/>
              </w:rPr>
            </w:pPr>
          </w:p>
        </w:tc>
      </w:tr>
    </w:tbl>
    <w:p w:rsidR="000C2622" w:rsidRPr="003067A5" w:rsidRDefault="000C2622" w:rsidP="000C2622">
      <w:pPr>
        <w:rPr>
          <w:rFonts w:ascii="Verdana" w:hAnsi="Verdana"/>
          <w:sz w:val="18"/>
          <w:szCs w:val="18"/>
        </w:rPr>
      </w:pPr>
    </w:p>
    <w:p w:rsidR="006C11B8" w:rsidRDefault="006C11B8"/>
    <w:p w:rsidR="000C2622" w:rsidRDefault="000C2622"/>
    <w:sectPr w:rsidR="000C2622" w:rsidSect="002F1819">
      <w:pgSz w:w="11907" w:h="16834"/>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614"/>
    <w:multiLevelType w:val="hybridMultilevel"/>
    <w:tmpl w:val="B3CE81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3">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B5C7E65"/>
    <w:multiLevelType w:val="hybridMultilevel"/>
    <w:tmpl w:val="2F0673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C8B5926"/>
    <w:multiLevelType w:val="hybridMultilevel"/>
    <w:tmpl w:val="91E2F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33A4465"/>
    <w:multiLevelType w:val="hybridMultilevel"/>
    <w:tmpl w:val="D10E9166"/>
    <w:lvl w:ilvl="0" w:tplc="E08269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52F5FCC"/>
    <w:multiLevelType w:val="hybridMultilevel"/>
    <w:tmpl w:val="1F3C8E9C"/>
    <w:lvl w:ilvl="0" w:tplc="6F765D9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92B3020"/>
    <w:multiLevelType w:val="hybridMultilevel"/>
    <w:tmpl w:val="C34A7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A5B39ED"/>
    <w:multiLevelType w:val="hybridMultilevel"/>
    <w:tmpl w:val="F36E4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5">
    <w:nsid w:val="24992C34"/>
    <w:multiLevelType w:val="hybridMultilevel"/>
    <w:tmpl w:val="138AE64C"/>
    <w:lvl w:ilvl="0" w:tplc="00E0C8DC">
      <w:start w:val="2"/>
      <w:numFmt w:val="lowerRoman"/>
      <w:lvlText w:val="%1."/>
      <w:lvlJc w:val="left"/>
      <w:pPr>
        <w:ind w:left="1080" w:hanging="720"/>
      </w:pPr>
      <w:rPr>
        <w:rFonts w:ascii="Times New Roman" w:hAnsi="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12398B"/>
    <w:multiLevelType w:val="hybridMultilevel"/>
    <w:tmpl w:val="DEFAB47C"/>
    <w:lvl w:ilvl="0" w:tplc="BAEA117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0">
    <w:nsid w:val="38CC30A9"/>
    <w:multiLevelType w:val="hybridMultilevel"/>
    <w:tmpl w:val="12A240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3F96779"/>
    <w:multiLevelType w:val="hybridMultilevel"/>
    <w:tmpl w:val="8E2211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92C744C"/>
    <w:multiLevelType w:val="hybridMultilevel"/>
    <w:tmpl w:val="29FAA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5F97B5A"/>
    <w:multiLevelType w:val="hybridMultilevel"/>
    <w:tmpl w:val="778829BE"/>
    <w:lvl w:ilvl="0" w:tplc="74FEB1B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AFE0497"/>
    <w:multiLevelType w:val="hybridMultilevel"/>
    <w:tmpl w:val="550890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0FB49F3"/>
    <w:multiLevelType w:val="hybridMultilevel"/>
    <w:tmpl w:val="32A0A4EE"/>
    <w:lvl w:ilvl="0" w:tplc="19984ECA">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65B768E1"/>
    <w:multiLevelType w:val="hybridMultilevel"/>
    <w:tmpl w:val="B4746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6911F14"/>
    <w:multiLevelType w:val="hybridMultilevel"/>
    <w:tmpl w:val="E960B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FA96EAE"/>
    <w:multiLevelType w:val="hybridMultilevel"/>
    <w:tmpl w:val="CFF2F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09E259E"/>
    <w:multiLevelType w:val="hybridMultilevel"/>
    <w:tmpl w:val="673AADA0"/>
    <w:lvl w:ilvl="0" w:tplc="248C7B7A">
      <w:start w:val="1"/>
      <w:numFmt w:val="low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4">
    <w:nsid w:val="713D05C5"/>
    <w:multiLevelType w:val="hybridMultilevel"/>
    <w:tmpl w:val="28BAB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36">
    <w:nsid w:val="7FF107A5"/>
    <w:multiLevelType w:val="hybridMultilevel"/>
    <w:tmpl w:val="17CA2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2"/>
  </w:num>
  <w:num w:numId="2">
    <w:abstractNumId w:val="2"/>
  </w:num>
  <w:num w:numId="3">
    <w:abstractNumId w:val="19"/>
  </w:num>
  <w:num w:numId="4">
    <w:abstractNumId w:val="1"/>
  </w:num>
  <w:num w:numId="5">
    <w:abstractNumId w:val="14"/>
  </w:num>
  <w:num w:numId="6">
    <w:abstractNumId w:val="35"/>
  </w:num>
  <w:num w:numId="7">
    <w:abstractNumId w:val="16"/>
  </w:num>
  <w:num w:numId="8">
    <w:abstractNumId w:val="17"/>
  </w:num>
  <w:num w:numId="9">
    <w:abstractNumId w:val="3"/>
  </w:num>
  <w:num w:numId="10">
    <w:abstractNumId w:val="5"/>
  </w:num>
  <w:num w:numId="11">
    <w:abstractNumId w:val="23"/>
  </w:num>
  <w:num w:numId="12">
    <w:abstractNumId w:val="7"/>
  </w:num>
  <w:num w:numId="13">
    <w:abstractNumId w:val="4"/>
  </w:num>
  <w:num w:numId="14">
    <w:abstractNumId w:val="8"/>
  </w:num>
  <w:num w:numId="15">
    <w:abstractNumId w:val="21"/>
  </w:num>
  <w:num w:numId="16">
    <w:abstractNumId w:val="11"/>
  </w:num>
  <w:num w:numId="17">
    <w:abstractNumId w:val="29"/>
  </w:num>
  <w:num w:numId="18">
    <w:abstractNumId w:val="18"/>
  </w:num>
  <w:num w:numId="19">
    <w:abstractNumId w:val="0"/>
  </w:num>
  <w:num w:numId="20">
    <w:abstractNumId w:val="36"/>
  </w:num>
  <w:num w:numId="21">
    <w:abstractNumId w:val="27"/>
  </w:num>
  <w:num w:numId="22">
    <w:abstractNumId w:val="20"/>
  </w:num>
  <w:num w:numId="23">
    <w:abstractNumId w:val="10"/>
  </w:num>
  <w:num w:numId="24">
    <w:abstractNumId w:val="9"/>
  </w:num>
  <w:num w:numId="25">
    <w:abstractNumId w:val="12"/>
  </w:num>
  <w:num w:numId="26">
    <w:abstractNumId w:val="31"/>
  </w:num>
  <w:num w:numId="27">
    <w:abstractNumId w:val="28"/>
  </w:num>
  <w:num w:numId="28">
    <w:abstractNumId w:val="13"/>
  </w:num>
  <w:num w:numId="29">
    <w:abstractNumId w:val="34"/>
  </w:num>
  <w:num w:numId="30">
    <w:abstractNumId w:val="6"/>
  </w:num>
  <w:num w:numId="31">
    <w:abstractNumId w:val="25"/>
  </w:num>
  <w:num w:numId="32">
    <w:abstractNumId w:val="32"/>
  </w:num>
  <w:num w:numId="33">
    <w:abstractNumId w:val="30"/>
  </w:num>
  <w:num w:numId="34">
    <w:abstractNumId w:val="24"/>
  </w:num>
  <w:num w:numId="35">
    <w:abstractNumId w:val="26"/>
  </w:num>
  <w:num w:numId="36">
    <w:abstractNumId w:val="1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22"/>
    <w:rsid w:val="000C2622"/>
    <w:rsid w:val="00433D6E"/>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2622"/>
    <w:rPr>
      <w:sz w:val="24"/>
      <w:szCs w:val="24"/>
      <w:lang w:eastAsia="zh-CN"/>
    </w:rPr>
  </w:style>
  <w:style w:type="paragraph" w:styleId="Kop2">
    <w:name w:val="heading 2"/>
    <w:basedOn w:val="Standaard"/>
    <w:next w:val="Standaard"/>
    <w:link w:val="Kop2Char"/>
    <w:qFormat/>
    <w:rsid w:val="000C26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0C2622"/>
    <w:rPr>
      <w:rFonts w:ascii="Arial" w:hAnsi="Arial" w:cs="Arial"/>
      <w:b/>
      <w:bCs/>
      <w:i/>
      <w:iCs/>
      <w:sz w:val="28"/>
      <w:szCs w:val="28"/>
      <w:lang w:eastAsia="zh-CN"/>
    </w:rPr>
  </w:style>
  <w:style w:type="paragraph" w:customStyle="1" w:styleId="Huisstijl-NAW">
    <w:name w:val="Huisstijl-NAW"/>
    <w:basedOn w:val="Standaard"/>
    <w:rsid w:val="000C2622"/>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VoetnoottekstChar"/>
    <w:rsid w:val="000C2622"/>
    <w:rPr>
      <w:sz w:val="20"/>
      <w:szCs w:val="20"/>
    </w:rPr>
  </w:style>
  <w:style w:type="character" w:customStyle="1" w:styleId="VoetnoottekstChar">
    <w:name w:val="Voetnoottekst Char"/>
    <w:basedOn w:val="Standaardalinea-lettertype"/>
    <w:link w:val="Voetnoottekst"/>
    <w:rsid w:val="000C2622"/>
    <w:rPr>
      <w:lang w:eastAsia="zh-CN"/>
    </w:rPr>
  </w:style>
  <w:style w:type="character" w:styleId="Voetnootmarkering">
    <w:name w:val="footnote reference"/>
    <w:rsid w:val="000C2622"/>
    <w:rPr>
      <w:rFonts w:cs="Times New Roman"/>
      <w:vertAlign w:val="superscript"/>
    </w:rPr>
  </w:style>
  <w:style w:type="paragraph" w:styleId="Plattetekst2">
    <w:name w:val="Body Text 2"/>
    <w:basedOn w:val="Standaard"/>
    <w:link w:val="Plattetekst2Char"/>
    <w:rsid w:val="000C2622"/>
    <w:rPr>
      <w:rFonts w:ascii="CG Times (E1)" w:hAnsi="CG Times (E1)"/>
      <w:sz w:val="22"/>
      <w:szCs w:val="20"/>
      <w:lang w:eastAsia="en-US"/>
    </w:rPr>
  </w:style>
  <w:style w:type="character" w:customStyle="1" w:styleId="Plattetekst2Char">
    <w:name w:val="Platte tekst 2 Char"/>
    <w:basedOn w:val="Standaardalinea-lettertype"/>
    <w:link w:val="Plattetekst2"/>
    <w:rsid w:val="000C2622"/>
    <w:rPr>
      <w:rFonts w:ascii="CG Times (E1)" w:hAnsi="CG Times (E1)"/>
      <w:sz w:val="22"/>
      <w:lang w:eastAsia="en-US"/>
    </w:rPr>
  </w:style>
  <w:style w:type="table" w:styleId="Tabelraster">
    <w:name w:val="Table Grid"/>
    <w:basedOn w:val="Standaardtabel"/>
    <w:rsid w:val="000C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2622"/>
    <w:pPr>
      <w:ind w:left="720"/>
      <w:contextualSpacing/>
    </w:pPr>
  </w:style>
  <w:style w:type="paragraph" w:styleId="Koptekst">
    <w:name w:val="header"/>
    <w:basedOn w:val="Standaard"/>
    <w:link w:val="KoptekstChar"/>
    <w:rsid w:val="000C2622"/>
    <w:pPr>
      <w:tabs>
        <w:tab w:val="center" w:pos="4513"/>
        <w:tab w:val="right" w:pos="9026"/>
      </w:tabs>
    </w:pPr>
  </w:style>
  <w:style w:type="character" w:customStyle="1" w:styleId="KoptekstChar">
    <w:name w:val="Koptekst Char"/>
    <w:basedOn w:val="Standaardalinea-lettertype"/>
    <w:link w:val="Koptekst"/>
    <w:rsid w:val="000C2622"/>
    <w:rPr>
      <w:sz w:val="24"/>
      <w:szCs w:val="24"/>
      <w:lang w:eastAsia="zh-CN"/>
    </w:rPr>
  </w:style>
  <w:style w:type="paragraph" w:styleId="Voettekst">
    <w:name w:val="footer"/>
    <w:basedOn w:val="Standaard"/>
    <w:link w:val="VoettekstChar"/>
    <w:uiPriority w:val="99"/>
    <w:rsid w:val="000C2622"/>
    <w:pPr>
      <w:tabs>
        <w:tab w:val="center" w:pos="4513"/>
        <w:tab w:val="right" w:pos="9026"/>
      </w:tabs>
    </w:pPr>
  </w:style>
  <w:style w:type="character" w:customStyle="1" w:styleId="VoettekstChar">
    <w:name w:val="Voettekst Char"/>
    <w:basedOn w:val="Standaardalinea-lettertype"/>
    <w:link w:val="Voettekst"/>
    <w:uiPriority w:val="99"/>
    <w:rsid w:val="000C2622"/>
    <w:rPr>
      <w:sz w:val="24"/>
      <w:szCs w:val="24"/>
      <w:lang w:eastAsia="zh-CN"/>
    </w:rPr>
  </w:style>
  <w:style w:type="paragraph" w:styleId="Ballontekst">
    <w:name w:val="Balloon Text"/>
    <w:basedOn w:val="Standaard"/>
    <w:link w:val="BallontekstChar"/>
    <w:rsid w:val="000C2622"/>
    <w:rPr>
      <w:rFonts w:ascii="Tahoma" w:hAnsi="Tahoma" w:cs="Tahoma"/>
      <w:sz w:val="16"/>
      <w:szCs w:val="16"/>
    </w:rPr>
  </w:style>
  <w:style w:type="character" w:customStyle="1" w:styleId="BallontekstChar">
    <w:name w:val="Ballontekst Char"/>
    <w:basedOn w:val="Standaardalinea-lettertype"/>
    <w:link w:val="Ballontekst"/>
    <w:rsid w:val="000C2622"/>
    <w:rPr>
      <w:rFonts w:ascii="Tahoma" w:hAnsi="Tahoma" w:cs="Tahoma"/>
      <w:sz w:val="16"/>
      <w:szCs w:val="16"/>
      <w:lang w:eastAsia="zh-CN"/>
    </w:rPr>
  </w:style>
  <w:style w:type="paragraph" w:customStyle="1" w:styleId="Default">
    <w:name w:val="Default"/>
    <w:rsid w:val="000C2622"/>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0C2622"/>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0C2622"/>
    <w:rPr>
      <w:sz w:val="16"/>
      <w:szCs w:val="16"/>
    </w:rPr>
  </w:style>
  <w:style w:type="paragraph" w:styleId="Tekstopmerking">
    <w:name w:val="annotation text"/>
    <w:basedOn w:val="Standaard"/>
    <w:link w:val="TekstopmerkingChar"/>
    <w:rsid w:val="000C2622"/>
    <w:rPr>
      <w:sz w:val="20"/>
      <w:szCs w:val="20"/>
    </w:rPr>
  </w:style>
  <w:style w:type="character" w:customStyle="1" w:styleId="TekstopmerkingChar">
    <w:name w:val="Tekst opmerking Char"/>
    <w:basedOn w:val="Standaardalinea-lettertype"/>
    <w:link w:val="Tekstopmerking"/>
    <w:rsid w:val="000C2622"/>
    <w:rPr>
      <w:lang w:eastAsia="zh-CN"/>
    </w:rPr>
  </w:style>
  <w:style w:type="paragraph" w:styleId="Onderwerpvanopmerking">
    <w:name w:val="annotation subject"/>
    <w:basedOn w:val="Tekstopmerking"/>
    <w:next w:val="Tekstopmerking"/>
    <w:link w:val="OnderwerpvanopmerkingChar"/>
    <w:rsid w:val="000C2622"/>
    <w:rPr>
      <w:b/>
      <w:bCs/>
    </w:rPr>
  </w:style>
  <w:style w:type="character" w:customStyle="1" w:styleId="OnderwerpvanopmerkingChar">
    <w:name w:val="Onderwerp van opmerking Char"/>
    <w:basedOn w:val="TekstopmerkingChar"/>
    <w:link w:val="Onderwerpvanopmerking"/>
    <w:rsid w:val="000C2622"/>
    <w:rPr>
      <w:b/>
      <w:bCs/>
      <w:lang w:eastAsia="zh-CN"/>
    </w:rPr>
  </w:style>
  <w:style w:type="table" w:styleId="Klassieketabel1">
    <w:name w:val="Table Classic 1"/>
    <w:basedOn w:val="Standaardtabel"/>
    <w:rsid w:val="000C26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Standaardalinea-lettertype"/>
    <w:uiPriority w:val="99"/>
    <w:rsid w:val="000C2622"/>
    <w:rPr>
      <w:color w:val="0000FF" w:themeColor="hyperlink"/>
      <w:u w:val="single"/>
    </w:rPr>
  </w:style>
  <w:style w:type="character" w:styleId="GevolgdeHyperlink">
    <w:name w:val="FollowedHyperlink"/>
    <w:basedOn w:val="Standaardalinea-lettertype"/>
    <w:uiPriority w:val="99"/>
    <w:rsid w:val="000C2622"/>
    <w:rPr>
      <w:color w:val="800080" w:themeColor="followedHyperlink"/>
      <w:u w:val="single"/>
    </w:rPr>
  </w:style>
  <w:style w:type="paragraph" w:styleId="Geenafstand">
    <w:name w:val="No Spacing"/>
    <w:uiPriority w:val="1"/>
    <w:qFormat/>
    <w:rsid w:val="000C2622"/>
    <w:rPr>
      <w:rFonts w:ascii="Verdana" w:eastAsiaTheme="minorHAnsi" w:hAnsi="Verdana" w:cstheme="minorBidi"/>
      <w:sz w:val="18"/>
      <w:szCs w:val="22"/>
      <w:lang w:eastAsia="en-US"/>
    </w:rPr>
  </w:style>
  <w:style w:type="paragraph" w:styleId="Revisie">
    <w:name w:val="Revision"/>
    <w:hidden/>
    <w:uiPriority w:val="99"/>
    <w:semiHidden/>
    <w:rsid w:val="000C2622"/>
    <w:rPr>
      <w:sz w:val="24"/>
      <w:szCs w:val="24"/>
      <w:lang w:eastAsia="zh-CN"/>
    </w:rPr>
  </w:style>
  <w:style w:type="character" w:styleId="Zwaar">
    <w:name w:val="Strong"/>
    <w:basedOn w:val="Standaardalinea-lettertype"/>
    <w:uiPriority w:val="22"/>
    <w:qFormat/>
    <w:rsid w:val="000C2622"/>
    <w:rPr>
      <w:b/>
      <w:bCs/>
    </w:rPr>
  </w:style>
  <w:style w:type="character" w:styleId="Nadruk">
    <w:name w:val="Emphasis"/>
    <w:basedOn w:val="Standaardalinea-lettertype"/>
    <w:uiPriority w:val="20"/>
    <w:qFormat/>
    <w:rsid w:val="000C2622"/>
    <w:rPr>
      <w:b/>
      <w:bCs/>
      <w:i w:val="0"/>
      <w:iCs w:val="0"/>
    </w:rPr>
  </w:style>
  <w:style w:type="character" w:customStyle="1" w:styleId="st1">
    <w:name w:val="st1"/>
    <w:basedOn w:val="Standaardalinea-lettertype"/>
    <w:rsid w:val="000C2622"/>
  </w:style>
  <w:style w:type="paragraph" w:customStyle="1" w:styleId="msonormal0">
    <w:name w:val="msonormal"/>
    <w:basedOn w:val="Standaard"/>
    <w:rsid w:val="000C2622"/>
    <w:pPr>
      <w:spacing w:before="100" w:beforeAutospacing="1" w:after="100" w:afterAutospacing="1"/>
    </w:pPr>
    <w:rPr>
      <w:lang w:eastAsia="nl-NL"/>
    </w:rPr>
  </w:style>
  <w:style w:type="paragraph" w:customStyle="1" w:styleId="xl76">
    <w:name w:val="xl76"/>
    <w:basedOn w:val="Standaard"/>
    <w:rsid w:val="000C2622"/>
    <w:pPr>
      <w:spacing w:before="100" w:beforeAutospacing="1" w:after="100" w:afterAutospacing="1"/>
    </w:pPr>
    <w:rPr>
      <w:rFonts w:ascii="Verdana" w:hAnsi="Verdana"/>
      <w:sz w:val="16"/>
      <w:szCs w:val="16"/>
      <w:lang w:eastAsia="nl-NL"/>
    </w:rPr>
  </w:style>
  <w:style w:type="paragraph" w:customStyle="1" w:styleId="xl77">
    <w:name w:val="xl77"/>
    <w:basedOn w:val="Standaard"/>
    <w:rsid w:val="000C2622"/>
    <w:pPr>
      <w:spacing w:before="100" w:beforeAutospacing="1" w:after="100" w:afterAutospacing="1"/>
    </w:pPr>
    <w:rPr>
      <w:rFonts w:ascii="Verdana" w:hAnsi="Verdana"/>
      <w:b/>
      <w:bCs/>
      <w:sz w:val="16"/>
      <w:szCs w:val="16"/>
      <w:lang w:eastAsia="nl-NL"/>
    </w:rPr>
  </w:style>
  <w:style w:type="paragraph" w:customStyle="1" w:styleId="xl78">
    <w:name w:val="xl78"/>
    <w:basedOn w:val="Standaard"/>
    <w:rsid w:val="000C2622"/>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79">
    <w:name w:val="xl79"/>
    <w:basedOn w:val="Standaard"/>
    <w:rsid w:val="000C2622"/>
    <w:pPr>
      <w:spacing w:before="100" w:beforeAutospacing="1" w:after="100" w:afterAutospacing="1"/>
    </w:pPr>
    <w:rPr>
      <w:rFonts w:ascii="Verdana" w:hAnsi="Verdana"/>
      <w:sz w:val="16"/>
      <w:szCs w:val="16"/>
      <w:lang w:eastAsia="nl-NL"/>
    </w:rPr>
  </w:style>
  <w:style w:type="paragraph" w:customStyle="1" w:styleId="xl80">
    <w:name w:val="xl80"/>
    <w:basedOn w:val="Standaard"/>
    <w:rsid w:val="000C2622"/>
    <w:pPr>
      <w:pBdr>
        <w:left w:val="single" w:sz="4" w:space="0" w:color="auto"/>
        <w:bottom w:val="single" w:sz="4" w:space="0" w:color="auto"/>
      </w:pBdr>
      <w:spacing w:before="100" w:beforeAutospacing="1" w:after="100" w:afterAutospacing="1"/>
    </w:pPr>
    <w:rPr>
      <w:rFonts w:ascii="Verdana" w:hAnsi="Verdana"/>
      <w:sz w:val="16"/>
      <w:szCs w:val="16"/>
      <w:lang w:eastAsia="nl-NL"/>
    </w:rPr>
  </w:style>
  <w:style w:type="paragraph" w:customStyle="1" w:styleId="xl81">
    <w:name w:val="xl81"/>
    <w:basedOn w:val="Standaard"/>
    <w:rsid w:val="000C2622"/>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82">
    <w:name w:val="xl82"/>
    <w:basedOn w:val="Standaard"/>
    <w:rsid w:val="000C2622"/>
    <w:pPr>
      <w:pBdr>
        <w:top w:val="single" w:sz="4" w:space="0" w:color="auto"/>
      </w:pBdr>
      <w:spacing w:before="100" w:beforeAutospacing="1" w:after="100" w:afterAutospacing="1"/>
    </w:pPr>
    <w:rPr>
      <w:rFonts w:ascii="Verdana" w:hAnsi="Verdana"/>
      <w:b/>
      <w:bCs/>
      <w:sz w:val="16"/>
      <w:szCs w:val="16"/>
      <w:lang w:eastAsia="nl-NL"/>
    </w:rPr>
  </w:style>
  <w:style w:type="paragraph" w:customStyle="1" w:styleId="xl83">
    <w:name w:val="xl83"/>
    <w:basedOn w:val="Standaard"/>
    <w:rsid w:val="000C2622"/>
    <w:pPr>
      <w:pBdr>
        <w:bottom w:val="single" w:sz="4" w:space="0" w:color="auto"/>
      </w:pBdr>
      <w:spacing w:before="100" w:beforeAutospacing="1" w:after="100" w:afterAutospacing="1"/>
    </w:pPr>
    <w:rPr>
      <w:rFonts w:ascii="Verdana" w:hAnsi="Verdana"/>
      <w:sz w:val="16"/>
      <w:szCs w:val="16"/>
      <w:lang w:eastAsia="nl-NL"/>
    </w:rPr>
  </w:style>
  <w:style w:type="paragraph" w:customStyle="1" w:styleId="xl84">
    <w:name w:val="xl84"/>
    <w:basedOn w:val="Standaard"/>
    <w:rsid w:val="000C2622"/>
    <w:pPr>
      <w:pBdr>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5">
    <w:name w:val="xl85"/>
    <w:basedOn w:val="Standaard"/>
    <w:rsid w:val="000C2622"/>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6">
    <w:name w:val="xl86"/>
    <w:basedOn w:val="Standaard"/>
    <w:rsid w:val="000C2622"/>
    <w:pPr>
      <w:pBdr>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7">
    <w:name w:val="xl87"/>
    <w:basedOn w:val="Standaard"/>
    <w:rsid w:val="000C262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8">
    <w:name w:val="xl88"/>
    <w:basedOn w:val="Standaard"/>
    <w:rsid w:val="000C2622"/>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9">
    <w:name w:val="xl89"/>
    <w:basedOn w:val="Standaard"/>
    <w:rsid w:val="000C262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0">
    <w:name w:val="xl90"/>
    <w:basedOn w:val="Standaard"/>
    <w:rsid w:val="000C262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1">
    <w:name w:val="xl91"/>
    <w:basedOn w:val="Standaard"/>
    <w:rsid w:val="000C2622"/>
    <w:pPr>
      <w:pBdr>
        <w:top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2">
    <w:name w:val="xl92"/>
    <w:basedOn w:val="Standaard"/>
    <w:rsid w:val="000C2622"/>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3">
    <w:name w:val="xl93"/>
    <w:basedOn w:val="Standaard"/>
    <w:rsid w:val="000C2622"/>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4">
    <w:name w:val="xl9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95">
    <w:name w:val="xl95"/>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96">
    <w:name w:val="xl9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97">
    <w:name w:val="xl97"/>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98">
    <w:name w:val="xl98"/>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99">
    <w:name w:val="xl99"/>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0">
    <w:name w:val="xl100"/>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01">
    <w:name w:val="xl101"/>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02">
    <w:name w:val="xl102"/>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03">
    <w:name w:val="xl103"/>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3366FF"/>
      <w:sz w:val="16"/>
      <w:szCs w:val="16"/>
      <w:lang w:eastAsia="nl-NL"/>
    </w:rPr>
  </w:style>
  <w:style w:type="paragraph" w:customStyle="1" w:styleId="xl104">
    <w:name w:val="xl10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105">
    <w:name w:val="xl105"/>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106">
    <w:name w:val="xl10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7">
    <w:name w:val="xl107"/>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08">
    <w:name w:val="xl108"/>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9">
    <w:name w:val="xl109"/>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10">
    <w:name w:val="xl110"/>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11">
    <w:name w:val="xl111"/>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12">
    <w:name w:val="xl112"/>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3">
    <w:name w:val="xl113"/>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4">
    <w:name w:val="xl11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5">
    <w:name w:val="xl115"/>
    <w:basedOn w:val="Standaard"/>
    <w:rsid w:val="000C2622"/>
    <w:pPr>
      <w:spacing w:before="100" w:beforeAutospacing="1" w:after="100" w:afterAutospacing="1"/>
      <w:textAlignment w:val="top"/>
    </w:pPr>
    <w:rPr>
      <w:rFonts w:ascii="Verdana" w:hAnsi="Verdana"/>
      <w:sz w:val="16"/>
      <w:szCs w:val="16"/>
      <w:lang w:eastAsia="nl-NL"/>
    </w:rPr>
  </w:style>
  <w:style w:type="paragraph" w:customStyle="1" w:styleId="xl116">
    <w:name w:val="xl11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u w:val="single"/>
      <w:lang w:eastAsia="nl-NL"/>
    </w:rPr>
  </w:style>
  <w:style w:type="paragraph" w:customStyle="1" w:styleId="xl117">
    <w:name w:val="xl117"/>
    <w:basedOn w:val="Standaard"/>
    <w:rsid w:val="000C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sz w:val="16"/>
      <w:szCs w:val="16"/>
      <w:lang w:eastAsia="nl-NL"/>
    </w:rPr>
  </w:style>
  <w:style w:type="paragraph" w:customStyle="1" w:styleId="xl118">
    <w:name w:val="xl118"/>
    <w:basedOn w:val="Standaard"/>
    <w:rsid w:val="000C2622"/>
    <w:pPr>
      <w:pBdr>
        <w:top w:val="single" w:sz="4" w:space="0" w:color="auto"/>
        <w:left w:val="single" w:sz="4" w:space="0" w:color="auto"/>
      </w:pBdr>
      <w:spacing w:before="100" w:beforeAutospacing="1" w:after="100" w:afterAutospacing="1"/>
    </w:pPr>
    <w:rPr>
      <w:rFonts w:ascii="Verdana" w:hAnsi="Verdana"/>
      <w:b/>
      <w:bCs/>
      <w:sz w:val="16"/>
      <w:szCs w:val="16"/>
      <w:lang w:eastAsia="nl-NL"/>
    </w:rPr>
  </w:style>
  <w:style w:type="paragraph" w:customStyle="1" w:styleId="xl119">
    <w:name w:val="xl119"/>
    <w:basedOn w:val="Standaard"/>
    <w:rsid w:val="000C2622"/>
    <w:pPr>
      <w:pBdr>
        <w:top w:val="single" w:sz="4" w:space="0" w:color="auto"/>
      </w:pBdr>
      <w:spacing w:before="100" w:beforeAutospacing="1" w:after="100" w:afterAutospacing="1"/>
    </w:pPr>
    <w:rPr>
      <w:rFonts w:ascii="Verdana" w:hAnsi="Verdana"/>
      <w:b/>
      <w:bCs/>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2622"/>
    <w:rPr>
      <w:sz w:val="24"/>
      <w:szCs w:val="24"/>
      <w:lang w:eastAsia="zh-CN"/>
    </w:rPr>
  </w:style>
  <w:style w:type="paragraph" w:styleId="Kop2">
    <w:name w:val="heading 2"/>
    <w:basedOn w:val="Standaard"/>
    <w:next w:val="Standaard"/>
    <w:link w:val="Kop2Char"/>
    <w:qFormat/>
    <w:rsid w:val="000C26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0C2622"/>
    <w:rPr>
      <w:rFonts w:ascii="Arial" w:hAnsi="Arial" w:cs="Arial"/>
      <w:b/>
      <w:bCs/>
      <w:i/>
      <w:iCs/>
      <w:sz w:val="28"/>
      <w:szCs w:val="28"/>
      <w:lang w:eastAsia="zh-CN"/>
    </w:rPr>
  </w:style>
  <w:style w:type="paragraph" w:customStyle="1" w:styleId="Huisstijl-NAW">
    <w:name w:val="Huisstijl-NAW"/>
    <w:basedOn w:val="Standaard"/>
    <w:rsid w:val="000C2622"/>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VoetnoottekstChar"/>
    <w:rsid w:val="000C2622"/>
    <w:rPr>
      <w:sz w:val="20"/>
      <w:szCs w:val="20"/>
    </w:rPr>
  </w:style>
  <w:style w:type="character" w:customStyle="1" w:styleId="VoetnoottekstChar">
    <w:name w:val="Voetnoottekst Char"/>
    <w:basedOn w:val="Standaardalinea-lettertype"/>
    <w:link w:val="Voetnoottekst"/>
    <w:rsid w:val="000C2622"/>
    <w:rPr>
      <w:lang w:eastAsia="zh-CN"/>
    </w:rPr>
  </w:style>
  <w:style w:type="character" w:styleId="Voetnootmarkering">
    <w:name w:val="footnote reference"/>
    <w:rsid w:val="000C2622"/>
    <w:rPr>
      <w:rFonts w:cs="Times New Roman"/>
      <w:vertAlign w:val="superscript"/>
    </w:rPr>
  </w:style>
  <w:style w:type="paragraph" w:styleId="Plattetekst2">
    <w:name w:val="Body Text 2"/>
    <w:basedOn w:val="Standaard"/>
    <w:link w:val="Plattetekst2Char"/>
    <w:rsid w:val="000C2622"/>
    <w:rPr>
      <w:rFonts w:ascii="CG Times (E1)" w:hAnsi="CG Times (E1)"/>
      <w:sz w:val="22"/>
      <w:szCs w:val="20"/>
      <w:lang w:eastAsia="en-US"/>
    </w:rPr>
  </w:style>
  <w:style w:type="character" w:customStyle="1" w:styleId="Plattetekst2Char">
    <w:name w:val="Platte tekst 2 Char"/>
    <w:basedOn w:val="Standaardalinea-lettertype"/>
    <w:link w:val="Plattetekst2"/>
    <w:rsid w:val="000C2622"/>
    <w:rPr>
      <w:rFonts w:ascii="CG Times (E1)" w:hAnsi="CG Times (E1)"/>
      <w:sz w:val="22"/>
      <w:lang w:eastAsia="en-US"/>
    </w:rPr>
  </w:style>
  <w:style w:type="table" w:styleId="Tabelraster">
    <w:name w:val="Table Grid"/>
    <w:basedOn w:val="Standaardtabel"/>
    <w:rsid w:val="000C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2622"/>
    <w:pPr>
      <w:ind w:left="720"/>
      <w:contextualSpacing/>
    </w:pPr>
  </w:style>
  <w:style w:type="paragraph" w:styleId="Koptekst">
    <w:name w:val="header"/>
    <w:basedOn w:val="Standaard"/>
    <w:link w:val="KoptekstChar"/>
    <w:rsid w:val="000C2622"/>
    <w:pPr>
      <w:tabs>
        <w:tab w:val="center" w:pos="4513"/>
        <w:tab w:val="right" w:pos="9026"/>
      </w:tabs>
    </w:pPr>
  </w:style>
  <w:style w:type="character" w:customStyle="1" w:styleId="KoptekstChar">
    <w:name w:val="Koptekst Char"/>
    <w:basedOn w:val="Standaardalinea-lettertype"/>
    <w:link w:val="Koptekst"/>
    <w:rsid w:val="000C2622"/>
    <w:rPr>
      <w:sz w:val="24"/>
      <w:szCs w:val="24"/>
      <w:lang w:eastAsia="zh-CN"/>
    </w:rPr>
  </w:style>
  <w:style w:type="paragraph" w:styleId="Voettekst">
    <w:name w:val="footer"/>
    <w:basedOn w:val="Standaard"/>
    <w:link w:val="VoettekstChar"/>
    <w:uiPriority w:val="99"/>
    <w:rsid w:val="000C2622"/>
    <w:pPr>
      <w:tabs>
        <w:tab w:val="center" w:pos="4513"/>
        <w:tab w:val="right" w:pos="9026"/>
      </w:tabs>
    </w:pPr>
  </w:style>
  <w:style w:type="character" w:customStyle="1" w:styleId="VoettekstChar">
    <w:name w:val="Voettekst Char"/>
    <w:basedOn w:val="Standaardalinea-lettertype"/>
    <w:link w:val="Voettekst"/>
    <w:uiPriority w:val="99"/>
    <w:rsid w:val="000C2622"/>
    <w:rPr>
      <w:sz w:val="24"/>
      <w:szCs w:val="24"/>
      <w:lang w:eastAsia="zh-CN"/>
    </w:rPr>
  </w:style>
  <w:style w:type="paragraph" w:styleId="Ballontekst">
    <w:name w:val="Balloon Text"/>
    <w:basedOn w:val="Standaard"/>
    <w:link w:val="BallontekstChar"/>
    <w:rsid w:val="000C2622"/>
    <w:rPr>
      <w:rFonts w:ascii="Tahoma" w:hAnsi="Tahoma" w:cs="Tahoma"/>
      <w:sz w:val="16"/>
      <w:szCs w:val="16"/>
    </w:rPr>
  </w:style>
  <w:style w:type="character" w:customStyle="1" w:styleId="BallontekstChar">
    <w:name w:val="Ballontekst Char"/>
    <w:basedOn w:val="Standaardalinea-lettertype"/>
    <w:link w:val="Ballontekst"/>
    <w:rsid w:val="000C2622"/>
    <w:rPr>
      <w:rFonts w:ascii="Tahoma" w:hAnsi="Tahoma" w:cs="Tahoma"/>
      <w:sz w:val="16"/>
      <w:szCs w:val="16"/>
      <w:lang w:eastAsia="zh-CN"/>
    </w:rPr>
  </w:style>
  <w:style w:type="paragraph" w:customStyle="1" w:styleId="Default">
    <w:name w:val="Default"/>
    <w:rsid w:val="000C2622"/>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0C2622"/>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0C2622"/>
    <w:rPr>
      <w:sz w:val="16"/>
      <w:szCs w:val="16"/>
    </w:rPr>
  </w:style>
  <w:style w:type="paragraph" w:styleId="Tekstopmerking">
    <w:name w:val="annotation text"/>
    <w:basedOn w:val="Standaard"/>
    <w:link w:val="TekstopmerkingChar"/>
    <w:rsid w:val="000C2622"/>
    <w:rPr>
      <w:sz w:val="20"/>
      <w:szCs w:val="20"/>
    </w:rPr>
  </w:style>
  <w:style w:type="character" w:customStyle="1" w:styleId="TekstopmerkingChar">
    <w:name w:val="Tekst opmerking Char"/>
    <w:basedOn w:val="Standaardalinea-lettertype"/>
    <w:link w:val="Tekstopmerking"/>
    <w:rsid w:val="000C2622"/>
    <w:rPr>
      <w:lang w:eastAsia="zh-CN"/>
    </w:rPr>
  </w:style>
  <w:style w:type="paragraph" w:styleId="Onderwerpvanopmerking">
    <w:name w:val="annotation subject"/>
    <w:basedOn w:val="Tekstopmerking"/>
    <w:next w:val="Tekstopmerking"/>
    <w:link w:val="OnderwerpvanopmerkingChar"/>
    <w:rsid w:val="000C2622"/>
    <w:rPr>
      <w:b/>
      <w:bCs/>
    </w:rPr>
  </w:style>
  <w:style w:type="character" w:customStyle="1" w:styleId="OnderwerpvanopmerkingChar">
    <w:name w:val="Onderwerp van opmerking Char"/>
    <w:basedOn w:val="TekstopmerkingChar"/>
    <w:link w:val="Onderwerpvanopmerking"/>
    <w:rsid w:val="000C2622"/>
    <w:rPr>
      <w:b/>
      <w:bCs/>
      <w:lang w:eastAsia="zh-CN"/>
    </w:rPr>
  </w:style>
  <w:style w:type="table" w:styleId="Klassieketabel1">
    <w:name w:val="Table Classic 1"/>
    <w:basedOn w:val="Standaardtabel"/>
    <w:rsid w:val="000C26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Standaardalinea-lettertype"/>
    <w:uiPriority w:val="99"/>
    <w:rsid w:val="000C2622"/>
    <w:rPr>
      <w:color w:val="0000FF" w:themeColor="hyperlink"/>
      <w:u w:val="single"/>
    </w:rPr>
  </w:style>
  <w:style w:type="character" w:styleId="GevolgdeHyperlink">
    <w:name w:val="FollowedHyperlink"/>
    <w:basedOn w:val="Standaardalinea-lettertype"/>
    <w:uiPriority w:val="99"/>
    <w:rsid w:val="000C2622"/>
    <w:rPr>
      <w:color w:val="800080" w:themeColor="followedHyperlink"/>
      <w:u w:val="single"/>
    </w:rPr>
  </w:style>
  <w:style w:type="paragraph" w:styleId="Geenafstand">
    <w:name w:val="No Spacing"/>
    <w:uiPriority w:val="1"/>
    <w:qFormat/>
    <w:rsid w:val="000C2622"/>
    <w:rPr>
      <w:rFonts w:ascii="Verdana" w:eastAsiaTheme="minorHAnsi" w:hAnsi="Verdana" w:cstheme="minorBidi"/>
      <w:sz w:val="18"/>
      <w:szCs w:val="22"/>
      <w:lang w:eastAsia="en-US"/>
    </w:rPr>
  </w:style>
  <w:style w:type="paragraph" w:styleId="Revisie">
    <w:name w:val="Revision"/>
    <w:hidden/>
    <w:uiPriority w:val="99"/>
    <w:semiHidden/>
    <w:rsid w:val="000C2622"/>
    <w:rPr>
      <w:sz w:val="24"/>
      <w:szCs w:val="24"/>
      <w:lang w:eastAsia="zh-CN"/>
    </w:rPr>
  </w:style>
  <w:style w:type="character" w:styleId="Zwaar">
    <w:name w:val="Strong"/>
    <w:basedOn w:val="Standaardalinea-lettertype"/>
    <w:uiPriority w:val="22"/>
    <w:qFormat/>
    <w:rsid w:val="000C2622"/>
    <w:rPr>
      <w:b/>
      <w:bCs/>
    </w:rPr>
  </w:style>
  <w:style w:type="character" w:styleId="Nadruk">
    <w:name w:val="Emphasis"/>
    <w:basedOn w:val="Standaardalinea-lettertype"/>
    <w:uiPriority w:val="20"/>
    <w:qFormat/>
    <w:rsid w:val="000C2622"/>
    <w:rPr>
      <w:b/>
      <w:bCs/>
      <w:i w:val="0"/>
      <w:iCs w:val="0"/>
    </w:rPr>
  </w:style>
  <w:style w:type="character" w:customStyle="1" w:styleId="st1">
    <w:name w:val="st1"/>
    <w:basedOn w:val="Standaardalinea-lettertype"/>
    <w:rsid w:val="000C2622"/>
  </w:style>
  <w:style w:type="paragraph" w:customStyle="1" w:styleId="msonormal0">
    <w:name w:val="msonormal"/>
    <w:basedOn w:val="Standaard"/>
    <w:rsid w:val="000C2622"/>
    <w:pPr>
      <w:spacing w:before="100" w:beforeAutospacing="1" w:after="100" w:afterAutospacing="1"/>
    </w:pPr>
    <w:rPr>
      <w:lang w:eastAsia="nl-NL"/>
    </w:rPr>
  </w:style>
  <w:style w:type="paragraph" w:customStyle="1" w:styleId="xl76">
    <w:name w:val="xl76"/>
    <w:basedOn w:val="Standaard"/>
    <w:rsid w:val="000C2622"/>
    <w:pPr>
      <w:spacing w:before="100" w:beforeAutospacing="1" w:after="100" w:afterAutospacing="1"/>
    </w:pPr>
    <w:rPr>
      <w:rFonts w:ascii="Verdana" w:hAnsi="Verdana"/>
      <w:sz w:val="16"/>
      <w:szCs w:val="16"/>
      <w:lang w:eastAsia="nl-NL"/>
    </w:rPr>
  </w:style>
  <w:style w:type="paragraph" w:customStyle="1" w:styleId="xl77">
    <w:name w:val="xl77"/>
    <w:basedOn w:val="Standaard"/>
    <w:rsid w:val="000C2622"/>
    <w:pPr>
      <w:spacing w:before="100" w:beforeAutospacing="1" w:after="100" w:afterAutospacing="1"/>
    </w:pPr>
    <w:rPr>
      <w:rFonts w:ascii="Verdana" w:hAnsi="Verdana"/>
      <w:b/>
      <w:bCs/>
      <w:sz w:val="16"/>
      <w:szCs w:val="16"/>
      <w:lang w:eastAsia="nl-NL"/>
    </w:rPr>
  </w:style>
  <w:style w:type="paragraph" w:customStyle="1" w:styleId="xl78">
    <w:name w:val="xl78"/>
    <w:basedOn w:val="Standaard"/>
    <w:rsid w:val="000C2622"/>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79">
    <w:name w:val="xl79"/>
    <w:basedOn w:val="Standaard"/>
    <w:rsid w:val="000C2622"/>
    <w:pPr>
      <w:spacing w:before="100" w:beforeAutospacing="1" w:after="100" w:afterAutospacing="1"/>
    </w:pPr>
    <w:rPr>
      <w:rFonts w:ascii="Verdana" w:hAnsi="Verdana"/>
      <w:sz w:val="16"/>
      <w:szCs w:val="16"/>
      <w:lang w:eastAsia="nl-NL"/>
    </w:rPr>
  </w:style>
  <w:style w:type="paragraph" w:customStyle="1" w:styleId="xl80">
    <w:name w:val="xl80"/>
    <w:basedOn w:val="Standaard"/>
    <w:rsid w:val="000C2622"/>
    <w:pPr>
      <w:pBdr>
        <w:left w:val="single" w:sz="4" w:space="0" w:color="auto"/>
        <w:bottom w:val="single" w:sz="4" w:space="0" w:color="auto"/>
      </w:pBdr>
      <w:spacing w:before="100" w:beforeAutospacing="1" w:after="100" w:afterAutospacing="1"/>
    </w:pPr>
    <w:rPr>
      <w:rFonts w:ascii="Verdana" w:hAnsi="Verdana"/>
      <w:sz w:val="16"/>
      <w:szCs w:val="16"/>
      <w:lang w:eastAsia="nl-NL"/>
    </w:rPr>
  </w:style>
  <w:style w:type="paragraph" w:customStyle="1" w:styleId="xl81">
    <w:name w:val="xl81"/>
    <w:basedOn w:val="Standaard"/>
    <w:rsid w:val="000C2622"/>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82">
    <w:name w:val="xl82"/>
    <w:basedOn w:val="Standaard"/>
    <w:rsid w:val="000C2622"/>
    <w:pPr>
      <w:pBdr>
        <w:top w:val="single" w:sz="4" w:space="0" w:color="auto"/>
      </w:pBdr>
      <w:spacing w:before="100" w:beforeAutospacing="1" w:after="100" w:afterAutospacing="1"/>
    </w:pPr>
    <w:rPr>
      <w:rFonts w:ascii="Verdana" w:hAnsi="Verdana"/>
      <w:b/>
      <w:bCs/>
      <w:sz w:val="16"/>
      <w:szCs w:val="16"/>
      <w:lang w:eastAsia="nl-NL"/>
    </w:rPr>
  </w:style>
  <w:style w:type="paragraph" w:customStyle="1" w:styleId="xl83">
    <w:name w:val="xl83"/>
    <w:basedOn w:val="Standaard"/>
    <w:rsid w:val="000C2622"/>
    <w:pPr>
      <w:pBdr>
        <w:bottom w:val="single" w:sz="4" w:space="0" w:color="auto"/>
      </w:pBdr>
      <w:spacing w:before="100" w:beforeAutospacing="1" w:after="100" w:afterAutospacing="1"/>
    </w:pPr>
    <w:rPr>
      <w:rFonts w:ascii="Verdana" w:hAnsi="Verdana"/>
      <w:sz w:val="16"/>
      <w:szCs w:val="16"/>
      <w:lang w:eastAsia="nl-NL"/>
    </w:rPr>
  </w:style>
  <w:style w:type="paragraph" w:customStyle="1" w:styleId="xl84">
    <w:name w:val="xl84"/>
    <w:basedOn w:val="Standaard"/>
    <w:rsid w:val="000C2622"/>
    <w:pPr>
      <w:pBdr>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5">
    <w:name w:val="xl85"/>
    <w:basedOn w:val="Standaard"/>
    <w:rsid w:val="000C2622"/>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6">
    <w:name w:val="xl86"/>
    <w:basedOn w:val="Standaard"/>
    <w:rsid w:val="000C2622"/>
    <w:pPr>
      <w:pBdr>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7">
    <w:name w:val="xl87"/>
    <w:basedOn w:val="Standaard"/>
    <w:rsid w:val="000C262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8">
    <w:name w:val="xl88"/>
    <w:basedOn w:val="Standaard"/>
    <w:rsid w:val="000C2622"/>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89">
    <w:name w:val="xl89"/>
    <w:basedOn w:val="Standaard"/>
    <w:rsid w:val="000C262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0">
    <w:name w:val="xl90"/>
    <w:basedOn w:val="Standaard"/>
    <w:rsid w:val="000C262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1">
    <w:name w:val="xl91"/>
    <w:basedOn w:val="Standaard"/>
    <w:rsid w:val="000C2622"/>
    <w:pPr>
      <w:pBdr>
        <w:top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2">
    <w:name w:val="xl92"/>
    <w:basedOn w:val="Standaard"/>
    <w:rsid w:val="000C2622"/>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3">
    <w:name w:val="xl93"/>
    <w:basedOn w:val="Standaard"/>
    <w:rsid w:val="000C2622"/>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4">
    <w:name w:val="xl9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95">
    <w:name w:val="xl95"/>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96">
    <w:name w:val="xl9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97">
    <w:name w:val="xl97"/>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98">
    <w:name w:val="xl98"/>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99">
    <w:name w:val="xl99"/>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0">
    <w:name w:val="xl100"/>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01">
    <w:name w:val="xl101"/>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02">
    <w:name w:val="xl102"/>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03">
    <w:name w:val="xl103"/>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3366FF"/>
      <w:sz w:val="16"/>
      <w:szCs w:val="16"/>
      <w:lang w:eastAsia="nl-NL"/>
    </w:rPr>
  </w:style>
  <w:style w:type="paragraph" w:customStyle="1" w:styleId="xl104">
    <w:name w:val="xl10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105">
    <w:name w:val="xl105"/>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106">
    <w:name w:val="xl10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7">
    <w:name w:val="xl107"/>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08">
    <w:name w:val="xl108"/>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09">
    <w:name w:val="xl109"/>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10">
    <w:name w:val="xl110"/>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11">
    <w:name w:val="xl111"/>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112">
    <w:name w:val="xl112"/>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3">
    <w:name w:val="xl113"/>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4">
    <w:name w:val="xl114"/>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5">
    <w:name w:val="xl115"/>
    <w:basedOn w:val="Standaard"/>
    <w:rsid w:val="000C2622"/>
    <w:pPr>
      <w:spacing w:before="100" w:beforeAutospacing="1" w:after="100" w:afterAutospacing="1"/>
      <w:textAlignment w:val="top"/>
    </w:pPr>
    <w:rPr>
      <w:rFonts w:ascii="Verdana" w:hAnsi="Verdana"/>
      <w:sz w:val="16"/>
      <w:szCs w:val="16"/>
      <w:lang w:eastAsia="nl-NL"/>
    </w:rPr>
  </w:style>
  <w:style w:type="paragraph" w:customStyle="1" w:styleId="xl116">
    <w:name w:val="xl116"/>
    <w:basedOn w:val="Standaard"/>
    <w:rsid w:val="000C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u w:val="single"/>
      <w:lang w:eastAsia="nl-NL"/>
    </w:rPr>
  </w:style>
  <w:style w:type="paragraph" w:customStyle="1" w:styleId="xl117">
    <w:name w:val="xl117"/>
    <w:basedOn w:val="Standaard"/>
    <w:rsid w:val="000C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sz w:val="16"/>
      <w:szCs w:val="16"/>
      <w:lang w:eastAsia="nl-NL"/>
    </w:rPr>
  </w:style>
  <w:style w:type="paragraph" w:customStyle="1" w:styleId="xl118">
    <w:name w:val="xl118"/>
    <w:basedOn w:val="Standaard"/>
    <w:rsid w:val="000C2622"/>
    <w:pPr>
      <w:pBdr>
        <w:top w:val="single" w:sz="4" w:space="0" w:color="auto"/>
        <w:left w:val="single" w:sz="4" w:space="0" w:color="auto"/>
      </w:pBdr>
      <w:spacing w:before="100" w:beforeAutospacing="1" w:after="100" w:afterAutospacing="1"/>
    </w:pPr>
    <w:rPr>
      <w:rFonts w:ascii="Verdana" w:hAnsi="Verdana"/>
      <w:b/>
      <w:bCs/>
      <w:sz w:val="16"/>
      <w:szCs w:val="16"/>
      <w:lang w:eastAsia="nl-NL"/>
    </w:rPr>
  </w:style>
  <w:style w:type="paragraph" w:customStyle="1" w:styleId="xl119">
    <w:name w:val="xl119"/>
    <w:basedOn w:val="Standaard"/>
    <w:rsid w:val="000C2622"/>
    <w:pPr>
      <w:pBdr>
        <w:top w:val="single" w:sz="4" w:space="0" w:color="auto"/>
      </w:pBdr>
      <w:spacing w:before="100" w:beforeAutospacing="1" w:after="100" w:afterAutospacing="1"/>
    </w:pPr>
    <w:rPr>
      <w:rFonts w:ascii="Verdana" w:hAnsi="Verdana"/>
      <w:b/>
      <w:bCs/>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16Z06637&amp;did=2016D13684"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zoek.officielebekendmakingen.nl/dossier/19637/kst-32605-182.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ijziging%20van%20de%20begrotingsstaat%20van%20het%20Ministerie%20van%20Buitenlandse%20Handel%20en%20Ontwikkelingssamenwerking%20(XVII)%20voor%20het%20jaar%202017%20(wijziging%20samenhangende%20met%20de%20Voorjaarsnota)%09%09%09%09%09%09%09%09%09%09%09%09https:/www.rbv.minfin.nl/2017/modellen/suppletoire-begroting/2-15-budgettaire-gevolgen-van-beleid"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A9007-2011-47E8-9D6B-23BC90E3FAAC}"/>
</file>

<file path=customXml/itemProps2.xml><?xml version="1.0" encoding="utf-8"?>
<ds:datastoreItem xmlns:ds="http://schemas.openxmlformats.org/officeDocument/2006/customXml" ds:itemID="{AAF94D6F-38F7-443A-A54A-41BF0402908D}"/>
</file>

<file path=customXml/itemProps3.xml><?xml version="1.0" encoding="utf-8"?>
<ds:datastoreItem xmlns:ds="http://schemas.openxmlformats.org/officeDocument/2006/customXml" ds:itemID="{C7DA7B37-52A8-407A-8133-F11D474B38B7}"/>
</file>

<file path=docProps/app.xml><?xml version="1.0" encoding="utf-8"?>
<Properties xmlns="http://schemas.openxmlformats.org/officeDocument/2006/extended-properties" xmlns:vt="http://schemas.openxmlformats.org/officeDocument/2006/docPropsVTypes">
  <Template>D7DE3431</Template>
  <TotalTime>0</TotalTime>
  <Pages>19</Pages>
  <Words>5761</Words>
  <Characters>31686</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2017-06-01T09:27:00Z</dcterms:created>
  <dcterms:modified xsi:type="dcterms:W3CDTF">2017-06-01T09:28:00Z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