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68" w:rsidRPr="00255A1E" w:rsidRDefault="00EB6C68" w:rsidP="00E329DF">
      <w:pPr>
        <w:rPr>
          <w:rFonts w:asciiTheme="majorHAnsi" w:hAnsiTheme="majorHAnsi"/>
          <w:sz w:val="24"/>
          <w:szCs w:val="24"/>
        </w:rPr>
      </w:pPr>
      <w:r w:rsidRPr="00255A1E">
        <w:rPr>
          <w:rFonts w:asciiTheme="majorHAnsi" w:hAnsiTheme="majorHAnsi"/>
          <w:b/>
          <w:bCs/>
          <w:sz w:val="24"/>
          <w:szCs w:val="24"/>
        </w:rPr>
        <w:t>Wijziging van de begrotingsstaat van het Ministerie van Financiën (IXB) en de begrotingsstaat van Nationale Schuld (IXA) voor het jaar 201</w:t>
      </w:r>
      <w:r>
        <w:rPr>
          <w:rFonts w:asciiTheme="majorHAnsi" w:hAnsiTheme="majorHAnsi"/>
          <w:b/>
          <w:bCs/>
          <w:sz w:val="24"/>
          <w:szCs w:val="24"/>
        </w:rPr>
        <w:t>6</w:t>
      </w:r>
      <w:r w:rsidRPr="00255A1E">
        <w:rPr>
          <w:rFonts w:asciiTheme="majorHAnsi" w:hAnsiTheme="majorHAnsi"/>
          <w:b/>
          <w:bCs/>
          <w:sz w:val="24"/>
          <w:szCs w:val="24"/>
        </w:rPr>
        <w:t xml:space="preserve"> (slotwet)</w:t>
      </w:r>
    </w:p>
    <w:p w:rsidR="00EB6C68" w:rsidRPr="00533896" w:rsidRDefault="00EB6C68" w:rsidP="00E329DF">
      <w:pPr>
        <w:spacing w:before="100" w:beforeAutospacing="1" w:after="100" w:afterAutospacing="1"/>
        <w:outlineLvl w:val="2"/>
        <w:rPr>
          <w:rFonts w:asciiTheme="majorHAnsi" w:eastAsia="Times New Roman" w:hAnsiTheme="majorHAnsi" w:cs="Times New Roman"/>
          <w:b/>
          <w:bCs/>
          <w:szCs w:val="18"/>
          <w:lang w:eastAsia="nl-NL"/>
        </w:rPr>
      </w:pPr>
      <w:r w:rsidRPr="00533896">
        <w:rPr>
          <w:rFonts w:asciiTheme="majorHAnsi" w:eastAsia="Times New Roman" w:hAnsiTheme="majorHAnsi" w:cs="Times New Roman"/>
          <w:b/>
          <w:bCs/>
          <w:szCs w:val="18"/>
          <w:lang w:eastAsia="nl-NL"/>
        </w:rPr>
        <w:t>VOORSTEL VAN W</w:t>
      </w:r>
      <w:bookmarkStart w:id="0" w:name="_GoBack"/>
      <w:bookmarkEnd w:id="0"/>
      <w:r w:rsidRPr="00533896">
        <w:rPr>
          <w:rFonts w:asciiTheme="majorHAnsi" w:eastAsia="Times New Roman" w:hAnsiTheme="majorHAnsi" w:cs="Times New Roman"/>
          <w:b/>
          <w:bCs/>
          <w:szCs w:val="18"/>
          <w:lang w:eastAsia="nl-NL"/>
        </w:rPr>
        <w:t>ET</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Wij Willem-Alexander, bij de gratie Gods, Koning der Nederlanden, Prins van Oranje-Nassau, enz. enz. enz.</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 xml:space="preserve">Allen, die deze zullen zien of horen lezen, saluut! doen te weten: Alzo Wij in overweging genomen hebben, dat de noodzaak is gebleken van een wijziging van de departementale begrotingsstaat van het Ministerie van Financiën (IXB), en van de begrotingsstaat van de Nationale Schuld </w:t>
      </w:r>
      <w:r>
        <w:rPr>
          <w:rFonts w:asciiTheme="majorHAnsi" w:eastAsia="Times New Roman" w:hAnsiTheme="majorHAnsi" w:cs="Times New Roman"/>
          <w:szCs w:val="18"/>
          <w:lang w:eastAsia="nl-NL"/>
        </w:rPr>
        <w:t>(IXA),  beide voor het jaar 2016</w:t>
      </w:r>
      <w:r w:rsidRPr="00533896">
        <w:rPr>
          <w:rFonts w:asciiTheme="majorHAnsi" w:eastAsia="Times New Roman" w:hAnsiTheme="majorHAnsi" w:cs="Times New Roman"/>
          <w:szCs w:val="18"/>
          <w:lang w:eastAsia="nl-NL"/>
        </w:rPr>
        <w:t xml:space="preserve">; </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 xml:space="preserve">Zo is het, dat Wij met gemeen overleg der Staten-Generaal, hebben goedgevonden en verstaan, gelijk Wij goedvinden en verstaan bij deze: </w:t>
      </w:r>
    </w:p>
    <w:p w:rsidR="00EB6C68" w:rsidRPr="00533896" w:rsidRDefault="00EB6C68" w:rsidP="00E329DF">
      <w:pPr>
        <w:spacing w:before="100" w:beforeAutospacing="1" w:after="100" w:afterAutospacing="1"/>
        <w:outlineLvl w:val="2"/>
        <w:rPr>
          <w:rFonts w:asciiTheme="majorHAnsi" w:eastAsia="Times New Roman" w:hAnsiTheme="majorHAnsi" w:cs="Times New Roman"/>
          <w:b/>
          <w:bCs/>
          <w:szCs w:val="18"/>
          <w:lang w:eastAsia="nl-NL"/>
        </w:rPr>
      </w:pPr>
      <w:r w:rsidRPr="00533896">
        <w:rPr>
          <w:rFonts w:asciiTheme="majorHAnsi" w:eastAsia="Times New Roman" w:hAnsiTheme="majorHAnsi" w:cs="Times New Roman"/>
          <w:b/>
          <w:bCs/>
          <w:szCs w:val="18"/>
          <w:lang w:eastAsia="nl-NL"/>
        </w:rPr>
        <w:t>Artikel 1</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De departementale begrotingsstaat van het Ministerie van Financiën (IXB) voor het jaar 201</w:t>
      </w:r>
      <w:r>
        <w:rPr>
          <w:rFonts w:asciiTheme="majorHAnsi" w:eastAsia="Times New Roman" w:hAnsiTheme="majorHAnsi" w:cs="Times New Roman"/>
          <w:szCs w:val="18"/>
          <w:lang w:eastAsia="nl-NL"/>
        </w:rPr>
        <w:t>6</w:t>
      </w:r>
      <w:r w:rsidRPr="00533896">
        <w:rPr>
          <w:rFonts w:asciiTheme="majorHAnsi" w:eastAsia="Times New Roman" w:hAnsiTheme="majorHAnsi" w:cs="Times New Roman"/>
          <w:szCs w:val="18"/>
          <w:lang w:eastAsia="nl-NL"/>
        </w:rPr>
        <w:t xml:space="preserve"> wordt gewijzigd, zoals blijkt uit de desbetreffende bij deze wet behorende staat. </w:t>
      </w:r>
    </w:p>
    <w:p w:rsidR="00EB6C68" w:rsidRPr="00533896" w:rsidRDefault="00EB6C68" w:rsidP="00E329DF">
      <w:pPr>
        <w:spacing w:before="100" w:beforeAutospacing="1" w:after="100" w:afterAutospacing="1"/>
        <w:outlineLvl w:val="2"/>
        <w:rPr>
          <w:rFonts w:asciiTheme="majorHAnsi" w:eastAsia="Times New Roman" w:hAnsiTheme="majorHAnsi" w:cs="Times New Roman"/>
          <w:b/>
          <w:bCs/>
          <w:szCs w:val="18"/>
          <w:lang w:eastAsia="nl-NL"/>
        </w:rPr>
      </w:pPr>
      <w:r w:rsidRPr="00533896">
        <w:rPr>
          <w:rFonts w:asciiTheme="majorHAnsi" w:eastAsia="Times New Roman" w:hAnsiTheme="majorHAnsi" w:cs="Times New Roman"/>
          <w:b/>
          <w:bCs/>
          <w:szCs w:val="18"/>
          <w:lang w:eastAsia="nl-NL"/>
        </w:rPr>
        <w:t xml:space="preserve">Artikel 2 </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De begrotingsstaat van Nationale Schuld (IXA) voor het jaar 201</w:t>
      </w:r>
      <w:r>
        <w:rPr>
          <w:rFonts w:asciiTheme="majorHAnsi" w:eastAsia="Times New Roman" w:hAnsiTheme="majorHAnsi" w:cs="Times New Roman"/>
          <w:szCs w:val="18"/>
          <w:lang w:eastAsia="nl-NL"/>
        </w:rPr>
        <w:t>6</w:t>
      </w:r>
      <w:r w:rsidRPr="00533896">
        <w:rPr>
          <w:rFonts w:asciiTheme="majorHAnsi" w:eastAsia="Times New Roman" w:hAnsiTheme="majorHAnsi" w:cs="Times New Roman"/>
          <w:szCs w:val="18"/>
          <w:lang w:eastAsia="nl-NL"/>
        </w:rPr>
        <w:t xml:space="preserve"> wordt gewijzigd, zoals blijkt uit de desbetreffende bij deze wet behorende staat. </w:t>
      </w:r>
    </w:p>
    <w:p w:rsidR="00EB6C68" w:rsidRPr="00533896" w:rsidRDefault="00EB6C68" w:rsidP="00E329DF">
      <w:pPr>
        <w:spacing w:before="100" w:beforeAutospacing="1" w:after="100" w:afterAutospacing="1"/>
        <w:outlineLvl w:val="2"/>
        <w:rPr>
          <w:rFonts w:asciiTheme="majorHAnsi" w:eastAsia="Times New Roman" w:hAnsiTheme="majorHAnsi" w:cs="Times New Roman"/>
          <w:b/>
          <w:bCs/>
          <w:szCs w:val="18"/>
          <w:lang w:eastAsia="nl-NL"/>
        </w:rPr>
      </w:pPr>
      <w:r w:rsidRPr="00533896">
        <w:rPr>
          <w:rFonts w:asciiTheme="majorHAnsi" w:eastAsia="Times New Roman" w:hAnsiTheme="majorHAnsi" w:cs="Times New Roman"/>
          <w:b/>
          <w:bCs/>
          <w:szCs w:val="18"/>
          <w:lang w:eastAsia="nl-NL"/>
        </w:rPr>
        <w:t>Artikel 3</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De vaststelling van de begrotingsstaten geschiedt in duizenden euro’s.</w:t>
      </w:r>
    </w:p>
    <w:p w:rsidR="00EB6C68" w:rsidRPr="00533896" w:rsidRDefault="00EB6C68" w:rsidP="00E329DF">
      <w:pPr>
        <w:spacing w:before="100" w:beforeAutospacing="1" w:after="100" w:afterAutospacing="1"/>
        <w:outlineLvl w:val="2"/>
        <w:rPr>
          <w:rFonts w:asciiTheme="majorHAnsi" w:eastAsia="Times New Roman" w:hAnsiTheme="majorHAnsi" w:cs="Times New Roman"/>
          <w:b/>
          <w:bCs/>
          <w:szCs w:val="18"/>
          <w:lang w:eastAsia="nl-NL"/>
        </w:rPr>
      </w:pPr>
      <w:r w:rsidRPr="00533896">
        <w:rPr>
          <w:rFonts w:asciiTheme="majorHAnsi" w:eastAsia="Times New Roman" w:hAnsiTheme="majorHAnsi" w:cs="Times New Roman"/>
          <w:b/>
          <w:bCs/>
          <w:szCs w:val="18"/>
          <w:lang w:eastAsia="nl-NL"/>
        </w:rPr>
        <w:t>Artikel 4</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 xml:space="preserve">Deze wet treedt in werking met ingang van de dag na de datum van uitgifte van het Staatsblad waarin zij wordt geplaatst en werkt terug tot en met 31 december van het onderhavige begrotingsjaar. </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 xml:space="preserve">Lasten en bevelen dat deze in het Staatsblad zal worden geplaatst en dat alle ministeries, autoriteiten, colleges en ambtenaren die zulks aangaat, aan de nauwkeurige uitvoering de hand zullen houden. </w:t>
      </w:r>
    </w:p>
    <w:p w:rsidR="00EB6C68" w:rsidRPr="00533896" w:rsidRDefault="00EB6C68" w:rsidP="00E329DF">
      <w:pPr>
        <w:spacing w:before="100" w:beforeAutospacing="1" w:after="100" w:afterAutospacing="1"/>
        <w:rPr>
          <w:rFonts w:asciiTheme="majorHAnsi" w:eastAsia="Times New Roman" w:hAnsiTheme="majorHAnsi" w:cs="Times New Roman"/>
          <w:szCs w:val="18"/>
          <w:lang w:eastAsia="nl-NL"/>
        </w:rPr>
      </w:pPr>
      <w:r w:rsidRPr="00533896">
        <w:rPr>
          <w:rFonts w:asciiTheme="majorHAnsi" w:eastAsia="Times New Roman" w:hAnsiTheme="majorHAnsi" w:cs="Times New Roman"/>
          <w:szCs w:val="18"/>
          <w:lang w:eastAsia="nl-NL"/>
        </w:rPr>
        <w:t>Gegeven</w:t>
      </w:r>
    </w:p>
    <w:p w:rsidR="00EB6C68" w:rsidRPr="00533896" w:rsidRDefault="00EB6C68" w:rsidP="00E329DF">
      <w:pPr>
        <w:spacing w:before="100" w:beforeAutospacing="1" w:after="100" w:afterAutospacing="1"/>
        <w:rPr>
          <w:rFonts w:asciiTheme="majorHAnsi" w:eastAsia="Times New Roman" w:hAnsiTheme="majorHAnsi" w:cs="Times New Roman"/>
          <w:sz w:val="24"/>
          <w:szCs w:val="24"/>
          <w:lang w:eastAsia="nl-NL"/>
        </w:rPr>
      </w:pPr>
      <w:r w:rsidRPr="00533896">
        <w:rPr>
          <w:rFonts w:asciiTheme="majorHAnsi" w:eastAsia="Times New Roman" w:hAnsiTheme="majorHAnsi" w:cs="Times New Roman"/>
          <w:szCs w:val="18"/>
          <w:lang w:eastAsia="nl-NL"/>
        </w:rPr>
        <w:t>De Minister van Financiën</w:t>
      </w:r>
      <w:r w:rsidRPr="00533896">
        <w:rPr>
          <w:rFonts w:asciiTheme="majorHAnsi" w:eastAsia="Times New Roman" w:hAnsiTheme="majorHAnsi" w:cs="Times New Roman"/>
          <w:sz w:val="24"/>
          <w:szCs w:val="24"/>
          <w:lang w:eastAsia="nl-NL"/>
        </w:rPr>
        <w:t xml:space="preserve"> </w:t>
      </w:r>
    </w:p>
    <w:p w:rsidR="00A17C6E" w:rsidRDefault="00A17C6E" w:rsidP="00E329DF">
      <w:pPr>
        <w:rPr>
          <w:szCs w:val="18"/>
        </w:rPr>
      </w:pPr>
    </w:p>
    <w:p w:rsidR="00812CC5" w:rsidRDefault="00812CC5" w:rsidP="00E329DF">
      <w:pPr>
        <w:rPr>
          <w:szCs w:val="18"/>
        </w:rPr>
      </w:pPr>
    </w:p>
    <w:p w:rsidR="00812CC5" w:rsidRDefault="00812CC5" w:rsidP="00E329DF">
      <w:pPr>
        <w:rPr>
          <w:szCs w:val="18"/>
        </w:rPr>
      </w:pPr>
    </w:p>
    <w:p w:rsidR="00812CC5" w:rsidRDefault="00812CC5" w:rsidP="00E329DF">
      <w:pPr>
        <w:rPr>
          <w:szCs w:val="18"/>
        </w:rPr>
      </w:pPr>
    </w:p>
    <w:p w:rsidR="00812CC5" w:rsidRDefault="00812CC5" w:rsidP="00E329DF">
      <w:pPr>
        <w:rPr>
          <w:szCs w:val="18"/>
        </w:rPr>
        <w:sectPr w:rsidR="00812CC5" w:rsidSect="00A17C6E">
          <w:pgSz w:w="11906" w:h="16838"/>
          <w:pgMar w:top="1417" w:right="1417" w:bottom="1417" w:left="1417" w:header="708" w:footer="708" w:gutter="0"/>
          <w:cols w:space="708"/>
          <w:docGrid w:linePitch="360"/>
        </w:sectPr>
      </w:pPr>
    </w:p>
    <w:p w:rsidR="00812CC5" w:rsidRPr="00533896" w:rsidRDefault="00812CC5" w:rsidP="00E329DF">
      <w:pPr>
        <w:rPr>
          <w:rFonts w:asciiTheme="majorHAnsi" w:hAnsiTheme="majorHAnsi"/>
        </w:rPr>
      </w:pPr>
      <w:r w:rsidRPr="00533896">
        <w:rPr>
          <w:rFonts w:asciiTheme="majorHAnsi" w:hAnsiTheme="majorHAnsi"/>
          <w:b/>
          <w:bCs/>
        </w:rPr>
        <w:lastRenderedPageBreak/>
        <w:t>W</w:t>
      </w:r>
      <w:r>
        <w:rPr>
          <w:rFonts w:asciiTheme="majorHAnsi" w:hAnsiTheme="majorHAnsi"/>
          <w:b/>
          <w:bCs/>
        </w:rPr>
        <w:t>ijziging van de begrotingsstaat</w:t>
      </w:r>
      <w:r w:rsidRPr="00533896">
        <w:rPr>
          <w:rFonts w:asciiTheme="majorHAnsi" w:hAnsiTheme="majorHAnsi"/>
          <w:b/>
          <w:bCs/>
        </w:rPr>
        <w:t xml:space="preserve"> van het Ministerie van Financiën (IXB) en de begrotingsstaat van Nationale Schuld (IXA)</w:t>
      </w:r>
      <w:r>
        <w:rPr>
          <w:rFonts w:asciiTheme="majorHAnsi" w:hAnsiTheme="majorHAnsi"/>
          <w:b/>
          <w:bCs/>
        </w:rPr>
        <w:t xml:space="preserve"> voor het jaar 2016</w:t>
      </w:r>
      <w:r w:rsidRPr="00533896">
        <w:rPr>
          <w:rFonts w:asciiTheme="majorHAnsi" w:hAnsiTheme="majorHAnsi"/>
          <w:b/>
          <w:bCs/>
        </w:rPr>
        <w:t xml:space="preserve"> (slotwet)</w:t>
      </w:r>
    </w:p>
    <w:p w:rsidR="00812CC5" w:rsidRPr="00533896" w:rsidRDefault="00812CC5" w:rsidP="00E329DF">
      <w:pPr>
        <w:ind w:left="-426" w:firstLine="426"/>
        <w:rPr>
          <w:rFonts w:asciiTheme="majorHAnsi" w:hAnsiTheme="majorHAnsi"/>
          <w:b/>
          <w:bCs/>
        </w:rPr>
      </w:pPr>
      <w:r w:rsidRPr="00533896">
        <w:rPr>
          <w:rFonts w:asciiTheme="majorHAnsi" w:hAnsiTheme="majorHAnsi"/>
          <w:b/>
          <w:bCs/>
        </w:rPr>
        <w:t>Suppletoire begrotingsstaat (slotwet)</w:t>
      </w:r>
    </w:p>
    <w:p w:rsidR="00812CC5" w:rsidRPr="00533896" w:rsidRDefault="00812CC5" w:rsidP="00E329DF">
      <w:pPr>
        <w:rPr>
          <w:rFonts w:asciiTheme="majorHAnsi" w:hAnsiTheme="majorHAnsi"/>
          <w:b/>
        </w:rPr>
      </w:pPr>
      <w:r w:rsidRPr="00533896">
        <w:rPr>
          <w:rFonts w:asciiTheme="majorHAnsi" w:hAnsiTheme="majorHAnsi"/>
          <w:b/>
        </w:rPr>
        <w:t>Begroting 201</w:t>
      </w:r>
      <w:r>
        <w:rPr>
          <w:rFonts w:asciiTheme="majorHAnsi" w:hAnsiTheme="majorHAnsi"/>
          <w:b/>
        </w:rPr>
        <w:t>6</w:t>
      </w:r>
    </w:p>
    <w:p w:rsidR="00812CC5" w:rsidRPr="00533896" w:rsidRDefault="00812CC5" w:rsidP="00E329DF">
      <w:pPr>
        <w:rPr>
          <w:rFonts w:asciiTheme="majorHAnsi" w:hAnsiTheme="majorHAnsi"/>
          <w:b/>
        </w:rPr>
      </w:pPr>
      <w:r w:rsidRPr="00533896">
        <w:rPr>
          <w:rFonts w:asciiTheme="majorHAnsi" w:hAnsiTheme="majorHAnsi"/>
          <w:b/>
        </w:rPr>
        <w:t xml:space="preserve">Ministerie van Financiën </w:t>
      </w:r>
      <w:r w:rsidRPr="00533896">
        <w:rPr>
          <w:rFonts w:asciiTheme="majorHAnsi" w:hAnsiTheme="majorHAnsi"/>
          <w:b/>
          <w:bCs/>
        </w:rPr>
        <w:t>(IXB)</w:t>
      </w:r>
    </w:p>
    <w:p w:rsidR="00A827AC" w:rsidRPr="00634468" w:rsidRDefault="00812CC5" w:rsidP="00E329DF">
      <w:pPr>
        <w:rPr>
          <w:rFonts w:asciiTheme="minorHAnsi" w:hAnsiTheme="minorHAnsi"/>
          <w:b/>
          <w:bCs/>
          <w:sz w:val="16"/>
          <w:szCs w:val="16"/>
        </w:rPr>
      </w:pPr>
      <w:r w:rsidRPr="00533896">
        <w:rPr>
          <w:rFonts w:asciiTheme="majorHAnsi" w:hAnsiTheme="majorHAnsi"/>
          <w:b/>
        </w:rPr>
        <w:t>(Bedragen x € 1.000)</w:t>
      </w:r>
      <w:r w:rsidR="00A827AC">
        <w:rPr>
          <w:rFonts w:asciiTheme="majorHAnsi" w:hAnsiTheme="majorHAnsi"/>
          <w:b/>
        </w:rPr>
        <w:br/>
      </w:r>
      <w:r w:rsidR="00A827AC">
        <w:rPr>
          <w:rFonts w:asciiTheme="majorHAnsi" w:hAnsiTheme="majorHAnsi"/>
          <w:b/>
        </w:rPr>
        <w:br/>
      </w:r>
    </w:p>
    <w:tbl>
      <w:tblPr>
        <w:tblW w:w="13844" w:type="dxa"/>
        <w:tblInd w:w="55" w:type="dxa"/>
        <w:tblCellMar>
          <w:left w:w="70" w:type="dxa"/>
          <w:right w:w="70" w:type="dxa"/>
        </w:tblCellMar>
        <w:tblLook w:val="04A0" w:firstRow="1" w:lastRow="0" w:firstColumn="1" w:lastColumn="0" w:noHBand="0" w:noVBand="1"/>
      </w:tblPr>
      <w:tblGrid>
        <w:gridCol w:w="435"/>
        <w:gridCol w:w="2944"/>
        <w:gridCol w:w="1153"/>
        <w:gridCol w:w="1052"/>
        <w:gridCol w:w="1280"/>
        <w:gridCol w:w="197"/>
        <w:gridCol w:w="1310"/>
        <w:gridCol w:w="991"/>
        <w:gridCol w:w="1010"/>
        <w:gridCol w:w="197"/>
        <w:gridCol w:w="1027"/>
        <w:gridCol w:w="1143"/>
        <w:gridCol w:w="1143"/>
      </w:tblGrid>
      <w:tr w:rsidR="00A827AC" w:rsidRPr="00634468" w:rsidTr="00A827AC">
        <w:trPr>
          <w:trHeight w:val="547"/>
        </w:trPr>
        <w:tc>
          <w:tcPr>
            <w:tcW w:w="435" w:type="dxa"/>
            <w:tcBorders>
              <w:top w:val="single" w:sz="4" w:space="0" w:color="000000"/>
              <w:left w:val="nil"/>
              <w:bottom w:val="single" w:sz="4" w:space="0" w:color="000000"/>
              <w:right w:val="nil"/>
            </w:tcBorders>
            <w:shd w:val="clear" w:color="auto" w:fill="auto"/>
            <w:noWrap/>
            <w:vAlign w:val="center"/>
            <w:hideMark/>
          </w:tcPr>
          <w:p w:rsidR="00A827AC" w:rsidRPr="00634468" w:rsidRDefault="00A827AC" w:rsidP="00E329DF">
            <w:pPr>
              <w:spacing w:after="0"/>
              <w:rPr>
                <w:rFonts w:asciiTheme="minorHAnsi" w:eastAsia="Times New Roman" w:hAnsiTheme="minorHAnsi" w:cs="Times New Roman"/>
                <w:b/>
                <w:sz w:val="16"/>
                <w:szCs w:val="16"/>
                <w:lang w:eastAsia="nl-NL"/>
              </w:rPr>
            </w:pPr>
          </w:p>
        </w:tc>
        <w:tc>
          <w:tcPr>
            <w:tcW w:w="2944" w:type="dxa"/>
            <w:tcBorders>
              <w:top w:val="single" w:sz="4" w:space="0" w:color="000000"/>
              <w:left w:val="nil"/>
              <w:bottom w:val="single" w:sz="4" w:space="0" w:color="000000"/>
              <w:right w:val="nil"/>
            </w:tcBorders>
            <w:shd w:val="clear" w:color="auto" w:fill="auto"/>
            <w:noWrap/>
            <w:vAlign w:val="center"/>
            <w:hideMark/>
          </w:tcPr>
          <w:p w:rsidR="00A827AC" w:rsidRPr="00634468" w:rsidRDefault="00A827AC"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eastAsia="nl-NL"/>
              </w:rPr>
              <w:t xml:space="preserve"> </w:t>
            </w:r>
          </w:p>
        </w:tc>
        <w:tc>
          <w:tcPr>
            <w:tcW w:w="3461" w:type="dxa"/>
            <w:gridSpan w:val="3"/>
            <w:tcBorders>
              <w:top w:val="single" w:sz="4" w:space="0" w:color="000000"/>
              <w:left w:val="nil"/>
              <w:bottom w:val="single" w:sz="4" w:space="0" w:color="000000"/>
              <w:right w:val="nil"/>
            </w:tcBorders>
            <w:shd w:val="clear" w:color="auto" w:fill="auto"/>
            <w:noWrap/>
            <w:vAlign w:val="center"/>
            <w:hideMark/>
          </w:tcPr>
          <w:p w:rsidR="00A827AC" w:rsidRPr="00634468" w:rsidRDefault="00A827AC"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eastAsia="nl-NL"/>
              </w:rPr>
              <w:t>(1)</w:t>
            </w:r>
          </w:p>
          <w:p w:rsidR="006418FD" w:rsidRPr="00634468" w:rsidRDefault="006418FD" w:rsidP="00E329DF">
            <w:pPr>
              <w:spacing w:after="0"/>
              <w:rPr>
                <w:rFonts w:asciiTheme="minorHAnsi" w:eastAsia="Times New Roman" w:hAnsiTheme="minorHAnsi" w:cs="Times New Roman"/>
                <w:b/>
                <w:sz w:val="16"/>
                <w:szCs w:val="16"/>
                <w:lang w:eastAsia="nl-NL"/>
              </w:rPr>
            </w:pPr>
          </w:p>
          <w:p w:rsidR="006418FD" w:rsidRPr="00634468" w:rsidRDefault="006418FD"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eastAsia="nl-NL"/>
              </w:rPr>
              <w:t>Oorspronkelijk vastgestelde begroting</w:t>
            </w:r>
          </w:p>
        </w:tc>
        <w:tc>
          <w:tcPr>
            <w:tcW w:w="190" w:type="dxa"/>
            <w:tcBorders>
              <w:top w:val="single" w:sz="4" w:space="0" w:color="000000"/>
              <w:left w:val="nil"/>
              <w:bottom w:val="single" w:sz="4" w:space="0" w:color="000000"/>
              <w:right w:val="nil"/>
            </w:tcBorders>
            <w:shd w:val="clear" w:color="auto" w:fill="auto"/>
            <w:noWrap/>
            <w:vAlign w:val="center"/>
            <w:hideMark/>
          </w:tcPr>
          <w:p w:rsidR="00A827AC" w:rsidRPr="00634468" w:rsidRDefault="00A827AC"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eastAsia="nl-NL"/>
              </w:rPr>
              <w:t> </w:t>
            </w:r>
          </w:p>
        </w:tc>
        <w:tc>
          <w:tcPr>
            <w:tcW w:w="3311" w:type="dxa"/>
            <w:gridSpan w:val="3"/>
            <w:tcBorders>
              <w:top w:val="single" w:sz="4" w:space="0" w:color="000000"/>
              <w:left w:val="nil"/>
              <w:bottom w:val="single" w:sz="4" w:space="0" w:color="000000"/>
              <w:right w:val="nil"/>
            </w:tcBorders>
            <w:shd w:val="clear" w:color="auto" w:fill="auto"/>
            <w:noWrap/>
            <w:vAlign w:val="center"/>
            <w:hideMark/>
          </w:tcPr>
          <w:p w:rsidR="00A827AC" w:rsidRPr="00634468" w:rsidRDefault="00A827AC"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eastAsia="nl-NL"/>
              </w:rPr>
              <w:t>(2)</w:t>
            </w:r>
          </w:p>
          <w:p w:rsidR="006418FD" w:rsidRPr="00634468" w:rsidRDefault="006418FD" w:rsidP="00E329DF">
            <w:pPr>
              <w:spacing w:after="0"/>
              <w:rPr>
                <w:rFonts w:asciiTheme="minorHAnsi" w:eastAsia="Times New Roman" w:hAnsiTheme="minorHAnsi" w:cs="Times New Roman"/>
                <w:b/>
                <w:sz w:val="16"/>
                <w:szCs w:val="16"/>
                <w:lang w:eastAsia="nl-NL"/>
              </w:rPr>
            </w:pPr>
          </w:p>
          <w:p w:rsidR="006418FD" w:rsidRPr="00634468" w:rsidRDefault="006418FD"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eastAsia="nl-NL"/>
              </w:rPr>
              <w:t>Mutaties (+ of -) 1e suppletoire begroting</w:t>
            </w:r>
          </w:p>
        </w:tc>
        <w:tc>
          <w:tcPr>
            <w:tcW w:w="190" w:type="dxa"/>
            <w:tcBorders>
              <w:top w:val="single" w:sz="4" w:space="0" w:color="000000"/>
              <w:left w:val="nil"/>
              <w:bottom w:val="single" w:sz="4" w:space="0" w:color="000000"/>
              <w:right w:val="nil"/>
            </w:tcBorders>
            <w:shd w:val="clear" w:color="auto" w:fill="auto"/>
            <w:noWrap/>
            <w:vAlign w:val="center"/>
            <w:hideMark/>
          </w:tcPr>
          <w:p w:rsidR="00A827AC" w:rsidRPr="00634468" w:rsidRDefault="00A827AC"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eastAsia="nl-NL"/>
              </w:rPr>
              <w:t> </w:t>
            </w:r>
          </w:p>
        </w:tc>
        <w:tc>
          <w:tcPr>
            <w:tcW w:w="3313" w:type="dxa"/>
            <w:gridSpan w:val="3"/>
            <w:tcBorders>
              <w:top w:val="single" w:sz="4" w:space="0" w:color="000000"/>
              <w:left w:val="nil"/>
              <w:bottom w:val="single" w:sz="4" w:space="0" w:color="000000"/>
              <w:right w:val="nil"/>
            </w:tcBorders>
            <w:shd w:val="clear" w:color="auto" w:fill="auto"/>
            <w:noWrap/>
            <w:vAlign w:val="center"/>
            <w:hideMark/>
          </w:tcPr>
          <w:p w:rsidR="00A827AC" w:rsidRPr="00BE0DA2" w:rsidRDefault="00A827AC" w:rsidP="00E329DF">
            <w:pPr>
              <w:spacing w:after="0"/>
              <w:rPr>
                <w:rFonts w:asciiTheme="minorHAnsi" w:eastAsia="Times New Roman" w:hAnsiTheme="minorHAnsi" w:cs="Times New Roman"/>
                <w:b/>
                <w:sz w:val="16"/>
                <w:szCs w:val="16"/>
                <w:lang w:val="en-US" w:eastAsia="nl-NL"/>
              </w:rPr>
            </w:pPr>
            <w:r w:rsidRPr="00BE0DA2">
              <w:rPr>
                <w:rFonts w:asciiTheme="minorHAnsi" w:eastAsia="Times New Roman" w:hAnsiTheme="minorHAnsi" w:cs="Times New Roman"/>
                <w:b/>
                <w:sz w:val="16"/>
                <w:szCs w:val="16"/>
                <w:lang w:val="en-US" w:eastAsia="nl-NL"/>
              </w:rPr>
              <w:t>(3)</w:t>
            </w:r>
          </w:p>
          <w:p w:rsidR="006418FD" w:rsidRPr="00BE0DA2" w:rsidRDefault="006418FD" w:rsidP="00E329DF">
            <w:pPr>
              <w:spacing w:after="0"/>
              <w:rPr>
                <w:rFonts w:asciiTheme="minorHAnsi" w:eastAsia="Times New Roman" w:hAnsiTheme="minorHAnsi" w:cs="Times New Roman"/>
                <w:b/>
                <w:sz w:val="16"/>
                <w:szCs w:val="16"/>
                <w:lang w:val="en-US" w:eastAsia="nl-NL"/>
              </w:rPr>
            </w:pPr>
          </w:p>
          <w:p w:rsidR="006418FD" w:rsidRPr="00634468" w:rsidRDefault="006418FD" w:rsidP="00E329DF">
            <w:pPr>
              <w:spacing w:after="0"/>
              <w:rPr>
                <w:rFonts w:asciiTheme="minorHAnsi" w:eastAsia="Times New Roman" w:hAnsiTheme="minorHAnsi" w:cs="Times New Roman"/>
                <w:b/>
                <w:sz w:val="16"/>
                <w:szCs w:val="16"/>
                <w:lang w:eastAsia="nl-NL"/>
              </w:rPr>
            </w:pPr>
            <w:r w:rsidRPr="00634468">
              <w:rPr>
                <w:rFonts w:asciiTheme="minorHAnsi" w:eastAsia="Times New Roman" w:hAnsiTheme="minorHAnsi" w:cs="Times New Roman"/>
                <w:b/>
                <w:sz w:val="16"/>
                <w:szCs w:val="16"/>
                <w:lang w:val="en-US" w:eastAsia="nl-NL"/>
              </w:rPr>
              <w:t xml:space="preserve">Mutaties (+ of -) 2e suppletoire begroting </w:t>
            </w:r>
          </w:p>
        </w:tc>
      </w:tr>
      <w:tr w:rsidR="00A827AC" w:rsidRPr="00634468" w:rsidTr="00A827AC">
        <w:trPr>
          <w:trHeight w:val="257"/>
        </w:trPr>
        <w:tc>
          <w:tcPr>
            <w:tcW w:w="435" w:type="dxa"/>
            <w:tcBorders>
              <w:top w:val="single" w:sz="4" w:space="0" w:color="000000"/>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Art</w:t>
            </w:r>
          </w:p>
        </w:tc>
        <w:tc>
          <w:tcPr>
            <w:tcW w:w="2944" w:type="dxa"/>
            <w:tcBorders>
              <w:top w:val="single" w:sz="4" w:space="0" w:color="000000"/>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Omschrijving</w:t>
            </w:r>
          </w:p>
        </w:tc>
        <w:tc>
          <w:tcPr>
            <w:tcW w:w="1153"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Verplich-</w:t>
            </w:r>
          </w:p>
        </w:tc>
        <w:tc>
          <w:tcPr>
            <w:tcW w:w="1030"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Uitgaven</w:t>
            </w:r>
          </w:p>
        </w:tc>
        <w:tc>
          <w:tcPr>
            <w:tcW w:w="1278"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Ontvang-</w:t>
            </w:r>
          </w:p>
        </w:tc>
        <w:tc>
          <w:tcPr>
            <w:tcW w:w="190" w:type="dxa"/>
            <w:tcBorders>
              <w:top w:val="single" w:sz="4" w:space="0" w:color="000000"/>
              <w:left w:val="nil"/>
              <w:bottom w:val="nil"/>
              <w:right w:val="nil"/>
            </w:tcBorders>
            <w:shd w:val="clear" w:color="auto" w:fill="auto"/>
            <w:noWrap/>
            <w:vAlign w:val="bottom"/>
            <w:hideMark/>
          </w:tcPr>
          <w:p w:rsidR="00A827AC" w:rsidRPr="00634468" w:rsidRDefault="00A827AC" w:rsidP="00E329DF">
            <w:pPr>
              <w:spacing w:after="0"/>
              <w:jc w:val="center"/>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Verplich-</w:t>
            </w:r>
          </w:p>
        </w:tc>
        <w:tc>
          <w:tcPr>
            <w:tcW w:w="991"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Uitgaven</w:t>
            </w:r>
          </w:p>
        </w:tc>
        <w:tc>
          <w:tcPr>
            <w:tcW w:w="1010"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Ontvang-</w:t>
            </w:r>
          </w:p>
        </w:tc>
        <w:tc>
          <w:tcPr>
            <w:tcW w:w="190" w:type="dxa"/>
            <w:tcBorders>
              <w:top w:val="single" w:sz="4" w:space="0" w:color="000000"/>
              <w:left w:val="nil"/>
              <w:bottom w:val="nil"/>
              <w:right w:val="nil"/>
            </w:tcBorders>
            <w:shd w:val="clear" w:color="auto" w:fill="auto"/>
            <w:noWrap/>
            <w:vAlign w:val="bottom"/>
            <w:hideMark/>
          </w:tcPr>
          <w:p w:rsidR="00A827AC" w:rsidRPr="00634468" w:rsidRDefault="00A827AC" w:rsidP="00E329DF">
            <w:pPr>
              <w:spacing w:after="0"/>
              <w:jc w:val="center"/>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Verplich-</w:t>
            </w:r>
          </w:p>
        </w:tc>
        <w:tc>
          <w:tcPr>
            <w:tcW w:w="1143"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Uitgaven</w:t>
            </w:r>
          </w:p>
        </w:tc>
        <w:tc>
          <w:tcPr>
            <w:tcW w:w="1143" w:type="dxa"/>
            <w:tcBorders>
              <w:top w:val="nil"/>
              <w:left w:val="nil"/>
              <w:bottom w:val="nil"/>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Ontvang-</w:t>
            </w:r>
          </w:p>
        </w:tc>
      </w:tr>
      <w:tr w:rsidR="00A827AC" w:rsidRPr="00634468" w:rsidTr="006418FD">
        <w:trPr>
          <w:trHeight w:val="143"/>
        </w:trPr>
        <w:tc>
          <w:tcPr>
            <w:tcW w:w="435"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  </w:t>
            </w:r>
          </w:p>
        </w:tc>
        <w:tc>
          <w:tcPr>
            <w:tcW w:w="2944"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 </w:t>
            </w:r>
          </w:p>
        </w:tc>
        <w:tc>
          <w:tcPr>
            <w:tcW w:w="1153" w:type="dxa"/>
            <w:tcBorders>
              <w:top w:val="nil"/>
              <w:left w:val="nil"/>
              <w:bottom w:val="single" w:sz="4" w:space="0" w:color="000000"/>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tingen</w:t>
            </w:r>
          </w:p>
        </w:tc>
        <w:tc>
          <w:tcPr>
            <w:tcW w:w="103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 </w:t>
            </w:r>
          </w:p>
        </w:tc>
        <w:tc>
          <w:tcPr>
            <w:tcW w:w="1278" w:type="dxa"/>
            <w:tcBorders>
              <w:top w:val="nil"/>
              <w:left w:val="nil"/>
              <w:bottom w:val="single" w:sz="4" w:space="0" w:color="000000"/>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sten</w:t>
            </w:r>
          </w:p>
        </w:tc>
        <w:tc>
          <w:tcPr>
            <w:tcW w:w="19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single" w:sz="4" w:space="0" w:color="000000"/>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tingen</w:t>
            </w:r>
          </w:p>
        </w:tc>
        <w:tc>
          <w:tcPr>
            <w:tcW w:w="991"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 </w:t>
            </w:r>
          </w:p>
        </w:tc>
        <w:tc>
          <w:tcPr>
            <w:tcW w:w="1010" w:type="dxa"/>
            <w:tcBorders>
              <w:top w:val="nil"/>
              <w:left w:val="nil"/>
              <w:bottom w:val="single" w:sz="4" w:space="0" w:color="000000"/>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sten</w:t>
            </w:r>
          </w:p>
        </w:tc>
        <w:tc>
          <w:tcPr>
            <w:tcW w:w="19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single" w:sz="4" w:space="0" w:color="000000"/>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tingen</w:t>
            </w:r>
          </w:p>
        </w:tc>
        <w:tc>
          <w:tcPr>
            <w:tcW w:w="1143"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 </w:t>
            </w:r>
          </w:p>
        </w:tc>
        <w:tc>
          <w:tcPr>
            <w:tcW w:w="1143" w:type="dxa"/>
            <w:tcBorders>
              <w:top w:val="nil"/>
              <w:left w:val="nil"/>
              <w:bottom w:val="single" w:sz="4" w:space="0" w:color="000000"/>
              <w:right w:val="nil"/>
            </w:tcBorders>
            <w:shd w:val="clear" w:color="auto" w:fill="auto"/>
            <w:noWrap/>
            <w:vAlign w:val="center"/>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sten</w:t>
            </w:r>
          </w:p>
        </w:tc>
      </w:tr>
      <w:tr w:rsidR="00A827AC" w:rsidRPr="00634468" w:rsidTr="00A827AC">
        <w:trPr>
          <w:trHeight w:val="146"/>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53"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3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278"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31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991"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1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27"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Totaal</w:t>
            </w:r>
          </w:p>
        </w:tc>
        <w:tc>
          <w:tcPr>
            <w:tcW w:w="1153"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 </w:t>
            </w:r>
          </w:p>
        </w:tc>
        <w:tc>
          <w:tcPr>
            <w:tcW w:w="1030"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6.843.138 </w:t>
            </w:r>
          </w:p>
        </w:tc>
        <w:tc>
          <w:tcPr>
            <w:tcW w:w="1278"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121.523.987 </w:t>
            </w: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1310"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 </w:t>
            </w:r>
          </w:p>
        </w:tc>
        <w:tc>
          <w:tcPr>
            <w:tcW w:w="991"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541.852 </w:t>
            </w:r>
          </w:p>
        </w:tc>
        <w:tc>
          <w:tcPr>
            <w:tcW w:w="1010"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977.766 </w:t>
            </w: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1027"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2.512.450 </w:t>
            </w: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9.842.347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53"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3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278"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31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991"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1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27"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Beleidsartikelen</w:t>
            </w:r>
          </w:p>
        </w:tc>
        <w:tc>
          <w:tcPr>
            <w:tcW w:w="1153"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 </w:t>
            </w:r>
          </w:p>
        </w:tc>
        <w:tc>
          <w:tcPr>
            <w:tcW w:w="1030"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6.536.614 </w:t>
            </w:r>
          </w:p>
        </w:tc>
        <w:tc>
          <w:tcPr>
            <w:tcW w:w="1278"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121.462.969 </w:t>
            </w: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1310"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 </w:t>
            </w:r>
          </w:p>
        </w:tc>
        <w:tc>
          <w:tcPr>
            <w:tcW w:w="991"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483.592 </w:t>
            </w:r>
          </w:p>
        </w:tc>
        <w:tc>
          <w:tcPr>
            <w:tcW w:w="1010"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986.593 </w:t>
            </w:r>
          </w:p>
        </w:tc>
        <w:tc>
          <w:tcPr>
            <w:tcW w:w="190"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1027"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2.625.104 </w:t>
            </w:r>
          </w:p>
        </w:tc>
        <w:tc>
          <w:tcPr>
            <w:tcW w:w="1143" w:type="dxa"/>
            <w:tcBorders>
              <w:top w:val="nil"/>
              <w:left w:val="nil"/>
              <w:bottom w:val="nil"/>
              <w:right w:val="nil"/>
            </w:tcBorders>
            <w:shd w:val="clear" w:color="auto" w:fill="auto"/>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9.844.136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1</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Belastingen</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3.114.765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3.114.765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116.447.338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214.667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214.667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807.673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581.400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48.400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3.875.243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2</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Financiële markten</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4.185.879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22.379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10.311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1.334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1.334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24.165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-2.801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-2.801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18.549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3</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val="en-US" w:eastAsia="nl-NL"/>
              </w:rPr>
            </w:pPr>
            <w:r w:rsidRPr="00634468">
              <w:rPr>
                <w:rFonts w:asciiTheme="minorHAnsi" w:eastAsia="Times New Roman" w:hAnsiTheme="minorHAnsi" w:cs="Times New Roman"/>
                <w:sz w:val="16"/>
                <w:szCs w:val="16"/>
                <w:lang w:val="en-US" w:eastAsia="nl-NL"/>
              </w:rPr>
              <w:t>Financ. act. Publiek-Private sector</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19.401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19.401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1.881.850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21.570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21.570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160.067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-124.584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2.498.516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5.789.035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4</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Internationale Fin. Betrekkingen</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268.782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439.981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22.992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-4.991.000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241.756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-9.577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99.356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-85.264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-3.363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5</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Exportkredietverzekeringen, -garanties</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en investeringsverzekeringen</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10.616.436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88.056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246.952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88.885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88.885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88.798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6</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BTW-Compensatiefonds</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2.851.726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2.851.726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2.851.726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4.265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4.265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4.265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77.674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77.674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77.674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7</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Beheer materiële activa</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306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306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1.800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-306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-306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-1.800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Niet-beleidsartikelen</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306.524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61.018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58.260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-8.827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b/>
                <w:bCs/>
                <w:sz w:val="16"/>
                <w:szCs w:val="16"/>
                <w:lang w:eastAsia="nl-NL"/>
              </w:rPr>
            </w:pP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-112.654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b/>
                <w:bCs/>
                <w:sz w:val="16"/>
                <w:szCs w:val="16"/>
                <w:lang w:eastAsia="nl-NL"/>
              </w:rPr>
            </w:pPr>
            <w:r w:rsidRPr="00634468">
              <w:rPr>
                <w:rFonts w:asciiTheme="minorHAnsi" w:eastAsia="Times New Roman" w:hAnsiTheme="minorHAnsi" w:cs="Times New Roman"/>
                <w:b/>
                <w:bCs/>
                <w:sz w:val="16"/>
                <w:szCs w:val="16"/>
                <w:lang w:eastAsia="nl-NL"/>
              </w:rPr>
              <w:t xml:space="preserve">-1.789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8</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Apparaat Kerndepartement</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242.985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242.985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61.018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-360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-360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-8.827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-5.761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-5.761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-1.789 </w:t>
            </w:r>
          </w:p>
        </w:tc>
      </w:tr>
      <w:tr w:rsidR="00A827AC" w:rsidRPr="00634468" w:rsidTr="00A827AC">
        <w:trPr>
          <w:trHeight w:val="219"/>
        </w:trPr>
        <w:tc>
          <w:tcPr>
            <w:tcW w:w="435"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10</w:t>
            </w:r>
          </w:p>
        </w:tc>
        <w:tc>
          <w:tcPr>
            <w:tcW w:w="2944" w:type="dxa"/>
            <w:tcBorders>
              <w:top w:val="nil"/>
              <w:left w:val="nil"/>
              <w:bottom w:val="nil"/>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Nominaal en onvoorzien</w:t>
            </w:r>
          </w:p>
        </w:tc>
        <w:tc>
          <w:tcPr>
            <w:tcW w:w="115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63.539 </w:t>
            </w:r>
          </w:p>
        </w:tc>
        <w:tc>
          <w:tcPr>
            <w:tcW w:w="103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63.539 </w:t>
            </w:r>
          </w:p>
        </w:tc>
        <w:tc>
          <w:tcPr>
            <w:tcW w:w="1278"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58.620 </w:t>
            </w:r>
          </w:p>
        </w:tc>
        <w:tc>
          <w:tcPr>
            <w:tcW w:w="991"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58.620 </w:t>
            </w:r>
          </w:p>
        </w:tc>
        <w:tc>
          <w:tcPr>
            <w:tcW w:w="101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c>
          <w:tcPr>
            <w:tcW w:w="190"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-106.893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-106.893 </w:t>
            </w:r>
          </w:p>
        </w:tc>
        <w:tc>
          <w:tcPr>
            <w:tcW w:w="1143" w:type="dxa"/>
            <w:tcBorders>
              <w:top w:val="nil"/>
              <w:left w:val="nil"/>
              <w:bottom w:val="nil"/>
              <w:right w:val="nil"/>
            </w:tcBorders>
            <w:shd w:val="clear" w:color="auto" w:fill="FFFFFF" w:themeFill="background1"/>
            <w:noWrap/>
            <w:vAlign w:val="bottom"/>
            <w:hideMark/>
          </w:tcPr>
          <w:p w:rsidR="00A827AC" w:rsidRPr="00634468" w:rsidRDefault="00A827AC" w:rsidP="00E329DF">
            <w:pPr>
              <w:spacing w:after="0"/>
              <w:jc w:val="right"/>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xml:space="preserve">0 </w:t>
            </w:r>
          </w:p>
        </w:tc>
      </w:tr>
      <w:tr w:rsidR="00A827AC" w:rsidRPr="00634468" w:rsidTr="00A827AC">
        <w:trPr>
          <w:trHeight w:val="146"/>
        </w:trPr>
        <w:tc>
          <w:tcPr>
            <w:tcW w:w="435"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2944"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153"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3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278"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9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31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991"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1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90"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027"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143"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c>
          <w:tcPr>
            <w:tcW w:w="1143" w:type="dxa"/>
            <w:tcBorders>
              <w:top w:val="nil"/>
              <w:left w:val="nil"/>
              <w:bottom w:val="single" w:sz="4" w:space="0" w:color="000000"/>
              <w:right w:val="nil"/>
            </w:tcBorders>
            <w:shd w:val="clear" w:color="auto" w:fill="auto"/>
            <w:noWrap/>
            <w:vAlign w:val="bottom"/>
            <w:hideMark/>
          </w:tcPr>
          <w:p w:rsidR="00A827AC" w:rsidRPr="00634468" w:rsidRDefault="00A827AC" w:rsidP="00E329DF">
            <w:pPr>
              <w:spacing w:after="0"/>
              <w:rPr>
                <w:rFonts w:asciiTheme="minorHAnsi" w:eastAsia="Times New Roman" w:hAnsiTheme="minorHAnsi" w:cs="Times New Roman"/>
                <w:sz w:val="16"/>
                <w:szCs w:val="16"/>
                <w:lang w:eastAsia="nl-NL"/>
              </w:rPr>
            </w:pPr>
            <w:r w:rsidRPr="00634468">
              <w:rPr>
                <w:rFonts w:asciiTheme="minorHAnsi" w:eastAsia="Times New Roman" w:hAnsiTheme="minorHAnsi" w:cs="Times New Roman"/>
                <w:sz w:val="16"/>
                <w:szCs w:val="16"/>
                <w:lang w:eastAsia="nl-NL"/>
              </w:rPr>
              <w:t> </w:t>
            </w:r>
          </w:p>
        </w:tc>
      </w:tr>
    </w:tbl>
    <w:p w:rsidR="00812CC5" w:rsidRPr="00634468" w:rsidRDefault="00812CC5" w:rsidP="00E329DF">
      <w:pPr>
        <w:rPr>
          <w:rFonts w:asciiTheme="majorHAnsi" w:hAnsiTheme="majorHAnsi"/>
          <w:b/>
          <w:bCs/>
          <w:sz w:val="16"/>
          <w:szCs w:val="16"/>
        </w:rPr>
      </w:pPr>
    </w:p>
    <w:p w:rsidR="00A827AC" w:rsidRPr="00634468" w:rsidRDefault="00A827AC" w:rsidP="00E329DF">
      <w:pPr>
        <w:rPr>
          <w:b/>
          <w:bCs/>
          <w:sz w:val="16"/>
          <w:szCs w:val="16"/>
        </w:rPr>
      </w:pPr>
      <w:r w:rsidRPr="00634468">
        <w:rPr>
          <w:b/>
          <w:bCs/>
          <w:sz w:val="16"/>
          <w:szCs w:val="16"/>
        </w:rPr>
        <w:br w:type="page"/>
      </w:r>
    </w:p>
    <w:p w:rsidR="006418FD" w:rsidRDefault="006418FD" w:rsidP="00E329DF">
      <w:pPr>
        <w:rPr>
          <w:b/>
          <w:bCs/>
        </w:rPr>
      </w:pPr>
    </w:p>
    <w:p w:rsidR="006418FD" w:rsidRDefault="006418FD" w:rsidP="00E329DF">
      <w:pPr>
        <w:rPr>
          <w:rFonts w:asciiTheme="minorHAnsi" w:hAnsiTheme="minorHAnsi"/>
          <w:b/>
          <w:bCs/>
          <w:sz w:val="14"/>
          <w:szCs w:val="14"/>
        </w:rPr>
      </w:pPr>
    </w:p>
    <w:p w:rsidR="006418FD" w:rsidRDefault="006418FD" w:rsidP="00E329DF">
      <w:pPr>
        <w:rPr>
          <w:rFonts w:asciiTheme="minorHAnsi" w:hAnsiTheme="minorHAnsi"/>
          <w:b/>
          <w:bCs/>
          <w:sz w:val="14"/>
          <w:szCs w:val="14"/>
        </w:rPr>
      </w:pPr>
    </w:p>
    <w:p w:rsidR="006418FD" w:rsidRPr="00634468" w:rsidRDefault="006418FD" w:rsidP="00E329DF">
      <w:pPr>
        <w:rPr>
          <w:rFonts w:asciiTheme="minorHAnsi" w:hAnsiTheme="minorHAnsi"/>
          <w:b/>
          <w:bCs/>
          <w:sz w:val="16"/>
          <w:szCs w:val="16"/>
        </w:rPr>
      </w:pPr>
    </w:p>
    <w:p w:rsidR="006418FD" w:rsidRPr="00634468" w:rsidRDefault="006418FD" w:rsidP="00E329DF">
      <w:pPr>
        <w:rPr>
          <w:rFonts w:asciiTheme="minorHAnsi" w:hAnsiTheme="minorHAnsi"/>
          <w:b/>
          <w:bCs/>
          <w:sz w:val="16"/>
          <w:szCs w:val="16"/>
        </w:rPr>
      </w:pPr>
    </w:p>
    <w:p w:rsidR="006418FD" w:rsidRPr="00634468" w:rsidRDefault="006418FD" w:rsidP="00E329DF">
      <w:pPr>
        <w:shd w:val="clear" w:color="auto" w:fill="FFFFFF" w:themeFill="background1"/>
        <w:rPr>
          <w:rFonts w:asciiTheme="minorHAnsi" w:hAnsiTheme="minorHAnsi"/>
          <w:b/>
          <w:bCs/>
          <w:sz w:val="16"/>
          <w:szCs w:val="16"/>
        </w:rPr>
      </w:pPr>
    </w:p>
    <w:tbl>
      <w:tblPr>
        <w:tblW w:w="13894" w:type="dxa"/>
        <w:tblInd w:w="56" w:type="dxa"/>
        <w:tblCellMar>
          <w:left w:w="70" w:type="dxa"/>
          <w:right w:w="70" w:type="dxa"/>
        </w:tblCellMar>
        <w:tblLook w:val="04A0" w:firstRow="1" w:lastRow="0" w:firstColumn="1" w:lastColumn="0" w:noHBand="0" w:noVBand="1"/>
      </w:tblPr>
      <w:tblGrid>
        <w:gridCol w:w="1320"/>
        <w:gridCol w:w="1178"/>
        <w:gridCol w:w="1462"/>
        <w:gridCol w:w="197"/>
        <w:gridCol w:w="1383"/>
        <w:gridCol w:w="1150"/>
        <w:gridCol w:w="1427"/>
        <w:gridCol w:w="197"/>
        <w:gridCol w:w="2226"/>
        <w:gridCol w:w="1661"/>
        <w:gridCol w:w="1693"/>
      </w:tblGrid>
      <w:tr w:rsidR="006418FD" w:rsidRPr="006418FD" w:rsidTr="00E40A11">
        <w:trPr>
          <w:trHeight w:val="450"/>
        </w:trPr>
        <w:tc>
          <w:tcPr>
            <w:tcW w:w="3960" w:type="dxa"/>
            <w:gridSpan w:val="3"/>
            <w:tcBorders>
              <w:top w:val="single" w:sz="4" w:space="0" w:color="000000"/>
              <w:left w:val="nil"/>
              <w:bottom w:val="single" w:sz="4" w:space="0" w:color="000000"/>
              <w:right w:val="nil"/>
            </w:tcBorders>
            <w:shd w:val="clear" w:color="auto" w:fill="auto"/>
            <w:noWrap/>
            <w:vAlign w:val="center"/>
            <w:hideMark/>
          </w:tcPr>
          <w:p w:rsidR="006418FD" w:rsidRPr="00634468"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(4)=(1)+(2)+(3)</w:t>
            </w:r>
          </w:p>
          <w:p w:rsidR="006418FD" w:rsidRPr="00634468" w:rsidRDefault="006418FD" w:rsidP="00E329DF">
            <w:pPr>
              <w:shd w:val="clear" w:color="auto" w:fill="FFFFFF" w:themeFill="background1"/>
              <w:spacing w:after="0"/>
              <w:rPr>
                <w:rFonts w:asciiTheme="minorHAnsi" w:eastAsia="Times New Roman" w:hAnsiTheme="minorHAnsi" w:cs="Times New Roman"/>
                <w:b/>
                <w:sz w:val="16"/>
                <w:szCs w:val="16"/>
                <w:lang w:eastAsia="nl-NL"/>
              </w:rPr>
            </w:pPr>
          </w:p>
          <w:p w:rsidR="006418FD" w:rsidRPr="006418FD"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Totaal geraamd</w:t>
            </w:r>
          </w:p>
        </w:tc>
        <w:tc>
          <w:tcPr>
            <w:tcW w:w="197" w:type="dxa"/>
            <w:tcBorders>
              <w:top w:val="single" w:sz="4" w:space="0" w:color="000000"/>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 </w:t>
            </w:r>
          </w:p>
        </w:tc>
        <w:tc>
          <w:tcPr>
            <w:tcW w:w="3960" w:type="dxa"/>
            <w:gridSpan w:val="3"/>
            <w:tcBorders>
              <w:top w:val="single" w:sz="4" w:space="0" w:color="000000"/>
              <w:left w:val="nil"/>
              <w:bottom w:val="single" w:sz="4" w:space="0" w:color="000000"/>
              <w:right w:val="nil"/>
            </w:tcBorders>
            <w:shd w:val="clear" w:color="auto" w:fill="auto"/>
            <w:noWrap/>
            <w:vAlign w:val="center"/>
            <w:hideMark/>
          </w:tcPr>
          <w:p w:rsidR="006418FD" w:rsidRPr="00634468"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(5)</w:t>
            </w:r>
          </w:p>
          <w:p w:rsidR="006418FD" w:rsidRPr="00634468" w:rsidRDefault="006418FD" w:rsidP="00E329DF">
            <w:pPr>
              <w:shd w:val="clear" w:color="auto" w:fill="FFFFFF" w:themeFill="background1"/>
              <w:spacing w:after="0"/>
              <w:rPr>
                <w:rFonts w:asciiTheme="minorHAnsi" w:eastAsia="Times New Roman" w:hAnsiTheme="minorHAnsi" w:cs="Times New Roman"/>
                <w:b/>
                <w:sz w:val="16"/>
                <w:szCs w:val="16"/>
                <w:lang w:eastAsia="nl-NL"/>
              </w:rPr>
            </w:pPr>
          </w:p>
          <w:p w:rsidR="006418FD" w:rsidRPr="006418FD"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Realisatie</w:t>
            </w:r>
          </w:p>
        </w:tc>
        <w:tc>
          <w:tcPr>
            <w:tcW w:w="197" w:type="dxa"/>
            <w:tcBorders>
              <w:top w:val="single" w:sz="4" w:space="0" w:color="000000"/>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 </w:t>
            </w:r>
          </w:p>
        </w:tc>
        <w:tc>
          <w:tcPr>
            <w:tcW w:w="5580" w:type="dxa"/>
            <w:gridSpan w:val="3"/>
            <w:tcBorders>
              <w:top w:val="single" w:sz="4" w:space="0" w:color="000000"/>
              <w:left w:val="nil"/>
              <w:bottom w:val="single" w:sz="4" w:space="0" w:color="000000"/>
              <w:right w:val="nil"/>
            </w:tcBorders>
            <w:shd w:val="clear" w:color="auto" w:fill="auto"/>
            <w:noWrap/>
            <w:vAlign w:val="center"/>
            <w:hideMark/>
          </w:tcPr>
          <w:p w:rsidR="006418FD" w:rsidRPr="00634468"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(6)=(5)-(4)</w:t>
            </w:r>
          </w:p>
          <w:p w:rsidR="006418FD" w:rsidRPr="00634468" w:rsidRDefault="006418FD" w:rsidP="00E329DF">
            <w:pPr>
              <w:shd w:val="clear" w:color="auto" w:fill="FFFFFF" w:themeFill="background1"/>
              <w:spacing w:after="0"/>
              <w:rPr>
                <w:rFonts w:asciiTheme="minorHAnsi" w:eastAsia="Times New Roman" w:hAnsiTheme="minorHAnsi" w:cs="Times New Roman"/>
                <w:b/>
                <w:sz w:val="16"/>
                <w:szCs w:val="16"/>
                <w:lang w:eastAsia="nl-NL"/>
              </w:rPr>
            </w:pPr>
          </w:p>
          <w:p w:rsidR="006418FD" w:rsidRPr="006418FD" w:rsidRDefault="006418FD" w:rsidP="00E329DF">
            <w:pPr>
              <w:shd w:val="clear" w:color="auto" w:fill="FFFFFF" w:themeFill="background1"/>
              <w:spacing w:after="0"/>
              <w:rPr>
                <w:rFonts w:asciiTheme="minorHAnsi" w:eastAsia="Times New Roman" w:hAnsiTheme="minorHAnsi" w:cs="Times New Roman"/>
                <w:b/>
                <w:sz w:val="16"/>
                <w:szCs w:val="16"/>
                <w:lang w:eastAsia="nl-NL"/>
              </w:rPr>
            </w:pPr>
            <w:r w:rsidRPr="006418FD">
              <w:rPr>
                <w:rFonts w:asciiTheme="minorHAnsi" w:eastAsia="Times New Roman" w:hAnsiTheme="minorHAnsi" w:cs="Times New Roman"/>
                <w:b/>
                <w:sz w:val="16"/>
                <w:szCs w:val="16"/>
                <w:lang w:eastAsia="nl-NL"/>
              </w:rPr>
              <w:t>Slotwetmutaties (+ of -)</w:t>
            </w:r>
          </w:p>
        </w:tc>
      </w:tr>
      <w:tr w:rsidR="006418FD" w:rsidRPr="006418FD" w:rsidTr="00E40A11">
        <w:trPr>
          <w:trHeight w:val="315"/>
        </w:trPr>
        <w:tc>
          <w:tcPr>
            <w:tcW w:w="1320" w:type="dxa"/>
            <w:tcBorders>
              <w:top w:val="nil"/>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Verplich-</w:t>
            </w:r>
          </w:p>
        </w:tc>
        <w:tc>
          <w:tcPr>
            <w:tcW w:w="1178" w:type="dxa"/>
            <w:tcBorders>
              <w:top w:val="nil"/>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Uitgaven</w:t>
            </w:r>
          </w:p>
        </w:tc>
        <w:tc>
          <w:tcPr>
            <w:tcW w:w="1462" w:type="dxa"/>
            <w:tcBorders>
              <w:top w:val="nil"/>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Ontvang-</w:t>
            </w:r>
          </w:p>
        </w:tc>
        <w:tc>
          <w:tcPr>
            <w:tcW w:w="197" w:type="dxa"/>
            <w:tcBorders>
              <w:top w:val="single" w:sz="4" w:space="0" w:color="000000"/>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center"/>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383" w:type="dxa"/>
            <w:tcBorders>
              <w:top w:val="single" w:sz="4" w:space="0" w:color="000000"/>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Verplich-</w:t>
            </w:r>
          </w:p>
        </w:tc>
        <w:tc>
          <w:tcPr>
            <w:tcW w:w="1150" w:type="dxa"/>
            <w:tcBorders>
              <w:top w:val="single" w:sz="4" w:space="0" w:color="000000"/>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Uitgaven</w:t>
            </w:r>
          </w:p>
        </w:tc>
        <w:tc>
          <w:tcPr>
            <w:tcW w:w="1427" w:type="dxa"/>
            <w:tcBorders>
              <w:top w:val="single" w:sz="4" w:space="0" w:color="000000"/>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Ontvang-</w:t>
            </w:r>
          </w:p>
        </w:tc>
        <w:tc>
          <w:tcPr>
            <w:tcW w:w="197" w:type="dxa"/>
            <w:tcBorders>
              <w:top w:val="single" w:sz="4" w:space="0" w:color="000000"/>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center"/>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2226" w:type="dxa"/>
            <w:tcBorders>
              <w:top w:val="nil"/>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Verplich-</w:t>
            </w:r>
          </w:p>
        </w:tc>
        <w:tc>
          <w:tcPr>
            <w:tcW w:w="1661" w:type="dxa"/>
            <w:tcBorders>
              <w:top w:val="nil"/>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Uitgaven</w:t>
            </w:r>
          </w:p>
        </w:tc>
        <w:tc>
          <w:tcPr>
            <w:tcW w:w="1693" w:type="dxa"/>
            <w:tcBorders>
              <w:top w:val="nil"/>
              <w:left w:val="nil"/>
              <w:bottom w:val="nil"/>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Ontvang-</w:t>
            </w:r>
          </w:p>
        </w:tc>
      </w:tr>
      <w:tr w:rsidR="006418FD" w:rsidRPr="006418FD" w:rsidTr="00E40A11">
        <w:trPr>
          <w:trHeight w:val="80"/>
        </w:trPr>
        <w:tc>
          <w:tcPr>
            <w:tcW w:w="1320" w:type="dxa"/>
            <w:tcBorders>
              <w:top w:val="nil"/>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tingen</w:t>
            </w:r>
          </w:p>
        </w:tc>
        <w:tc>
          <w:tcPr>
            <w:tcW w:w="1178" w:type="dxa"/>
            <w:tcBorders>
              <w:top w:val="nil"/>
              <w:left w:val="nil"/>
              <w:bottom w:val="single" w:sz="4" w:space="0" w:color="000000"/>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 </w:t>
            </w:r>
          </w:p>
        </w:tc>
        <w:tc>
          <w:tcPr>
            <w:tcW w:w="1462" w:type="dxa"/>
            <w:tcBorders>
              <w:top w:val="nil"/>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sten</w:t>
            </w:r>
          </w:p>
        </w:tc>
        <w:tc>
          <w:tcPr>
            <w:tcW w:w="197" w:type="dxa"/>
            <w:tcBorders>
              <w:top w:val="nil"/>
              <w:left w:val="nil"/>
              <w:bottom w:val="single" w:sz="4" w:space="0" w:color="000000"/>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383" w:type="dxa"/>
            <w:tcBorders>
              <w:top w:val="nil"/>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tingen</w:t>
            </w:r>
          </w:p>
        </w:tc>
        <w:tc>
          <w:tcPr>
            <w:tcW w:w="1150" w:type="dxa"/>
            <w:tcBorders>
              <w:top w:val="nil"/>
              <w:left w:val="nil"/>
              <w:bottom w:val="single" w:sz="4" w:space="0" w:color="000000"/>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 </w:t>
            </w:r>
          </w:p>
        </w:tc>
        <w:tc>
          <w:tcPr>
            <w:tcW w:w="1427" w:type="dxa"/>
            <w:tcBorders>
              <w:top w:val="nil"/>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sten</w:t>
            </w:r>
          </w:p>
        </w:tc>
        <w:tc>
          <w:tcPr>
            <w:tcW w:w="197" w:type="dxa"/>
            <w:tcBorders>
              <w:top w:val="nil"/>
              <w:left w:val="nil"/>
              <w:bottom w:val="single" w:sz="4" w:space="0" w:color="000000"/>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2226" w:type="dxa"/>
            <w:tcBorders>
              <w:top w:val="nil"/>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tingen</w:t>
            </w:r>
          </w:p>
        </w:tc>
        <w:tc>
          <w:tcPr>
            <w:tcW w:w="1661" w:type="dxa"/>
            <w:tcBorders>
              <w:top w:val="nil"/>
              <w:left w:val="nil"/>
              <w:bottom w:val="single" w:sz="4" w:space="0" w:color="000000"/>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 </w:t>
            </w:r>
          </w:p>
        </w:tc>
        <w:tc>
          <w:tcPr>
            <w:tcW w:w="1693" w:type="dxa"/>
            <w:tcBorders>
              <w:top w:val="nil"/>
              <w:left w:val="nil"/>
              <w:bottom w:val="single" w:sz="4" w:space="0" w:color="000000"/>
              <w:right w:val="nil"/>
            </w:tcBorders>
            <w:shd w:val="clear" w:color="auto" w:fill="auto"/>
            <w:noWrap/>
            <w:vAlign w:val="center"/>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sten</w:t>
            </w:r>
          </w:p>
        </w:tc>
      </w:tr>
      <w:tr w:rsidR="006418FD" w:rsidRPr="006418FD" w:rsidTr="00E40A11">
        <w:trPr>
          <w:trHeight w:val="12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15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42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9.897.440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132.344.100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138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 </w:t>
            </w:r>
          </w:p>
        </w:tc>
        <w:tc>
          <w:tcPr>
            <w:tcW w:w="115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9.967.507 </w:t>
            </w:r>
          </w:p>
        </w:tc>
        <w:tc>
          <w:tcPr>
            <w:tcW w:w="142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133.265.184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70.067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921.084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15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42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9.645.310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132.293.698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9.745.569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133.213.398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100.259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919.700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3.910.832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3.377.832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121.130.254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FB4ED3" w:rsidP="00FB4ED3">
            <w:pPr>
              <w:shd w:val="clear" w:color="auto" w:fill="FFFFFF" w:themeFill="background1"/>
              <w:spacing w:after="0"/>
              <w:jc w:val="right"/>
              <w:rPr>
                <w:rFonts w:asciiTheme="minorHAnsi" w:eastAsia="Times New Roman" w:hAnsiTheme="minorHAnsi" w:cs="Times New Roman"/>
                <w:sz w:val="16"/>
                <w:szCs w:val="16"/>
                <w:lang w:eastAsia="nl-NL"/>
              </w:rPr>
            </w:pPr>
            <w:r>
              <w:rPr>
                <w:rFonts w:asciiTheme="minorHAnsi" w:eastAsia="Times New Roman" w:hAnsiTheme="minorHAnsi" w:cs="Times New Roman"/>
                <w:sz w:val="16"/>
                <w:szCs w:val="16"/>
                <w:lang w:eastAsia="nl-NL"/>
              </w:rPr>
              <w:t>3.651.055</w:t>
            </w:r>
            <w:r w:rsidR="006418FD" w:rsidRPr="006418FD">
              <w:rPr>
                <w:rFonts w:asciiTheme="minorHAnsi" w:eastAsia="Times New Roman" w:hAnsiTheme="minorHAnsi" w:cs="Times New Roman"/>
                <w:sz w:val="16"/>
                <w:szCs w:val="16"/>
                <w:lang w:eastAsia="nl-NL"/>
              </w:rPr>
              <w:t xml:space="preserve">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3.323.566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121.876.136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4A34D1">
              <w:rPr>
                <w:rFonts w:asciiTheme="minorHAnsi" w:eastAsia="Times New Roman" w:hAnsiTheme="minorHAnsi" w:cs="Times New Roman"/>
                <w:sz w:val="16"/>
                <w:szCs w:val="16"/>
                <w:lang w:eastAsia="nl-NL"/>
              </w:rPr>
              <w:t>-</w:t>
            </w:r>
            <w:r w:rsidR="000210E8" w:rsidRPr="004A34D1">
              <w:rPr>
                <w:rFonts w:asciiTheme="minorHAnsi" w:eastAsia="Times New Roman" w:hAnsiTheme="minorHAnsi" w:cs="Times New Roman"/>
                <w:sz w:val="16"/>
                <w:szCs w:val="16"/>
                <w:lang w:eastAsia="nl-NL"/>
              </w:rPr>
              <w:t>259.777</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-54.266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745.882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4.184.412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20.912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53.025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4.185.048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18.834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56.555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636 </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-2.078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3.530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-83.613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2.539.487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7.830.952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F032BF" w:rsidP="00E329DF">
            <w:pPr>
              <w:shd w:val="clear" w:color="auto" w:fill="FFFFFF" w:themeFill="background1"/>
              <w:spacing w:after="0"/>
              <w:jc w:val="right"/>
              <w:rPr>
                <w:rFonts w:asciiTheme="minorHAnsi" w:eastAsia="Times New Roman" w:hAnsiTheme="minorHAnsi" w:cs="Times New Roman"/>
                <w:sz w:val="16"/>
                <w:szCs w:val="16"/>
                <w:lang w:eastAsia="nl-NL"/>
              </w:rPr>
            </w:pPr>
            <w:r>
              <w:rPr>
                <w:rFonts w:asciiTheme="minorHAnsi" w:eastAsia="Times New Roman" w:hAnsiTheme="minorHAnsi" w:cs="Times New Roman"/>
                <w:sz w:val="16"/>
                <w:szCs w:val="16"/>
                <w:lang w:eastAsia="nl-NL"/>
              </w:rPr>
              <w:t>223.513</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2.615.449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7.921.995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F032BF" w:rsidP="00E329DF">
            <w:pPr>
              <w:shd w:val="clear" w:color="auto" w:fill="FFFFFF" w:themeFill="background1"/>
              <w:spacing w:after="0"/>
              <w:jc w:val="right"/>
              <w:rPr>
                <w:rFonts w:asciiTheme="minorHAnsi" w:eastAsia="Times New Roman" w:hAnsiTheme="minorHAnsi" w:cs="Times New Roman"/>
                <w:sz w:val="16"/>
                <w:szCs w:val="16"/>
                <w:lang w:eastAsia="nl-NL"/>
              </w:rPr>
            </w:pPr>
            <w:r>
              <w:rPr>
                <w:rFonts w:asciiTheme="minorHAnsi" w:eastAsia="Times New Roman" w:hAnsiTheme="minorHAnsi" w:cs="Times New Roman"/>
                <w:sz w:val="16"/>
                <w:szCs w:val="16"/>
                <w:lang w:eastAsia="nl-NL"/>
              </w:rPr>
              <w:t>307.126</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75.962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91.043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-4.622.862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596.473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10.052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060409" w:rsidP="00060409">
            <w:pPr>
              <w:shd w:val="clear" w:color="auto" w:fill="FFFFFF" w:themeFill="background1"/>
              <w:spacing w:after="0"/>
              <w:jc w:val="right"/>
              <w:rPr>
                <w:rFonts w:asciiTheme="minorHAnsi" w:eastAsia="Times New Roman" w:hAnsiTheme="minorHAnsi" w:cs="Times New Roman"/>
                <w:sz w:val="16"/>
                <w:szCs w:val="16"/>
                <w:lang w:eastAsia="nl-NL"/>
              </w:rPr>
            </w:pPr>
            <w:r>
              <w:rPr>
                <w:rFonts w:asciiTheme="minorHAnsi" w:eastAsia="Times New Roman" w:hAnsiTheme="minorHAnsi" w:cs="Times New Roman"/>
                <w:sz w:val="16"/>
                <w:szCs w:val="16"/>
                <w:lang w:eastAsia="nl-NL"/>
              </w:rPr>
              <w:t>-33.540</w:t>
            </w:r>
            <w:r w:rsidR="006418FD" w:rsidRPr="006418FD">
              <w:rPr>
                <w:rFonts w:asciiTheme="minorHAnsi" w:eastAsia="Times New Roman" w:hAnsiTheme="minorHAnsi" w:cs="Times New Roman"/>
                <w:sz w:val="16"/>
                <w:szCs w:val="16"/>
                <w:lang w:eastAsia="nl-NL"/>
              </w:rPr>
              <w:t>.</w:t>
            </w:r>
            <w:r>
              <w:rPr>
                <w:rFonts w:asciiTheme="minorHAnsi" w:eastAsia="Times New Roman" w:hAnsiTheme="minorHAnsi" w:cs="Times New Roman"/>
                <w:sz w:val="16"/>
                <w:szCs w:val="16"/>
                <w:lang w:eastAsia="nl-NL"/>
              </w:rPr>
              <w:t>6</w:t>
            </w:r>
            <w:r w:rsidR="006418FD" w:rsidRPr="006418FD">
              <w:rPr>
                <w:rFonts w:asciiTheme="minorHAnsi" w:eastAsia="Times New Roman" w:hAnsiTheme="minorHAnsi" w:cs="Times New Roman"/>
                <w:sz w:val="16"/>
                <w:szCs w:val="16"/>
                <w:lang w:eastAsia="nl-NL"/>
              </w:rPr>
              <w:t xml:space="preserve">33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597.440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10.053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060409" w:rsidP="00E329DF">
            <w:pPr>
              <w:shd w:val="clear" w:color="auto" w:fill="FFFFFF" w:themeFill="background1"/>
              <w:spacing w:after="0"/>
              <w:jc w:val="right"/>
              <w:rPr>
                <w:rFonts w:asciiTheme="minorHAnsi" w:eastAsia="Times New Roman" w:hAnsiTheme="minorHAnsi" w:cs="Times New Roman"/>
                <w:sz w:val="16"/>
                <w:szCs w:val="16"/>
                <w:lang w:eastAsia="nl-NL"/>
              </w:rPr>
            </w:pPr>
            <w:r>
              <w:rPr>
                <w:rFonts w:asciiTheme="minorHAnsi" w:eastAsia="Times New Roman" w:hAnsiTheme="minorHAnsi" w:cs="Times New Roman"/>
                <w:sz w:val="16"/>
                <w:szCs w:val="16"/>
                <w:lang w:eastAsia="nl-NL"/>
              </w:rPr>
              <w:t>-28.917.7</w:t>
            </w:r>
            <w:r w:rsidR="006418FD" w:rsidRPr="006418FD">
              <w:rPr>
                <w:rFonts w:asciiTheme="minorHAnsi" w:eastAsia="Times New Roman" w:hAnsiTheme="minorHAnsi" w:cs="Times New Roman"/>
                <w:sz w:val="16"/>
                <w:szCs w:val="16"/>
                <w:lang w:eastAsia="nl-NL"/>
              </w:rPr>
              <w:t xml:space="preserve">71 </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967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10.705.321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176.941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335.750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206.840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186.714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345.093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-10.498.481 </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9.773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9.343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2.933.665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2.933.665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2.933.665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3.003.566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3.003.566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3.003.566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69.901 </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69.901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69.901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252.130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50.402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221.938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51.786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b/>
                <w:bCs/>
                <w:sz w:val="16"/>
                <w:szCs w:val="16"/>
                <w:lang w:eastAsia="nl-NL"/>
              </w:rPr>
            </w:pP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-30.192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b/>
                <w:bCs/>
                <w:sz w:val="16"/>
                <w:szCs w:val="16"/>
                <w:lang w:eastAsia="nl-NL"/>
              </w:rPr>
            </w:pPr>
            <w:r w:rsidRPr="006418FD">
              <w:rPr>
                <w:rFonts w:asciiTheme="minorHAnsi" w:eastAsia="Times New Roman" w:hAnsiTheme="minorHAnsi" w:cs="Times New Roman"/>
                <w:b/>
                <w:bCs/>
                <w:sz w:val="16"/>
                <w:szCs w:val="16"/>
                <w:lang w:eastAsia="nl-NL"/>
              </w:rPr>
              <w:t xml:space="preserve">1.384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236.864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236.864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50.402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222.645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221.938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51.786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-14.219 </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-14.926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1.384 </w:t>
            </w:r>
          </w:p>
        </w:tc>
      </w:tr>
      <w:tr w:rsidR="006418FD" w:rsidRPr="006418FD" w:rsidTr="00E40A11">
        <w:trPr>
          <w:trHeight w:val="180"/>
        </w:trPr>
        <w:tc>
          <w:tcPr>
            <w:tcW w:w="1320"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15.266 </w:t>
            </w:r>
          </w:p>
        </w:tc>
        <w:tc>
          <w:tcPr>
            <w:tcW w:w="1178"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15.266 </w:t>
            </w:r>
          </w:p>
        </w:tc>
        <w:tc>
          <w:tcPr>
            <w:tcW w:w="1462"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97"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1383"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150"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42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c>
          <w:tcPr>
            <w:tcW w:w="197" w:type="dxa"/>
            <w:tcBorders>
              <w:top w:val="nil"/>
              <w:left w:val="nil"/>
              <w:bottom w:val="nil"/>
              <w:right w:val="nil"/>
            </w:tcBorders>
            <w:shd w:val="clear" w:color="auto" w:fill="FFFFFF" w:themeFill="background1"/>
            <w:noWrap/>
            <w:vAlign w:val="bottom"/>
            <w:hideMark/>
          </w:tcPr>
          <w:p w:rsidR="006418FD" w:rsidRPr="006418FD" w:rsidRDefault="006418FD" w:rsidP="00E329DF">
            <w:pPr>
              <w:shd w:val="clear" w:color="auto" w:fill="FFFFFF" w:themeFill="background1"/>
              <w:spacing w:after="0"/>
              <w:rPr>
                <w:rFonts w:asciiTheme="minorHAnsi" w:eastAsia="Times New Roman" w:hAnsiTheme="minorHAnsi" w:cs="Times New Roman"/>
                <w:sz w:val="16"/>
                <w:szCs w:val="16"/>
                <w:lang w:eastAsia="nl-NL"/>
              </w:rPr>
            </w:pPr>
          </w:p>
        </w:tc>
        <w:tc>
          <w:tcPr>
            <w:tcW w:w="2226"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-15.266 </w:t>
            </w:r>
          </w:p>
        </w:tc>
        <w:tc>
          <w:tcPr>
            <w:tcW w:w="1661"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-15.266 </w:t>
            </w:r>
          </w:p>
        </w:tc>
        <w:tc>
          <w:tcPr>
            <w:tcW w:w="1693" w:type="dxa"/>
            <w:tcBorders>
              <w:top w:val="nil"/>
              <w:left w:val="nil"/>
              <w:bottom w:val="nil"/>
              <w:right w:val="nil"/>
            </w:tcBorders>
            <w:shd w:val="clear" w:color="auto" w:fill="auto"/>
            <w:noWrap/>
            <w:vAlign w:val="bottom"/>
            <w:hideMark/>
          </w:tcPr>
          <w:p w:rsidR="006418FD" w:rsidRPr="006418FD" w:rsidRDefault="006418FD" w:rsidP="00E329DF">
            <w:pPr>
              <w:shd w:val="clear" w:color="auto" w:fill="FFFFFF" w:themeFill="background1"/>
              <w:spacing w:after="0"/>
              <w:jc w:val="right"/>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xml:space="preserve">0 </w:t>
            </w:r>
          </w:p>
        </w:tc>
      </w:tr>
      <w:tr w:rsidR="006418FD" w:rsidRPr="006418FD" w:rsidTr="00E40A11">
        <w:trPr>
          <w:trHeight w:val="120"/>
        </w:trPr>
        <w:tc>
          <w:tcPr>
            <w:tcW w:w="1320"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178"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462"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97"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383"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150"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427"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97"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2226"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661"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c>
          <w:tcPr>
            <w:tcW w:w="1693" w:type="dxa"/>
            <w:tcBorders>
              <w:top w:val="nil"/>
              <w:left w:val="nil"/>
              <w:bottom w:val="single" w:sz="4" w:space="0" w:color="000000"/>
              <w:right w:val="nil"/>
            </w:tcBorders>
            <w:shd w:val="clear" w:color="auto" w:fill="auto"/>
            <w:noWrap/>
            <w:vAlign w:val="bottom"/>
            <w:hideMark/>
          </w:tcPr>
          <w:p w:rsidR="006418FD" w:rsidRPr="006418FD" w:rsidRDefault="006418FD" w:rsidP="00E329DF">
            <w:pPr>
              <w:spacing w:after="0"/>
              <w:rPr>
                <w:rFonts w:asciiTheme="minorHAnsi" w:eastAsia="Times New Roman" w:hAnsiTheme="minorHAnsi" w:cs="Times New Roman"/>
                <w:sz w:val="16"/>
                <w:szCs w:val="16"/>
                <w:lang w:eastAsia="nl-NL"/>
              </w:rPr>
            </w:pPr>
            <w:r w:rsidRPr="006418FD">
              <w:rPr>
                <w:rFonts w:asciiTheme="minorHAnsi" w:eastAsia="Times New Roman" w:hAnsiTheme="minorHAnsi" w:cs="Times New Roman"/>
                <w:sz w:val="16"/>
                <w:szCs w:val="16"/>
                <w:lang w:eastAsia="nl-NL"/>
              </w:rPr>
              <w:t> </w:t>
            </w:r>
          </w:p>
        </w:tc>
      </w:tr>
    </w:tbl>
    <w:p w:rsidR="006418FD" w:rsidRPr="00634468" w:rsidRDefault="006418FD" w:rsidP="00E329DF">
      <w:pPr>
        <w:rPr>
          <w:rFonts w:asciiTheme="minorHAnsi" w:hAnsiTheme="minorHAnsi"/>
          <w:b/>
          <w:bCs/>
          <w:sz w:val="16"/>
          <w:szCs w:val="16"/>
        </w:rPr>
      </w:pPr>
    </w:p>
    <w:p w:rsidR="006418FD" w:rsidRPr="00634468" w:rsidRDefault="006418FD" w:rsidP="00E329DF">
      <w:pPr>
        <w:rPr>
          <w:rFonts w:asciiTheme="minorHAnsi" w:hAnsiTheme="minorHAnsi"/>
          <w:b/>
          <w:bCs/>
          <w:sz w:val="16"/>
          <w:szCs w:val="16"/>
        </w:rPr>
      </w:pPr>
      <w:r w:rsidRPr="00634468">
        <w:rPr>
          <w:rFonts w:asciiTheme="minorHAnsi" w:hAnsiTheme="minorHAnsi"/>
          <w:b/>
          <w:bCs/>
          <w:sz w:val="16"/>
          <w:szCs w:val="16"/>
        </w:rPr>
        <w:br w:type="page"/>
      </w:r>
    </w:p>
    <w:p w:rsidR="00812CC5" w:rsidRPr="00354625" w:rsidRDefault="00812CC5" w:rsidP="00E329DF">
      <w:r w:rsidRPr="00DD2964">
        <w:rPr>
          <w:b/>
          <w:bCs/>
        </w:rPr>
        <w:lastRenderedPageBreak/>
        <w:t>Wi</w:t>
      </w:r>
      <w:r>
        <w:rPr>
          <w:b/>
          <w:bCs/>
        </w:rPr>
        <w:t xml:space="preserve">jziging van de begrotingsstaten </w:t>
      </w:r>
      <w:r w:rsidRPr="00DD2964">
        <w:rPr>
          <w:b/>
          <w:bCs/>
        </w:rPr>
        <w:t>van het Ministerie van Financiën</w:t>
      </w:r>
      <w:r>
        <w:rPr>
          <w:b/>
          <w:bCs/>
        </w:rPr>
        <w:t xml:space="preserve"> (IXB) en de begrotingsstaat van Nationale Schuld (IXA</w:t>
      </w:r>
      <w:r w:rsidRPr="00877EAA">
        <w:rPr>
          <w:b/>
          <w:bCs/>
        </w:rPr>
        <w:t>)</w:t>
      </w:r>
      <w:r>
        <w:rPr>
          <w:b/>
          <w:bCs/>
        </w:rPr>
        <w:t xml:space="preserve"> voor het jaar 2016</w:t>
      </w:r>
      <w:r w:rsidRPr="00DD2964">
        <w:rPr>
          <w:b/>
          <w:bCs/>
        </w:rPr>
        <w:t xml:space="preserve"> (slotwet)</w:t>
      </w:r>
    </w:p>
    <w:p w:rsidR="00812CC5" w:rsidRPr="00DD2964" w:rsidRDefault="00812CC5" w:rsidP="00E329DF">
      <w:pPr>
        <w:ind w:left="-426" w:firstLine="426"/>
        <w:rPr>
          <w:b/>
          <w:bCs/>
        </w:rPr>
      </w:pPr>
      <w:r>
        <w:rPr>
          <w:b/>
          <w:bCs/>
        </w:rPr>
        <w:t>Suppletoire begrotingsstaat (slotwet)</w:t>
      </w:r>
    </w:p>
    <w:p w:rsidR="00812CC5" w:rsidRDefault="00812CC5" w:rsidP="00E329DF">
      <w:pPr>
        <w:rPr>
          <w:b/>
        </w:rPr>
      </w:pPr>
      <w:r>
        <w:rPr>
          <w:b/>
        </w:rPr>
        <w:t>Begroting 2016</w:t>
      </w:r>
    </w:p>
    <w:p w:rsidR="00812CC5" w:rsidRDefault="00812CC5" w:rsidP="00E329DF">
      <w:pPr>
        <w:rPr>
          <w:b/>
        </w:rPr>
      </w:pPr>
      <w:r>
        <w:rPr>
          <w:b/>
        </w:rPr>
        <w:t>Nationale Schuld (IXA</w:t>
      </w:r>
      <w:r w:rsidRPr="0019213C">
        <w:rPr>
          <w:b/>
        </w:rPr>
        <w:t>)</w:t>
      </w:r>
    </w:p>
    <w:p w:rsidR="00BE0DA2" w:rsidRPr="00BE0DA2" w:rsidRDefault="00812CC5" w:rsidP="00E329DF">
      <w:pPr>
        <w:rPr>
          <w:b/>
        </w:rPr>
      </w:pPr>
      <w:r>
        <w:rPr>
          <w:b/>
        </w:rPr>
        <w:t>(Bedragen x</w:t>
      </w:r>
      <w:r w:rsidRPr="00857DEB">
        <w:rPr>
          <w:b/>
        </w:rPr>
        <w:t xml:space="preserve"> € 1</w:t>
      </w:r>
      <w:r>
        <w:rPr>
          <w:b/>
        </w:rPr>
        <w:t>.</w:t>
      </w:r>
      <w:r w:rsidRPr="00857DEB">
        <w:rPr>
          <w:b/>
        </w:rPr>
        <w:t>000)</w:t>
      </w:r>
      <w:r w:rsidR="00792695">
        <w:rPr>
          <w:b/>
        </w:rPr>
        <w:br/>
      </w:r>
    </w:p>
    <w:tbl>
      <w:tblPr>
        <w:tblW w:w="14062" w:type="dxa"/>
        <w:tblInd w:w="55" w:type="dxa"/>
        <w:tblCellMar>
          <w:left w:w="70" w:type="dxa"/>
          <w:right w:w="70" w:type="dxa"/>
        </w:tblCellMar>
        <w:tblLook w:val="04A0" w:firstRow="1" w:lastRow="0" w:firstColumn="1" w:lastColumn="0" w:noHBand="0" w:noVBand="1"/>
      </w:tblPr>
      <w:tblGrid>
        <w:gridCol w:w="1080"/>
        <w:gridCol w:w="1802"/>
        <w:gridCol w:w="954"/>
        <w:gridCol w:w="1038"/>
        <w:gridCol w:w="1038"/>
        <w:gridCol w:w="1080"/>
        <w:gridCol w:w="954"/>
        <w:gridCol w:w="1038"/>
        <w:gridCol w:w="1038"/>
        <w:gridCol w:w="1080"/>
        <w:gridCol w:w="873"/>
        <w:gridCol w:w="958"/>
        <w:gridCol w:w="1129"/>
      </w:tblGrid>
      <w:tr w:rsidR="00BE0DA2" w:rsidRPr="00BE0DA2" w:rsidTr="00792695">
        <w:trPr>
          <w:trHeight w:val="225"/>
        </w:trPr>
        <w:tc>
          <w:tcPr>
            <w:tcW w:w="1080" w:type="dxa"/>
            <w:vMerge w:val="restart"/>
            <w:tcBorders>
              <w:top w:val="single" w:sz="8" w:space="0" w:color="auto"/>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r w:rsidRPr="00BE0DA2">
              <w:rPr>
                <w:rFonts w:eastAsia="Times New Roman" w:cs="Times New Roman"/>
                <w:color w:val="000000"/>
                <w:sz w:val="22"/>
                <w:lang w:eastAsia="nl-NL"/>
              </w:rPr>
              <w:t> </w:t>
            </w:r>
          </w:p>
        </w:tc>
        <w:tc>
          <w:tcPr>
            <w:tcW w:w="1802" w:type="dxa"/>
            <w:vMerge w:val="restart"/>
            <w:tcBorders>
              <w:top w:val="single" w:sz="8" w:space="0" w:color="auto"/>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r w:rsidRPr="00BE0DA2">
              <w:rPr>
                <w:rFonts w:eastAsia="Times New Roman" w:cs="Times New Roman"/>
                <w:color w:val="000000"/>
                <w:sz w:val="22"/>
                <w:lang w:eastAsia="nl-NL"/>
              </w:rPr>
              <w:t> </w:t>
            </w:r>
          </w:p>
        </w:tc>
        <w:tc>
          <w:tcPr>
            <w:tcW w:w="3030" w:type="dxa"/>
            <w:gridSpan w:val="3"/>
            <w:tcBorders>
              <w:top w:val="single" w:sz="8" w:space="0" w:color="auto"/>
              <w:left w:val="nil"/>
              <w:bottom w:val="nil"/>
              <w:right w:val="nil"/>
            </w:tcBorders>
            <w:shd w:val="clear" w:color="auto" w:fill="auto"/>
            <w:vAlign w:val="bottom"/>
            <w:hideMark/>
          </w:tcPr>
          <w:p w:rsidR="00BE0DA2" w:rsidRPr="00BE0DA2" w:rsidRDefault="00792695" w:rsidP="00E329DF">
            <w:pPr>
              <w:spacing w:after="0"/>
              <w:rPr>
                <w:rFonts w:eastAsia="Times New Roman" w:cs="Times New Roman"/>
                <w:b/>
                <w:bCs/>
                <w:color w:val="000000"/>
                <w:sz w:val="14"/>
                <w:szCs w:val="14"/>
                <w:lang w:eastAsia="nl-NL"/>
              </w:rPr>
            </w:pPr>
            <w:r>
              <w:rPr>
                <w:rFonts w:eastAsia="Times New Roman" w:cs="Times New Roman"/>
                <w:b/>
                <w:bCs/>
                <w:color w:val="000000"/>
                <w:sz w:val="14"/>
                <w:szCs w:val="14"/>
                <w:lang w:eastAsia="nl-NL"/>
              </w:rPr>
              <w:t>(</w:t>
            </w:r>
            <w:r w:rsidR="00BE0DA2" w:rsidRPr="00BE0DA2">
              <w:rPr>
                <w:rFonts w:eastAsia="Times New Roman" w:cs="Times New Roman"/>
                <w:b/>
                <w:bCs/>
                <w:color w:val="000000"/>
                <w:sz w:val="14"/>
                <w:szCs w:val="14"/>
                <w:lang w:eastAsia="nl-NL"/>
              </w:rPr>
              <w:t>1</w:t>
            </w:r>
            <w:r>
              <w:rPr>
                <w:rFonts w:eastAsia="Times New Roman" w:cs="Times New Roman"/>
                <w:b/>
                <w:bCs/>
                <w:color w:val="000000"/>
                <w:sz w:val="14"/>
                <w:szCs w:val="14"/>
                <w:lang w:eastAsia="nl-NL"/>
              </w:rPr>
              <w:t>)</w:t>
            </w:r>
          </w:p>
        </w:tc>
        <w:tc>
          <w:tcPr>
            <w:tcW w:w="1080" w:type="dxa"/>
            <w:vMerge w:val="restart"/>
            <w:tcBorders>
              <w:top w:val="single" w:sz="8" w:space="0" w:color="auto"/>
              <w:left w:val="nil"/>
              <w:bottom w:val="single" w:sz="8" w:space="0" w:color="000000"/>
              <w:right w:val="nil"/>
            </w:tcBorders>
            <w:shd w:val="clear" w:color="auto" w:fill="auto"/>
            <w:vAlign w:val="bottom"/>
            <w:hideMark/>
          </w:tcPr>
          <w:p w:rsidR="00BE0DA2" w:rsidRPr="00BE0DA2" w:rsidRDefault="00BE0DA2" w:rsidP="00E329DF">
            <w:pPr>
              <w:spacing w:after="0"/>
              <w:rPr>
                <w:rFonts w:eastAsia="Times New Roman" w:cs="Times New Roman"/>
                <w:color w:val="000000"/>
                <w:sz w:val="22"/>
                <w:lang w:eastAsia="nl-NL"/>
              </w:rPr>
            </w:pPr>
            <w:r w:rsidRPr="00BE0DA2">
              <w:rPr>
                <w:rFonts w:eastAsia="Times New Roman" w:cs="Times New Roman"/>
                <w:color w:val="000000"/>
                <w:sz w:val="22"/>
                <w:lang w:eastAsia="nl-NL"/>
              </w:rPr>
              <w:t> </w:t>
            </w:r>
          </w:p>
        </w:tc>
        <w:tc>
          <w:tcPr>
            <w:tcW w:w="3030" w:type="dxa"/>
            <w:gridSpan w:val="3"/>
            <w:tcBorders>
              <w:top w:val="single" w:sz="8" w:space="0" w:color="auto"/>
              <w:left w:val="nil"/>
              <w:bottom w:val="nil"/>
              <w:right w:val="nil"/>
            </w:tcBorders>
            <w:shd w:val="clear" w:color="auto" w:fill="auto"/>
            <w:vAlign w:val="bottom"/>
            <w:hideMark/>
          </w:tcPr>
          <w:p w:rsidR="00BE0DA2" w:rsidRPr="00BE0DA2" w:rsidRDefault="00792695" w:rsidP="00E329DF">
            <w:pPr>
              <w:spacing w:after="0"/>
              <w:rPr>
                <w:rFonts w:eastAsia="Times New Roman" w:cs="Times New Roman"/>
                <w:b/>
                <w:bCs/>
                <w:color w:val="000000"/>
                <w:sz w:val="14"/>
                <w:szCs w:val="14"/>
                <w:lang w:eastAsia="nl-NL"/>
              </w:rPr>
            </w:pPr>
            <w:r>
              <w:rPr>
                <w:rFonts w:eastAsia="Times New Roman" w:cs="Times New Roman"/>
                <w:b/>
                <w:bCs/>
                <w:color w:val="000000"/>
                <w:sz w:val="14"/>
                <w:szCs w:val="14"/>
                <w:lang w:eastAsia="nl-NL"/>
              </w:rPr>
              <w:t>(</w:t>
            </w:r>
            <w:r w:rsidR="00BE0DA2" w:rsidRPr="00BE0DA2">
              <w:rPr>
                <w:rFonts w:eastAsia="Times New Roman" w:cs="Times New Roman"/>
                <w:b/>
                <w:bCs/>
                <w:color w:val="000000"/>
                <w:sz w:val="14"/>
                <w:szCs w:val="14"/>
                <w:lang w:eastAsia="nl-NL"/>
              </w:rPr>
              <w:t>2</w:t>
            </w:r>
            <w:r>
              <w:rPr>
                <w:rFonts w:eastAsia="Times New Roman" w:cs="Times New Roman"/>
                <w:b/>
                <w:bCs/>
                <w:color w:val="000000"/>
                <w:sz w:val="14"/>
                <w:szCs w:val="14"/>
                <w:lang w:eastAsia="nl-NL"/>
              </w:rPr>
              <w:t>)</w:t>
            </w:r>
          </w:p>
        </w:tc>
        <w:tc>
          <w:tcPr>
            <w:tcW w:w="1080" w:type="dxa"/>
            <w:vMerge w:val="restart"/>
            <w:tcBorders>
              <w:top w:val="single" w:sz="8" w:space="0" w:color="auto"/>
              <w:left w:val="nil"/>
              <w:bottom w:val="single" w:sz="8" w:space="0" w:color="000000"/>
              <w:right w:val="nil"/>
            </w:tcBorders>
            <w:shd w:val="clear" w:color="auto" w:fill="auto"/>
            <w:vAlign w:val="bottom"/>
            <w:hideMark/>
          </w:tcPr>
          <w:p w:rsidR="00BE0DA2" w:rsidRPr="00BE0DA2" w:rsidRDefault="00BE0DA2" w:rsidP="00E329DF">
            <w:pPr>
              <w:spacing w:after="0"/>
              <w:rPr>
                <w:rFonts w:eastAsia="Times New Roman" w:cs="Times New Roman"/>
                <w:color w:val="000000"/>
                <w:sz w:val="22"/>
                <w:lang w:eastAsia="nl-NL"/>
              </w:rPr>
            </w:pPr>
            <w:r w:rsidRPr="00BE0DA2">
              <w:rPr>
                <w:rFonts w:eastAsia="Times New Roman" w:cs="Times New Roman"/>
                <w:color w:val="000000"/>
                <w:sz w:val="22"/>
                <w:lang w:eastAsia="nl-NL"/>
              </w:rPr>
              <w:t> </w:t>
            </w:r>
          </w:p>
        </w:tc>
        <w:tc>
          <w:tcPr>
            <w:tcW w:w="2960" w:type="dxa"/>
            <w:gridSpan w:val="3"/>
            <w:tcBorders>
              <w:top w:val="single" w:sz="8" w:space="0" w:color="auto"/>
              <w:left w:val="nil"/>
              <w:bottom w:val="nil"/>
              <w:right w:val="nil"/>
            </w:tcBorders>
            <w:shd w:val="clear" w:color="auto" w:fill="auto"/>
            <w:vAlign w:val="bottom"/>
            <w:hideMark/>
          </w:tcPr>
          <w:p w:rsidR="00BE0DA2" w:rsidRPr="00BE0DA2" w:rsidRDefault="00792695" w:rsidP="00E329DF">
            <w:pPr>
              <w:spacing w:after="0"/>
              <w:rPr>
                <w:rFonts w:eastAsia="Times New Roman" w:cs="Times New Roman"/>
                <w:b/>
                <w:bCs/>
                <w:color w:val="000000"/>
                <w:sz w:val="14"/>
                <w:szCs w:val="14"/>
                <w:lang w:eastAsia="nl-NL"/>
              </w:rPr>
            </w:pPr>
            <w:r>
              <w:rPr>
                <w:rFonts w:eastAsia="Times New Roman" w:cs="Times New Roman"/>
                <w:b/>
                <w:bCs/>
                <w:color w:val="000000"/>
                <w:sz w:val="14"/>
                <w:szCs w:val="14"/>
                <w:lang w:eastAsia="nl-NL"/>
              </w:rPr>
              <w:t>(</w:t>
            </w:r>
            <w:r w:rsidR="00BE0DA2" w:rsidRPr="00BE0DA2">
              <w:rPr>
                <w:rFonts w:eastAsia="Times New Roman" w:cs="Times New Roman"/>
                <w:b/>
                <w:bCs/>
                <w:color w:val="000000"/>
                <w:sz w:val="14"/>
                <w:szCs w:val="14"/>
                <w:lang w:eastAsia="nl-NL"/>
              </w:rPr>
              <w:t>3</w:t>
            </w:r>
            <w:r>
              <w:rPr>
                <w:rFonts w:eastAsia="Times New Roman" w:cs="Times New Roman"/>
                <w:b/>
                <w:bCs/>
                <w:color w:val="000000"/>
                <w:sz w:val="14"/>
                <w:szCs w:val="14"/>
                <w:lang w:eastAsia="nl-NL"/>
              </w:rPr>
              <w:t>)</w:t>
            </w:r>
          </w:p>
        </w:tc>
      </w:tr>
      <w:tr w:rsidR="00BE0DA2" w:rsidRPr="00BE0DA2" w:rsidTr="00792695">
        <w:trPr>
          <w:trHeight w:val="60"/>
        </w:trPr>
        <w:tc>
          <w:tcPr>
            <w:tcW w:w="1080" w:type="dxa"/>
            <w:vMerge/>
            <w:tcBorders>
              <w:top w:val="single" w:sz="8" w:space="0" w:color="auto"/>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1802" w:type="dxa"/>
            <w:vMerge/>
            <w:tcBorders>
              <w:top w:val="single" w:sz="8" w:space="0" w:color="auto"/>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3030" w:type="dxa"/>
            <w:gridSpan w:val="3"/>
            <w:tcBorders>
              <w:top w:val="nil"/>
              <w:left w:val="nil"/>
              <w:bottom w:val="single" w:sz="8" w:space="0" w:color="auto"/>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Oorspronkelijk vastgestelde begroting</w:t>
            </w:r>
          </w:p>
        </w:tc>
        <w:tc>
          <w:tcPr>
            <w:tcW w:w="1080" w:type="dxa"/>
            <w:vMerge/>
            <w:tcBorders>
              <w:top w:val="single" w:sz="8" w:space="0" w:color="auto"/>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3030" w:type="dxa"/>
            <w:gridSpan w:val="3"/>
            <w:tcBorders>
              <w:top w:val="nil"/>
              <w:left w:val="nil"/>
              <w:bottom w:val="single" w:sz="8" w:space="0" w:color="auto"/>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Mutaties (+ of -) 1e suppletoire begroting</w:t>
            </w:r>
          </w:p>
        </w:tc>
        <w:tc>
          <w:tcPr>
            <w:tcW w:w="1080" w:type="dxa"/>
            <w:vMerge/>
            <w:tcBorders>
              <w:top w:val="single" w:sz="8" w:space="0" w:color="auto"/>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2960" w:type="dxa"/>
            <w:gridSpan w:val="3"/>
            <w:tcBorders>
              <w:top w:val="nil"/>
              <w:left w:val="nil"/>
              <w:bottom w:val="single" w:sz="8" w:space="0" w:color="auto"/>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Mutaties (+ of -) 2de suppletoire begroting</w:t>
            </w:r>
          </w:p>
        </w:tc>
      </w:tr>
      <w:tr w:rsidR="00BE0DA2" w:rsidRPr="00BE0DA2" w:rsidTr="00792695">
        <w:trPr>
          <w:trHeight w:val="22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Art</w:t>
            </w: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Omschrijving</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verplich-</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uitgaven</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ontvangsten</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center"/>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verplich-</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uitgaven</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ontvangsten</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center"/>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verplich-</w:t>
            </w: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uitgaven</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ontvangsten</w:t>
            </w:r>
          </w:p>
        </w:tc>
      </w:tr>
      <w:tr w:rsidR="00BE0DA2" w:rsidRPr="00BE0DA2" w:rsidTr="00792695">
        <w:trPr>
          <w:trHeight w:val="110"/>
        </w:trPr>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802"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tingen</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tingen</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873"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tingen</w:t>
            </w:r>
          </w:p>
        </w:tc>
        <w:tc>
          <w:tcPr>
            <w:tcW w:w="95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129"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TOTAAL</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37.429.420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43.891.051</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3.915.170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6.400.963</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2.615.427</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 1.731.103</w:t>
            </w: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11</w:t>
            </w: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Financiering staatsschuld</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36.227.971</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36.227.971</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38.503.000</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3.556.000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3.556.000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4.581.000</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2.642.591</w:t>
            </w: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2.642.591</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4.379.000</w:t>
            </w: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12</w:t>
            </w: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Kasbeheer</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1.201.449</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1.201.449</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5.388.051</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359.170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359.170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1.819.963</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27.164</w:t>
            </w: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27.164</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2.647.897</w:t>
            </w:r>
          </w:p>
        </w:tc>
      </w:tr>
      <w:tr w:rsidR="00BE0DA2" w:rsidRPr="00BE0DA2" w:rsidTr="00792695">
        <w:trPr>
          <w:trHeight w:val="240"/>
        </w:trPr>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802"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873"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129"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r>
      <w:tr w:rsidR="00BE0DA2" w:rsidRPr="00BE0DA2" w:rsidTr="00792695">
        <w:trPr>
          <w:trHeight w:val="240"/>
        </w:trPr>
        <w:tc>
          <w:tcPr>
            <w:tcW w:w="1080"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802"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873"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8"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129"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r>
      <w:tr w:rsidR="00BE0DA2" w:rsidRPr="00BE0DA2" w:rsidTr="00792695">
        <w:trPr>
          <w:trHeight w:val="225"/>
        </w:trPr>
        <w:tc>
          <w:tcPr>
            <w:tcW w:w="1080" w:type="dxa"/>
            <w:vMerge w:val="restart"/>
            <w:tcBorders>
              <w:top w:val="nil"/>
              <w:left w:val="nil"/>
              <w:bottom w:val="single" w:sz="8" w:space="0" w:color="000000"/>
              <w:right w:val="nil"/>
            </w:tcBorders>
            <w:shd w:val="clear" w:color="auto" w:fill="auto"/>
            <w:noWrap/>
            <w:vAlign w:val="bottom"/>
            <w:hideMark/>
          </w:tcPr>
          <w:p w:rsidR="00BE0DA2" w:rsidRPr="00BE0DA2" w:rsidRDefault="00792695" w:rsidP="00E329DF">
            <w:pPr>
              <w:spacing w:after="0"/>
              <w:rPr>
                <w:rFonts w:eastAsia="Times New Roman" w:cs="Times New Roman"/>
                <w:color w:val="000000"/>
                <w:sz w:val="22"/>
                <w:lang w:eastAsia="nl-NL"/>
              </w:rPr>
            </w:pPr>
            <w:r>
              <w:rPr>
                <w:rFonts w:eastAsia="Times New Roman" w:cs="Times New Roman"/>
                <w:color w:val="000000"/>
                <w:sz w:val="22"/>
                <w:lang w:eastAsia="nl-NL"/>
              </w:rPr>
              <w:t xml:space="preserve"> </w:t>
            </w:r>
            <w:r w:rsidR="00BE0DA2" w:rsidRPr="00BE0DA2">
              <w:rPr>
                <w:rFonts w:eastAsia="Times New Roman" w:cs="Times New Roman"/>
                <w:color w:val="000000"/>
                <w:sz w:val="22"/>
                <w:lang w:eastAsia="nl-NL"/>
              </w:rPr>
              <w:t> </w:t>
            </w:r>
          </w:p>
        </w:tc>
        <w:tc>
          <w:tcPr>
            <w:tcW w:w="1802" w:type="dxa"/>
            <w:vMerge w:val="restart"/>
            <w:tcBorders>
              <w:top w:val="nil"/>
              <w:left w:val="nil"/>
              <w:bottom w:val="single" w:sz="8" w:space="0" w:color="000000"/>
              <w:right w:val="nil"/>
            </w:tcBorders>
            <w:shd w:val="clear" w:color="auto" w:fill="auto"/>
            <w:noWrap/>
            <w:vAlign w:val="bottom"/>
            <w:hideMark/>
          </w:tcPr>
          <w:p w:rsidR="00BE0DA2" w:rsidRPr="00BE0DA2" w:rsidRDefault="00792695" w:rsidP="00E329DF">
            <w:pPr>
              <w:spacing w:after="0"/>
              <w:rPr>
                <w:rFonts w:eastAsia="Times New Roman" w:cs="Times New Roman"/>
                <w:color w:val="000000"/>
                <w:sz w:val="22"/>
                <w:lang w:eastAsia="nl-NL"/>
              </w:rPr>
            </w:pPr>
            <w:r>
              <w:rPr>
                <w:rFonts w:eastAsia="Times New Roman" w:cs="Times New Roman"/>
                <w:color w:val="000000"/>
                <w:sz w:val="22"/>
                <w:lang w:eastAsia="nl-NL"/>
              </w:rPr>
              <w:t xml:space="preserve"> </w:t>
            </w:r>
          </w:p>
        </w:tc>
        <w:tc>
          <w:tcPr>
            <w:tcW w:w="3030" w:type="dxa"/>
            <w:gridSpan w:val="3"/>
            <w:tcBorders>
              <w:top w:val="single" w:sz="8" w:space="0" w:color="auto"/>
              <w:left w:val="nil"/>
              <w:bottom w:val="nil"/>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 xml:space="preserve">(4)=(1)+(2)+(3) </w:t>
            </w:r>
          </w:p>
        </w:tc>
        <w:tc>
          <w:tcPr>
            <w:tcW w:w="1080" w:type="dxa"/>
            <w:vMerge w:val="restart"/>
            <w:tcBorders>
              <w:top w:val="nil"/>
              <w:left w:val="nil"/>
              <w:bottom w:val="single" w:sz="8" w:space="0" w:color="000000"/>
              <w:right w:val="nil"/>
            </w:tcBorders>
            <w:shd w:val="clear" w:color="auto" w:fill="auto"/>
            <w:vAlign w:val="bottom"/>
            <w:hideMark/>
          </w:tcPr>
          <w:p w:rsidR="00BE0DA2" w:rsidRPr="00BE0DA2" w:rsidRDefault="00BE0DA2" w:rsidP="00E329DF">
            <w:pPr>
              <w:spacing w:after="0"/>
              <w:rPr>
                <w:rFonts w:eastAsia="Times New Roman" w:cs="Times New Roman"/>
                <w:color w:val="000000"/>
                <w:sz w:val="22"/>
                <w:lang w:eastAsia="nl-NL"/>
              </w:rPr>
            </w:pPr>
            <w:r w:rsidRPr="00BE0DA2">
              <w:rPr>
                <w:rFonts w:eastAsia="Times New Roman" w:cs="Times New Roman"/>
                <w:color w:val="000000"/>
                <w:sz w:val="22"/>
                <w:lang w:eastAsia="nl-NL"/>
              </w:rPr>
              <w:t> </w:t>
            </w:r>
          </w:p>
        </w:tc>
        <w:tc>
          <w:tcPr>
            <w:tcW w:w="3030" w:type="dxa"/>
            <w:gridSpan w:val="3"/>
            <w:tcBorders>
              <w:top w:val="single" w:sz="8" w:space="0" w:color="auto"/>
              <w:left w:val="nil"/>
              <w:bottom w:val="nil"/>
              <w:right w:val="nil"/>
            </w:tcBorders>
            <w:shd w:val="clear" w:color="auto" w:fill="auto"/>
            <w:vAlign w:val="bottom"/>
            <w:hideMark/>
          </w:tcPr>
          <w:p w:rsidR="00BE0DA2" w:rsidRPr="00BE0DA2" w:rsidRDefault="00792695" w:rsidP="00E329DF">
            <w:pPr>
              <w:spacing w:after="0"/>
              <w:rPr>
                <w:rFonts w:eastAsia="Times New Roman" w:cs="Times New Roman"/>
                <w:b/>
                <w:bCs/>
                <w:color w:val="000000"/>
                <w:sz w:val="14"/>
                <w:szCs w:val="14"/>
                <w:lang w:eastAsia="nl-NL"/>
              </w:rPr>
            </w:pPr>
            <w:r>
              <w:rPr>
                <w:rFonts w:eastAsia="Times New Roman" w:cs="Times New Roman"/>
                <w:b/>
                <w:bCs/>
                <w:color w:val="000000"/>
                <w:sz w:val="14"/>
                <w:szCs w:val="14"/>
                <w:lang w:eastAsia="nl-NL"/>
              </w:rPr>
              <w:t>(</w:t>
            </w:r>
            <w:r w:rsidR="00BE0DA2" w:rsidRPr="00BE0DA2">
              <w:rPr>
                <w:rFonts w:eastAsia="Times New Roman" w:cs="Times New Roman"/>
                <w:b/>
                <w:bCs/>
                <w:color w:val="000000"/>
                <w:sz w:val="14"/>
                <w:szCs w:val="14"/>
                <w:lang w:eastAsia="nl-NL"/>
              </w:rPr>
              <w:t>5</w:t>
            </w:r>
            <w:r>
              <w:rPr>
                <w:rFonts w:eastAsia="Times New Roman" w:cs="Times New Roman"/>
                <w:b/>
                <w:bCs/>
                <w:color w:val="000000"/>
                <w:sz w:val="14"/>
                <w:szCs w:val="14"/>
                <w:lang w:eastAsia="nl-NL"/>
              </w:rPr>
              <w:t>)</w:t>
            </w:r>
          </w:p>
        </w:tc>
        <w:tc>
          <w:tcPr>
            <w:tcW w:w="1080" w:type="dxa"/>
            <w:vMerge w:val="restart"/>
            <w:tcBorders>
              <w:top w:val="nil"/>
              <w:left w:val="nil"/>
              <w:bottom w:val="single" w:sz="8" w:space="0" w:color="000000"/>
              <w:right w:val="nil"/>
            </w:tcBorders>
            <w:shd w:val="clear" w:color="auto" w:fill="auto"/>
            <w:vAlign w:val="bottom"/>
            <w:hideMark/>
          </w:tcPr>
          <w:p w:rsidR="00BE0DA2" w:rsidRPr="00BE0DA2" w:rsidRDefault="00BE0DA2" w:rsidP="00E329DF">
            <w:pPr>
              <w:spacing w:after="0"/>
              <w:rPr>
                <w:rFonts w:eastAsia="Times New Roman" w:cs="Times New Roman"/>
                <w:color w:val="000000"/>
                <w:sz w:val="22"/>
                <w:lang w:eastAsia="nl-NL"/>
              </w:rPr>
            </w:pPr>
            <w:r w:rsidRPr="00BE0DA2">
              <w:rPr>
                <w:rFonts w:eastAsia="Times New Roman" w:cs="Times New Roman"/>
                <w:color w:val="000000"/>
                <w:sz w:val="22"/>
                <w:lang w:eastAsia="nl-NL"/>
              </w:rPr>
              <w:t> </w:t>
            </w:r>
          </w:p>
        </w:tc>
        <w:tc>
          <w:tcPr>
            <w:tcW w:w="2960" w:type="dxa"/>
            <w:gridSpan w:val="3"/>
            <w:tcBorders>
              <w:top w:val="single" w:sz="8" w:space="0" w:color="auto"/>
              <w:left w:val="nil"/>
              <w:bottom w:val="nil"/>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 xml:space="preserve">(6)=(5)-(4) </w:t>
            </w:r>
          </w:p>
        </w:tc>
      </w:tr>
      <w:tr w:rsidR="00BE0DA2" w:rsidRPr="00BE0DA2" w:rsidTr="00792695">
        <w:trPr>
          <w:trHeight w:val="240"/>
        </w:trPr>
        <w:tc>
          <w:tcPr>
            <w:tcW w:w="1080" w:type="dxa"/>
            <w:vMerge/>
            <w:tcBorders>
              <w:top w:val="nil"/>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1802" w:type="dxa"/>
            <w:vMerge/>
            <w:tcBorders>
              <w:top w:val="nil"/>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3030" w:type="dxa"/>
            <w:gridSpan w:val="3"/>
            <w:tcBorders>
              <w:top w:val="nil"/>
              <w:left w:val="nil"/>
              <w:bottom w:val="single" w:sz="8" w:space="0" w:color="auto"/>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Totaal geraamd</w:t>
            </w:r>
          </w:p>
        </w:tc>
        <w:tc>
          <w:tcPr>
            <w:tcW w:w="1080" w:type="dxa"/>
            <w:vMerge/>
            <w:tcBorders>
              <w:top w:val="nil"/>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3030" w:type="dxa"/>
            <w:gridSpan w:val="3"/>
            <w:tcBorders>
              <w:top w:val="nil"/>
              <w:left w:val="nil"/>
              <w:bottom w:val="single" w:sz="8" w:space="0" w:color="auto"/>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 xml:space="preserve">Realisatie </w:t>
            </w:r>
          </w:p>
        </w:tc>
        <w:tc>
          <w:tcPr>
            <w:tcW w:w="1080" w:type="dxa"/>
            <w:vMerge/>
            <w:tcBorders>
              <w:top w:val="nil"/>
              <w:left w:val="nil"/>
              <w:bottom w:val="single" w:sz="8" w:space="0" w:color="000000"/>
              <w:right w:val="nil"/>
            </w:tcBorders>
            <w:vAlign w:val="center"/>
            <w:hideMark/>
          </w:tcPr>
          <w:p w:rsidR="00BE0DA2" w:rsidRPr="00BE0DA2" w:rsidRDefault="00BE0DA2" w:rsidP="00E329DF">
            <w:pPr>
              <w:spacing w:after="0"/>
              <w:rPr>
                <w:rFonts w:eastAsia="Times New Roman" w:cs="Times New Roman"/>
                <w:color w:val="000000"/>
                <w:sz w:val="22"/>
                <w:lang w:eastAsia="nl-NL"/>
              </w:rPr>
            </w:pPr>
          </w:p>
        </w:tc>
        <w:tc>
          <w:tcPr>
            <w:tcW w:w="2960" w:type="dxa"/>
            <w:gridSpan w:val="3"/>
            <w:tcBorders>
              <w:top w:val="nil"/>
              <w:left w:val="nil"/>
              <w:bottom w:val="single" w:sz="8" w:space="0" w:color="auto"/>
              <w:right w:val="nil"/>
            </w:tcBorders>
            <w:shd w:val="clear" w:color="auto" w:fill="auto"/>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Slotwetmutaties (+ of -)</w:t>
            </w:r>
          </w:p>
        </w:tc>
      </w:tr>
      <w:tr w:rsidR="00BE0DA2" w:rsidRPr="00BE0DA2" w:rsidTr="00792695">
        <w:trPr>
          <w:trHeight w:val="22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Art</w:t>
            </w: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Omschrijving</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verplich-</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uitgaven</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ontvangsten</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center"/>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verplich-</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uitgaven</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ontvangsten</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center"/>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verplich-</w:t>
            </w: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uitgaven</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ontvangsten</w:t>
            </w:r>
          </w:p>
        </w:tc>
      </w:tr>
      <w:tr w:rsidR="00BE0DA2" w:rsidRPr="00BE0DA2" w:rsidTr="00792695">
        <w:trPr>
          <w:trHeight w:val="155"/>
        </w:trPr>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802"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tingen</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tingen</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873"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tingen</w:t>
            </w:r>
          </w:p>
        </w:tc>
        <w:tc>
          <w:tcPr>
            <w:tcW w:w="95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xml:space="preserve"> </w:t>
            </w:r>
          </w:p>
        </w:tc>
        <w:tc>
          <w:tcPr>
            <w:tcW w:w="1129"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TOTAAL</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43.960.017</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48.560.911</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45.348.898</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49.308.158</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1.388.881</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b/>
                <w:bCs/>
                <w:color w:val="000000"/>
                <w:sz w:val="14"/>
                <w:szCs w:val="14"/>
                <w:lang w:eastAsia="nl-NL"/>
              </w:rPr>
            </w:pPr>
            <w:r w:rsidRPr="00BE0DA2">
              <w:rPr>
                <w:rFonts w:eastAsia="Times New Roman" w:cs="Times New Roman"/>
                <w:b/>
                <w:bCs/>
                <w:color w:val="000000"/>
                <w:sz w:val="14"/>
                <w:szCs w:val="14"/>
                <w:lang w:eastAsia="nl-NL"/>
              </w:rPr>
              <w:t>747.247</w:t>
            </w: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11</w:t>
            </w: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Financiering staatsschuld</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42.426.562</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42.426.562</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38.705.000</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43.840.168</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43.840.168</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40.651.147</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1.413.606</w:t>
            </w: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1.413.606</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1.946.147</w:t>
            </w:r>
          </w:p>
        </w:tc>
      </w:tr>
      <w:tr w:rsidR="00BE0DA2" w:rsidRPr="00BE0DA2" w:rsidTr="00792695">
        <w:trPr>
          <w:trHeight w:val="285"/>
        </w:trPr>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12</w:t>
            </w:r>
          </w:p>
        </w:tc>
        <w:tc>
          <w:tcPr>
            <w:tcW w:w="1802"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Kasbeheer</w:t>
            </w: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1.533.455</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1.533.455</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9.855.911</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954"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1.508.730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1.508.730</w:t>
            </w:r>
          </w:p>
        </w:tc>
        <w:tc>
          <w:tcPr>
            <w:tcW w:w="103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8.657.011</w:t>
            </w:r>
          </w:p>
        </w:tc>
        <w:tc>
          <w:tcPr>
            <w:tcW w:w="1080" w:type="dxa"/>
            <w:tcBorders>
              <w:top w:val="nil"/>
              <w:left w:val="nil"/>
              <w:bottom w:val="nil"/>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22"/>
                <w:lang w:eastAsia="nl-NL"/>
              </w:rPr>
            </w:pPr>
          </w:p>
        </w:tc>
        <w:tc>
          <w:tcPr>
            <w:tcW w:w="873"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-24.725</w:t>
            </w:r>
          </w:p>
        </w:tc>
        <w:tc>
          <w:tcPr>
            <w:tcW w:w="958"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-24.725</w:t>
            </w:r>
          </w:p>
        </w:tc>
        <w:tc>
          <w:tcPr>
            <w:tcW w:w="1129" w:type="dxa"/>
            <w:tcBorders>
              <w:top w:val="nil"/>
              <w:left w:val="nil"/>
              <w:bottom w:val="nil"/>
              <w:right w:val="nil"/>
            </w:tcBorders>
            <w:shd w:val="clear" w:color="auto" w:fill="auto"/>
            <w:noWrap/>
            <w:vAlign w:val="bottom"/>
            <w:hideMark/>
          </w:tcPr>
          <w:p w:rsidR="00BE0DA2" w:rsidRPr="00BE0DA2" w:rsidRDefault="00BE0DA2" w:rsidP="00E329DF">
            <w:pPr>
              <w:spacing w:after="0"/>
              <w:jc w:val="right"/>
              <w:rPr>
                <w:rFonts w:eastAsia="Times New Roman" w:cs="Times New Roman"/>
                <w:color w:val="000000"/>
                <w:sz w:val="14"/>
                <w:szCs w:val="14"/>
                <w:lang w:eastAsia="nl-NL"/>
              </w:rPr>
            </w:pPr>
            <w:r w:rsidRPr="00BE0DA2">
              <w:rPr>
                <w:rFonts w:eastAsia="Times New Roman" w:cs="Times New Roman"/>
                <w:color w:val="000000"/>
                <w:sz w:val="14"/>
                <w:szCs w:val="14"/>
                <w:lang w:eastAsia="nl-NL"/>
              </w:rPr>
              <w:t>-1.198.900</w:t>
            </w:r>
          </w:p>
        </w:tc>
      </w:tr>
      <w:tr w:rsidR="00BE0DA2" w:rsidRPr="00BE0DA2" w:rsidTr="00792695">
        <w:trPr>
          <w:trHeight w:val="240"/>
        </w:trPr>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p>
        </w:tc>
        <w:tc>
          <w:tcPr>
            <w:tcW w:w="1802"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4"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3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080"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873"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958" w:type="dxa"/>
            <w:tcBorders>
              <w:top w:val="nil"/>
              <w:left w:val="nil"/>
              <w:bottom w:val="single" w:sz="8" w:space="0" w:color="000000"/>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c>
          <w:tcPr>
            <w:tcW w:w="1129" w:type="dxa"/>
            <w:tcBorders>
              <w:top w:val="nil"/>
              <w:left w:val="nil"/>
              <w:bottom w:val="single" w:sz="8" w:space="0" w:color="auto"/>
              <w:right w:val="nil"/>
            </w:tcBorders>
            <w:shd w:val="clear" w:color="auto" w:fill="auto"/>
            <w:noWrap/>
            <w:vAlign w:val="bottom"/>
            <w:hideMark/>
          </w:tcPr>
          <w:p w:rsidR="00BE0DA2" w:rsidRPr="00BE0DA2" w:rsidRDefault="00BE0DA2" w:rsidP="00E329DF">
            <w:pPr>
              <w:spacing w:after="0"/>
              <w:rPr>
                <w:rFonts w:eastAsia="Times New Roman" w:cs="Times New Roman"/>
                <w:color w:val="000000"/>
                <w:sz w:val="14"/>
                <w:szCs w:val="14"/>
                <w:lang w:eastAsia="nl-NL"/>
              </w:rPr>
            </w:pPr>
            <w:r w:rsidRPr="00BE0DA2">
              <w:rPr>
                <w:rFonts w:eastAsia="Times New Roman" w:cs="Times New Roman"/>
                <w:color w:val="000000"/>
                <w:sz w:val="14"/>
                <w:szCs w:val="14"/>
                <w:lang w:eastAsia="nl-NL"/>
              </w:rPr>
              <w:t> </w:t>
            </w:r>
          </w:p>
        </w:tc>
      </w:tr>
    </w:tbl>
    <w:p w:rsidR="00812CC5" w:rsidRDefault="00812CC5" w:rsidP="00E329DF">
      <w:pPr>
        <w:rPr>
          <w:rFonts w:asciiTheme="majorHAnsi" w:hAnsiTheme="majorHAnsi"/>
          <w:b/>
          <w:bCs/>
          <w:sz w:val="24"/>
          <w:szCs w:val="24"/>
        </w:rPr>
        <w:sectPr w:rsidR="00812CC5" w:rsidSect="00812CC5">
          <w:pgSz w:w="16838" w:h="11906" w:orient="landscape"/>
          <w:pgMar w:top="1418" w:right="1418" w:bottom="1418" w:left="1418" w:header="709" w:footer="709" w:gutter="0"/>
          <w:cols w:space="708"/>
          <w:docGrid w:linePitch="360"/>
        </w:sectPr>
      </w:pPr>
    </w:p>
    <w:p w:rsidR="007C712D" w:rsidRPr="007C712D" w:rsidRDefault="007C712D" w:rsidP="003443C0">
      <w:pPr>
        <w:rPr>
          <w:rFonts w:eastAsia="Times New Roman" w:cs="Times New Roman"/>
          <w:color w:val="000000"/>
          <w:sz w:val="14"/>
          <w:szCs w:val="14"/>
          <w:lang w:eastAsia="nl-NL"/>
        </w:rPr>
      </w:pPr>
    </w:p>
    <w:sectPr w:rsidR="007C712D" w:rsidRPr="007C712D" w:rsidSect="00812CC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EF" w:rsidRDefault="002D08EF" w:rsidP="00BE0DA2">
      <w:pPr>
        <w:spacing w:after="0" w:line="240" w:lineRule="auto"/>
      </w:pPr>
      <w:r>
        <w:separator/>
      </w:r>
    </w:p>
  </w:endnote>
  <w:endnote w:type="continuationSeparator" w:id="0">
    <w:p w:rsidR="002D08EF" w:rsidRDefault="002D08EF" w:rsidP="00BE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EF" w:rsidRDefault="002D08EF" w:rsidP="00BE0DA2">
      <w:pPr>
        <w:spacing w:after="0" w:line="240" w:lineRule="auto"/>
      </w:pPr>
      <w:r>
        <w:separator/>
      </w:r>
    </w:p>
  </w:footnote>
  <w:footnote w:type="continuationSeparator" w:id="0">
    <w:p w:rsidR="002D08EF" w:rsidRDefault="002D08EF" w:rsidP="00BE0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356"/>
    <w:multiLevelType w:val="multilevel"/>
    <w:tmpl w:val="D4FC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68"/>
    <w:rsid w:val="000032A1"/>
    <w:rsid w:val="000210E8"/>
    <w:rsid w:val="000241F1"/>
    <w:rsid w:val="000531F3"/>
    <w:rsid w:val="00060409"/>
    <w:rsid w:val="0006779E"/>
    <w:rsid w:val="00083363"/>
    <w:rsid w:val="000D6FCA"/>
    <w:rsid w:val="000E268A"/>
    <w:rsid w:val="00125D29"/>
    <w:rsid w:val="001553C2"/>
    <w:rsid w:val="0016532F"/>
    <w:rsid w:val="001718FB"/>
    <w:rsid w:val="001963E1"/>
    <w:rsid w:val="001B016C"/>
    <w:rsid w:val="002115B9"/>
    <w:rsid w:val="00271C32"/>
    <w:rsid w:val="002A4D76"/>
    <w:rsid w:val="002D08EF"/>
    <w:rsid w:val="002E6EEE"/>
    <w:rsid w:val="00343AB2"/>
    <w:rsid w:val="003443C0"/>
    <w:rsid w:val="003A748A"/>
    <w:rsid w:val="003B2613"/>
    <w:rsid w:val="003C3AF2"/>
    <w:rsid w:val="003E6F14"/>
    <w:rsid w:val="0041392D"/>
    <w:rsid w:val="00494C1A"/>
    <w:rsid w:val="004A09FB"/>
    <w:rsid w:val="004A34D1"/>
    <w:rsid w:val="004E0140"/>
    <w:rsid w:val="005303D8"/>
    <w:rsid w:val="00597FF1"/>
    <w:rsid w:val="005C7AFD"/>
    <w:rsid w:val="006076A0"/>
    <w:rsid w:val="00634468"/>
    <w:rsid w:val="006418FD"/>
    <w:rsid w:val="006B5866"/>
    <w:rsid w:val="006C4C0A"/>
    <w:rsid w:val="006D4AA9"/>
    <w:rsid w:val="00713210"/>
    <w:rsid w:val="00732034"/>
    <w:rsid w:val="00734CBF"/>
    <w:rsid w:val="00756389"/>
    <w:rsid w:val="00792695"/>
    <w:rsid w:val="007B0693"/>
    <w:rsid w:val="007C712D"/>
    <w:rsid w:val="007D449F"/>
    <w:rsid w:val="007D7E17"/>
    <w:rsid w:val="008074FC"/>
    <w:rsid w:val="00812CC5"/>
    <w:rsid w:val="00905545"/>
    <w:rsid w:val="00931BF4"/>
    <w:rsid w:val="009602AB"/>
    <w:rsid w:val="009678D3"/>
    <w:rsid w:val="00981819"/>
    <w:rsid w:val="009929FC"/>
    <w:rsid w:val="009A10F5"/>
    <w:rsid w:val="009C2FD0"/>
    <w:rsid w:val="00A05B02"/>
    <w:rsid w:val="00A0649A"/>
    <w:rsid w:val="00A114A3"/>
    <w:rsid w:val="00A17C6E"/>
    <w:rsid w:val="00A827AC"/>
    <w:rsid w:val="00AC12BA"/>
    <w:rsid w:val="00B56292"/>
    <w:rsid w:val="00BB18C6"/>
    <w:rsid w:val="00BC2003"/>
    <w:rsid w:val="00BC40D4"/>
    <w:rsid w:val="00BE0DA2"/>
    <w:rsid w:val="00BF4543"/>
    <w:rsid w:val="00BF46DA"/>
    <w:rsid w:val="00C014CB"/>
    <w:rsid w:val="00C23E85"/>
    <w:rsid w:val="00C25ECB"/>
    <w:rsid w:val="00C678BF"/>
    <w:rsid w:val="00CA1D28"/>
    <w:rsid w:val="00CA1FA8"/>
    <w:rsid w:val="00CA73EE"/>
    <w:rsid w:val="00CD39EC"/>
    <w:rsid w:val="00D45FDE"/>
    <w:rsid w:val="00D55005"/>
    <w:rsid w:val="00D70082"/>
    <w:rsid w:val="00D83BA3"/>
    <w:rsid w:val="00DB52E3"/>
    <w:rsid w:val="00DC255B"/>
    <w:rsid w:val="00DD0279"/>
    <w:rsid w:val="00E329DF"/>
    <w:rsid w:val="00E40A11"/>
    <w:rsid w:val="00E50879"/>
    <w:rsid w:val="00E631D4"/>
    <w:rsid w:val="00EB6C68"/>
    <w:rsid w:val="00ED45C4"/>
    <w:rsid w:val="00EF00DC"/>
    <w:rsid w:val="00EF1278"/>
    <w:rsid w:val="00F032BF"/>
    <w:rsid w:val="00F1035F"/>
    <w:rsid w:val="00F22CDC"/>
    <w:rsid w:val="00F26D66"/>
    <w:rsid w:val="00F33E88"/>
    <w:rsid w:val="00F47F0B"/>
    <w:rsid w:val="00F52560"/>
    <w:rsid w:val="00FA0164"/>
    <w:rsid w:val="00FA14FD"/>
    <w:rsid w:val="00FB1EDE"/>
    <w:rsid w:val="00FB4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6C68"/>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EB6C6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B6C6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812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B6C6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B6C68"/>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EB6C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B6C68"/>
    <w:rPr>
      <w:i/>
      <w:iCs/>
    </w:rPr>
  </w:style>
  <w:style w:type="character" w:customStyle="1" w:styleId="Kop4Char">
    <w:name w:val="Kop 4 Char"/>
    <w:basedOn w:val="Standaardalinea-lettertype"/>
    <w:link w:val="Kop4"/>
    <w:uiPriority w:val="9"/>
    <w:rsid w:val="00812CC5"/>
    <w:rPr>
      <w:rFonts w:asciiTheme="majorHAnsi" w:eastAsiaTheme="majorEastAsia" w:hAnsiTheme="majorHAnsi" w:cstheme="majorBidi"/>
      <w:b/>
      <w:bCs/>
      <w:i/>
      <w:iCs/>
      <w:color w:val="4F81BD" w:themeColor="accent1"/>
      <w:sz w:val="18"/>
    </w:rPr>
  </w:style>
  <w:style w:type="character" w:styleId="Verwijzingopmerking">
    <w:name w:val="annotation reference"/>
    <w:basedOn w:val="Standaardalinea-lettertype"/>
    <w:uiPriority w:val="99"/>
    <w:semiHidden/>
    <w:unhideWhenUsed/>
    <w:rsid w:val="00D70082"/>
    <w:rPr>
      <w:sz w:val="16"/>
      <w:szCs w:val="16"/>
    </w:rPr>
  </w:style>
  <w:style w:type="paragraph" w:styleId="Tekstopmerking">
    <w:name w:val="annotation text"/>
    <w:basedOn w:val="Standaard"/>
    <w:link w:val="TekstopmerkingChar"/>
    <w:uiPriority w:val="99"/>
    <w:semiHidden/>
    <w:unhideWhenUsed/>
    <w:rsid w:val="00D700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008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0082"/>
    <w:rPr>
      <w:b/>
      <w:bCs/>
    </w:rPr>
  </w:style>
  <w:style w:type="character" w:customStyle="1" w:styleId="OnderwerpvanopmerkingChar">
    <w:name w:val="Onderwerp van opmerking Char"/>
    <w:basedOn w:val="TekstopmerkingChar"/>
    <w:link w:val="Onderwerpvanopmerking"/>
    <w:uiPriority w:val="99"/>
    <w:semiHidden/>
    <w:rsid w:val="00D70082"/>
    <w:rPr>
      <w:rFonts w:ascii="Verdana" w:hAnsi="Verdana"/>
      <w:b/>
      <w:bCs/>
      <w:sz w:val="20"/>
      <w:szCs w:val="20"/>
    </w:rPr>
  </w:style>
  <w:style w:type="paragraph" w:styleId="Ballontekst">
    <w:name w:val="Balloon Text"/>
    <w:basedOn w:val="Standaard"/>
    <w:link w:val="BallontekstChar"/>
    <w:uiPriority w:val="99"/>
    <w:semiHidden/>
    <w:unhideWhenUsed/>
    <w:rsid w:val="00D700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082"/>
    <w:rPr>
      <w:rFonts w:ascii="Tahoma" w:hAnsi="Tahoma" w:cs="Tahoma"/>
      <w:sz w:val="16"/>
      <w:szCs w:val="16"/>
    </w:rPr>
  </w:style>
  <w:style w:type="paragraph" w:styleId="Koptekst">
    <w:name w:val="header"/>
    <w:basedOn w:val="Standaard"/>
    <w:link w:val="KoptekstChar"/>
    <w:uiPriority w:val="99"/>
    <w:semiHidden/>
    <w:unhideWhenUsed/>
    <w:rsid w:val="00BE0DA2"/>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BE0DA2"/>
    <w:rPr>
      <w:rFonts w:ascii="Verdana" w:hAnsi="Verdana"/>
      <w:sz w:val="18"/>
    </w:rPr>
  </w:style>
  <w:style w:type="paragraph" w:styleId="Voettekst">
    <w:name w:val="footer"/>
    <w:basedOn w:val="Standaard"/>
    <w:link w:val="VoettekstChar"/>
    <w:uiPriority w:val="99"/>
    <w:semiHidden/>
    <w:unhideWhenUsed/>
    <w:rsid w:val="00BE0DA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BE0DA2"/>
    <w:rPr>
      <w:rFonts w:ascii="Verdana" w:hAnsi="Verdana"/>
      <w:sz w:val="18"/>
    </w:rPr>
  </w:style>
  <w:style w:type="paragraph" w:customStyle="1" w:styleId="consideransal">
    <w:name w:val="considerans.al"/>
    <w:basedOn w:val="Standaard"/>
    <w:rsid w:val="00E631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6C68"/>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EB6C6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B6C6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812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B6C6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B6C68"/>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EB6C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B6C68"/>
    <w:rPr>
      <w:i/>
      <w:iCs/>
    </w:rPr>
  </w:style>
  <w:style w:type="character" w:customStyle="1" w:styleId="Kop4Char">
    <w:name w:val="Kop 4 Char"/>
    <w:basedOn w:val="Standaardalinea-lettertype"/>
    <w:link w:val="Kop4"/>
    <w:uiPriority w:val="9"/>
    <w:rsid w:val="00812CC5"/>
    <w:rPr>
      <w:rFonts w:asciiTheme="majorHAnsi" w:eastAsiaTheme="majorEastAsia" w:hAnsiTheme="majorHAnsi" w:cstheme="majorBidi"/>
      <w:b/>
      <w:bCs/>
      <w:i/>
      <w:iCs/>
      <w:color w:val="4F81BD" w:themeColor="accent1"/>
      <w:sz w:val="18"/>
    </w:rPr>
  </w:style>
  <w:style w:type="character" w:styleId="Verwijzingopmerking">
    <w:name w:val="annotation reference"/>
    <w:basedOn w:val="Standaardalinea-lettertype"/>
    <w:uiPriority w:val="99"/>
    <w:semiHidden/>
    <w:unhideWhenUsed/>
    <w:rsid w:val="00D70082"/>
    <w:rPr>
      <w:sz w:val="16"/>
      <w:szCs w:val="16"/>
    </w:rPr>
  </w:style>
  <w:style w:type="paragraph" w:styleId="Tekstopmerking">
    <w:name w:val="annotation text"/>
    <w:basedOn w:val="Standaard"/>
    <w:link w:val="TekstopmerkingChar"/>
    <w:uiPriority w:val="99"/>
    <w:semiHidden/>
    <w:unhideWhenUsed/>
    <w:rsid w:val="00D700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008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0082"/>
    <w:rPr>
      <w:b/>
      <w:bCs/>
    </w:rPr>
  </w:style>
  <w:style w:type="character" w:customStyle="1" w:styleId="OnderwerpvanopmerkingChar">
    <w:name w:val="Onderwerp van opmerking Char"/>
    <w:basedOn w:val="TekstopmerkingChar"/>
    <w:link w:val="Onderwerpvanopmerking"/>
    <w:uiPriority w:val="99"/>
    <w:semiHidden/>
    <w:rsid w:val="00D70082"/>
    <w:rPr>
      <w:rFonts w:ascii="Verdana" w:hAnsi="Verdana"/>
      <w:b/>
      <w:bCs/>
      <w:sz w:val="20"/>
      <w:szCs w:val="20"/>
    </w:rPr>
  </w:style>
  <w:style w:type="paragraph" w:styleId="Ballontekst">
    <w:name w:val="Balloon Text"/>
    <w:basedOn w:val="Standaard"/>
    <w:link w:val="BallontekstChar"/>
    <w:uiPriority w:val="99"/>
    <w:semiHidden/>
    <w:unhideWhenUsed/>
    <w:rsid w:val="00D700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082"/>
    <w:rPr>
      <w:rFonts w:ascii="Tahoma" w:hAnsi="Tahoma" w:cs="Tahoma"/>
      <w:sz w:val="16"/>
      <w:szCs w:val="16"/>
    </w:rPr>
  </w:style>
  <w:style w:type="paragraph" w:styleId="Koptekst">
    <w:name w:val="header"/>
    <w:basedOn w:val="Standaard"/>
    <w:link w:val="KoptekstChar"/>
    <w:uiPriority w:val="99"/>
    <w:semiHidden/>
    <w:unhideWhenUsed/>
    <w:rsid w:val="00BE0DA2"/>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BE0DA2"/>
    <w:rPr>
      <w:rFonts w:ascii="Verdana" w:hAnsi="Verdana"/>
      <w:sz w:val="18"/>
    </w:rPr>
  </w:style>
  <w:style w:type="paragraph" w:styleId="Voettekst">
    <w:name w:val="footer"/>
    <w:basedOn w:val="Standaard"/>
    <w:link w:val="VoettekstChar"/>
    <w:uiPriority w:val="99"/>
    <w:semiHidden/>
    <w:unhideWhenUsed/>
    <w:rsid w:val="00BE0DA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BE0DA2"/>
    <w:rPr>
      <w:rFonts w:ascii="Verdana" w:hAnsi="Verdana"/>
      <w:sz w:val="18"/>
    </w:rPr>
  </w:style>
  <w:style w:type="paragraph" w:customStyle="1" w:styleId="consideransal">
    <w:name w:val="considerans.al"/>
    <w:basedOn w:val="Standaard"/>
    <w:rsid w:val="00E631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3325">
      <w:bodyDiv w:val="1"/>
      <w:marLeft w:val="0"/>
      <w:marRight w:val="0"/>
      <w:marTop w:val="0"/>
      <w:marBottom w:val="0"/>
      <w:divBdr>
        <w:top w:val="none" w:sz="0" w:space="0" w:color="auto"/>
        <w:left w:val="none" w:sz="0" w:space="0" w:color="auto"/>
        <w:bottom w:val="none" w:sz="0" w:space="0" w:color="auto"/>
        <w:right w:val="none" w:sz="0" w:space="0" w:color="auto"/>
      </w:divBdr>
    </w:div>
    <w:div w:id="136383518">
      <w:bodyDiv w:val="1"/>
      <w:marLeft w:val="0"/>
      <w:marRight w:val="0"/>
      <w:marTop w:val="0"/>
      <w:marBottom w:val="0"/>
      <w:divBdr>
        <w:top w:val="none" w:sz="0" w:space="0" w:color="auto"/>
        <w:left w:val="none" w:sz="0" w:space="0" w:color="auto"/>
        <w:bottom w:val="none" w:sz="0" w:space="0" w:color="auto"/>
        <w:right w:val="none" w:sz="0" w:space="0" w:color="auto"/>
      </w:divBdr>
    </w:div>
    <w:div w:id="139230866">
      <w:bodyDiv w:val="1"/>
      <w:marLeft w:val="0"/>
      <w:marRight w:val="0"/>
      <w:marTop w:val="0"/>
      <w:marBottom w:val="0"/>
      <w:divBdr>
        <w:top w:val="none" w:sz="0" w:space="0" w:color="auto"/>
        <w:left w:val="none" w:sz="0" w:space="0" w:color="auto"/>
        <w:bottom w:val="none" w:sz="0" w:space="0" w:color="auto"/>
        <w:right w:val="none" w:sz="0" w:space="0" w:color="auto"/>
      </w:divBdr>
    </w:div>
    <w:div w:id="143861411">
      <w:bodyDiv w:val="1"/>
      <w:marLeft w:val="0"/>
      <w:marRight w:val="0"/>
      <w:marTop w:val="0"/>
      <w:marBottom w:val="0"/>
      <w:divBdr>
        <w:top w:val="none" w:sz="0" w:space="0" w:color="auto"/>
        <w:left w:val="none" w:sz="0" w:space="0" w:color="auto"/>
        <w:bottom w:val="none" w:sz="0" w:space="0" w:color="auto"/>
        <w:right w:val="none" w:sz="0" w:space="0" w:color="auto"/>
      </w:divBdr>
    </w:div>
    <w:div w:id="173106354">
      <w:bodyDiv w:val="1"/>
      <w:marLeft w:val="0"/>
      <w:marRight w:val="0"/>
      <w:marTop w:val="0"/>
      <w:marBottom w:val="0"/>
      <w:divBdr>
        <w:top w:val="none" w:sz="0" w:space="0" w:color="auto"/>
        <w:left w:val="none" w:sz="0" w:space="0" w:color="auto"/>
        <w:bottom w:val="none" w:sz="0" w:space="0" w:color="auto"/>
        <w:right w:val="none" w:sz="0" w:space="0" w:color="auto"/>
      </w:divBdr>
    </w:div>
    <w:div w:id="326447912">
      <w:bodyDiv w:val="1"/>
      <w:marLeft w:val="0"/>
      <w:marRight w:val="0"/>
      <w:marTop w:val="0"/>
      <w:marBottom w:val="0"/>
      <w:divBdr>
        <w:top w:val="none" w:sz="0" w:space="0" w:color="auto"/>
        <w:left w:val="none" w:sz="0" w:space="0" w:color="auto"/>
        <w:bottom w:val="none" w:sz="0" w:space="0" w:color="auto"/>
        <w:right w:val="none" w:sz="0" w:space="0" w:color="auto"/>
      </w:divBdr>
    </w:div>
    <w:div w:id="336344688">
      <w:bodyDiv w:val="1"/>
      <w:marLeft w:val="0"/>
      <w:marRight w:val="0"/>
      <w:marTop w:val="0"/>
      <w:marBottom w:val="0"/>
      <w:divBdr>
        <w:top w:val="none" w:sz="0" w:space="0" w:color="auto"/>
        <w:left w:val="none" w:sz="0" w:space="0" w:color="auto"/>
        <w:bottom w:val="none" w:sz="0" w:space="0" w:color="auto"/>
        <w:right w:val="none" w:sz="0" w:space="0" w:color="auto"/>
      </w:divBdr>
    </w:div>
    <w:div w:id="391585177">
      <w:bodyDiv w:val="1"/>
      <w:marLeft w:val="0"/>
      <w:marRight w:val="0"/>
      <w:marTop w:val="0"/>
      <w:marBottom w:val="0"/>
      <w:divBdr>
        <w:top w:val="none" w:sz="0" w:space="0" w:color="auto"/>
        <w:left w:val="none" w:sz="0" w:space="0" w:color="auto"/>
        <w:bottom w:val="none" w:sz="0" w:space="0" w:color="auto"/>
        <w:right w:val="none" w:sz="0" w:space="0" w:color="auto"/>
      </w:divBdr>
    </w:div>
    <w:div w:id="436024781">
      <w:bodyDiv w:val="1"/>
      <w:marLeft w:val="0"/>
      <w:marRight w:val="0"/>
      <w:marTop w:val="0"/>
      <w:marBottom w:val="0"/>
      <w:divBdr>
        <w:top w:val="none" w:sz="0" w:space="0" w:color="auto"/>
        <w:left w:val="none" w:sz="0" w:space="0" w:color="auto"/>
        <w:bottom w:val="none" w:sz="0" w:space="0" w:color="auto"/>
        <w:right w:val="none" w:sz="0" w:space="0" w:color="auto"/>
      </w:divBdr>
    </w:div>
    <w:div w:id="447352828">
      <w:bodyDiv w:val="1"/>
      <w:marLeft w:val="0"/>
      <w:marRight w:val="0"/>
      <w:marTop w:val="0"/>
      <w:marBottom w:val="0"/>
      <w:divBdr>
        <w:top w:val="none" w:sz="0" w:space="0" w:color="auto"/>
        <w:left w:val="none" w:sz="0" w:space="0" w:color="auto"/>
        <w:bottom w:val="none" w:sz="0" w:space="0" w:color="auto"/>
        <w:right w:val="none" w:sz="0" w:space="0" w:color="auto"/>
      </w:divBdr>
    </w:div>
    <w:div w:id="475605518">
      <w:bodyDiv w:val="1"/>
      <w:marLeft w:val="0"/>
      <w:marRight w:val="0"/>
      <w:marTop w:val="0"/>
      <w:marBottom w:val="0"/>
      <w:divBdr>
        <w:top w:val="none" w:sz="0" w:space="0" w:color="auto"/>
        <w:left w:val="none" w:sz="0" w:space="0" w:color="auto"/>
        <w:bottom w:val="none" w:sz="0" w:space="0" w:color="auto"/>
        <w:right w:val="none" w:sz="0" w:space="0" w:color="auto"/>
      </w:divBdr>
    </w:div>
    <w:div w:id="582228754">
      <w:bodyDiv w:val="1"/>
      <w:marLeft w:val="0"/>
      <w:marRight w:val="0"/>
      <w:marTop w:val="0"/>
      <w:marBottom w:val="0"/>
      <w:divBdr>
        <w:top w:val="none" w:sz="0" w:space="0" w:color="auto"/>
        <w:left w:val="none" w:sz="0" w:space="0" w:color="auto"/>
        <w:bottom w:val="none" w:sz="0" w:space="0" w:color="auto"/>
        <w:right w:val="none" w:sz="0" w:space="0" w:color="auto"/>
      </w:divBdr>
    </w:div>
    <w:div w:id="585499182">
      <w:bodyDiv w:val="1"/>
      <w:marLeft w:val="0"/>
      <w:marRight w:val="0"/>
      <w:marTop w:val="0"/>
      <w:marBottom w:val="0"/>
      <w:divBdr>
        <w:top w:val="none" w:sz="0" w:space="0" w:color="auto"/>
        <w:left w:val="none" w:sz="0" w:space="0" w:color="auto"/>
        <w:bottom w:val="none" w:sz="0" w:space="0" w:color="auto"/>
        <w:right w:val="none" w:sz="0" w:space="0" w:color="auto"/>
      </w:divBdr>
    </w:div>
    <w:div w:id="605769633">
      <w:bodyDiv w:val="1"/>
      <w:marLeft w:val="0"/>
      <w:marRight w:val="0"/>
      <w:marTop w:val="0"/>
      <w:marBottom w:val="0"/>
      <w:divBdr>
        <w:top w:val="none" w:sz="0" w:space="0" w:color="auto"/>
        <w:left w:val="none" w:sz="0" w:space="0" w:color="auto"/>
        <w:bottom w:val="none" w:sz="0" w:space="0" w:color="auto"/>
        <w:right w:val="none" w:sz="0" w:space="0" w:color="auto"/>
      </w:divBdr>
    </w:div>
    <w:div w:id="714043629">
      <w:bodyDiv w:val="1"/>
      <w:marLeft w:val="0"/>
      <w:marRight w:val="0"/>
      <w:marTop w:val="0"/>
      <w:marBottom w:val="0"/>
      <w:divBdr>
        <w:top w:val="none" w:sz="0" w:space="0" w:color="auto"/>
        <w:left w:val="none" w:sz="0" w:space="0" w:color="auto"/>
        <w:bottom w:val="none" w:sz="0" w:space="0" w:color="auto"/>
        <w:right w:val="none" w:sz="0" w:space="0" w:color="auto"/>
      </w:divBdr>
    </w:div>
    <w:div w:id="717507530">
      <w:bodyDiv w:val="1"/>
      <w:marLeft w:val="0"/>
      <w:marRight w:val="0"/>
      <w:marTop w:val="0"/>
      <w:marBottom w:val="0"/>
      <w:divBdr>
        <w:top w:val="none" w:sz="0" w:space="0" w:color="auto"/>
        <w:left w:val="none" w:sz="0" w:space="0" w:color="auto"/>
        <w:bottom w:val="none" w:sz="0" w:space="0" w:color="auto"/>
        <w:right w:val="none" w:sz="0" w:space="0" w:color="auto"/>
      </w:divBdr>
    </w:div>
    <w:div w:id="729034663">
      <w:bodyDiv w:val="1"/>
      <w:marLeft w:val="0"/>
      <w:marRight w:val="0"/>
      <w:marTop w:val="0"/>
      <w:marBottom w:val="0"/>
      <w:divBdr>
        <w:top w:val="none" w:sz="0" w:space="0" w:color="auto"/>
        <w:left w:val="none" w:sz="0" w:space="0" w:color="auto"/>
        <w:bottom w:val="none" w:sz="0" w:space="0" w:color="auto"/>
        <w:right w:val="none" w:sz="0" w:space="0" w:color="auto"/>
      </w:divBdr>
    </w:div>
    <w:div w:id="744568122">
      <w:bodyDiv w:val="1"/>
      <w:marLeft w:val="0"/>
      <w:marRight w:val="0"/>
      <w:marTop w:val="0"/>
      <w:marBottom w:val="0"/>
      <w:divBdr>
        <w:top w:val="none" w:sz="0" w:space="0" w:color="auto"/>
        <w:left w:val="none" w:sz="0" w:space="0" w:color="auto"/>
        <w:bottom w:val="none" w:sz="0" w:space="0" w:color="auto"/>
        <w:right w:val="none" w:sz="0" w:space="0" w:color="auto"/>
      </w:divBdr>
    </w:div>
    <w:div w:id="844249652">
      <w:bodyDiv w:val="1"/>
      <w:marLeft w:val="0"/>
      <w:marRight w:val="0"/>
      <w:marTop w:val="0"/>
      <w:marBottom w:val="0"/>
      <w:divBdr>
        <w:top w:val="none" w:sz="0" w:space="0" w:color="auto"/>
        <w:left w:val="none" w:sz="0" w:space="0" w:color="auto"/>
        <w:bottom w:val="none" w:sz="0" w:space="0" w:color="auto"/>
        <w:right w:val="none" w:sz="0" w:space="0" w:color="auto"/>
      </w:divBdr>
    </w:div>
    <w:div w:id="970481027">
      <w:bodyDiv w:val="1"/>
      <w:marLeft w:val="0"/>
      <w:marRight w:val="0"/>
      <w:marTop w:val="0"/>
      <w:marBottom w:val="0"/>
      <w:divBdr>
        <w:top w:val="none" w:sz="0" w:space="0" w:color="auto"/>
        <w:left w:val="none" w:sz="0" w:space="0" w:color="auto"/>
        <w:bottom w:val="none" w:sz="0" w:space="0" w:color="auto"/>
        <w:right w:val="none" w:sz="0" w:space="0" w:color="auto"/>
      </w:divBdr>
    </w:div>
    <w:div w:id="1012025674">
      <w:bodyDiv w:val="1"/>
      <w:marLeft w:val="0"/>
      <w:marRight w:val="0"/>
      <w:marTop w:val="0"/>
      <w:marBottom w:val="0"/>
      <w:divBdr>
        <w:top w:val="none" w:sz="0" w:space="0" w:color="auto"/>
        <w:left w:val="none" w:sz="0" w:space="0" w:color="auto"/>
        <w:bottom w:val="none" w:sz="0" w:space="0" w:color="auto"/>
        <w:right w:val="none" w:sz="0" w:space="0" w:color="auto"/>
      </w:divBdr>
    </w:div>
    <w:div w:id="1022822344">
      <w:bodyDiv w:val="1"/>
      <w:marLeft w:val="0"/>
      <w:marRight w:val="0"/>
      <w:marTop w:val="0"/>
      <w:marBottom w:val="0"/>
      <w:divBdr>
        <w:top w:val="none" w:sz="0" w:space="0" w:color="auto"/>
        <w:left w:val="none" w:sz="0" w:space="0" w:color="auto"/>
        <w:bottom w:val="none" w:sz="0" w:space="0" w:color="auto"/>
        <w:right w:val="none" w:sz="0" w:space="0" w:color="auto"/>
      </w:divBdr>
    </w:div>
    <w:div w:id="1035231066">
      <w:bodyDiv w:val="1"/>
      <w:marLeft w:val="0"/>
      <w:marRight w:val="0"/>
      <w:marTop w:val="0"/>
      <w:marBottom w:val="0"/>
      <w:divBdr>
        <w:top w:val="none" w:sz="0" w:space="0" w:color="auto"/>
        <w:left w:val="none" w:sz="0" w:space="0" w:color="auto"/>
        <w:bottom w:val="none" w:sz="0" w:space="0" w:color="auto"/>
        <w:right w:val="none" w:sz="0" w:space="0" w:color="auto"/>
      </w:divBdr>
    </w:div>
    <w:div w:id="1253276920">
      <w:bodyDiv w:val="1"/>
      <w:marLeft w:val="0"/>
      <w:marRight w:val="0"/>
      <w:marTop w:val="0"/>
      <w:marBottom w:val="0"/>
      <w:divBdr>
        <w:top w:val="none" w:sz="0" w:space="0" w:color="auto"/>
        <w:left w:val="none" w:sz="0" w:space="0" w:color="auto"/>
        <w:bottom w:val="none" w:sz="0" w:space="0" w:color="auto"/>
        <w:right w:val="none" w:sz="0" w:space="0" w:color="auto"/>
      </w:divBdr>
    </w:div>
    <w:div w:id="1269699253">
      <w:bodyDiv w:val="1"/>
      <w:marLeft w:val="0"/>
      <w:marRight w:val="0"/>
      <w:marTop w:val="0"/>
      <w:marBottom w:val="0"/>
      <w:divBdr>
        <w:top w:val="none" w:sz="0" w:space="0" w:color="auto"/>
        <w:left w:val="none" w:sz="0" w:space="0" w:color="auto"/>
        <w:bottom w:val="none" w:sz="0" w:space="0" w:color="auto"/>
        <w:right w:val="none" w:sz="0" w:space="0" w:color="auto"/>
      </w:divBdr>
    </w:div>
    <w:div w:id="1319653216">
      <w:bodyDiv w:val="1"/>
      <w:marLeft w:val="0"/>
      <w:marRight w:val="0"/>
      <w:marTop w:val="0"/>
      <w:marBottom w:val="0"/>
      <w:divBdr>
        <w:top w:val="none" w:sz="0" w:space="0" w:color="auto"/>
        <w:left w:val="none" w:sz="0" w:space="0" w:color="auto"/>
        <w:bottom w:val="none" w:sz="0" w:space="0" w:color="auto"/>
        <w:right w:val="none" w:sz="0" w:space="0" w:color="auto"/>
      </w:divBdr>
    </w:div>
    <w:div w:id="1435855468">
      <w:bodyDiv w:val="1"/>
      <w:marLeft w:val="0"/>
      <w:marRight w:val="0"/>
      <w:marTop w:val="0"/>
      <w:marBottom w:val="0"/>
      <w:divBdr>
        <w:top w:val="none" w:sz="0" w:space="0" w:color="auto"/>
        <w:left w:val="none" w:sz="0" w:space="0" w:color="auto"/>
        <w:bottom w:val="none" w:sz="0" w:space="0" w:color="auto"/>
        <w:right w:val="none" w:sz="0" w:space="0" w:color="auto"/>
      </w:divBdr>
    </w:div>
    <w:div w:id="1473281438">
      <w:bodyDiv w:val="1"/>
      <w:marLeft w:val="0"/>
      <w:marRight w:val="0"/>
      <w:marTop w:val="0"/>
      <w:marBottom w:val="0"/>
      <w:divBdr>
        <w:top w:val="none" w:sz="0" w:space="0" w:color="auto"/>
        <w:left w:val="none" w:sz="0" w:space="0" w:color="auto"/>
        <w:bottom w:val="none" w:sz="0" w:space="0" w:color="auto"/>
        <w:right w:val="none" w:sz="0" w:space="0" w:color="auto"/>
      </w:divBdr>
    </w:div>
    <w:div w:id="1495412570">
      <w:bodyDiv w:val="1"/>
      <w:marLeft w:val="0"/>
      <w:marRight w:val="0"/>
      <w:marTop w:val="0"/>
      <w:marBottom w:val="0"/>
      <w:divBdr>
        <w:top w:val="none" w:sz="0" w:space="0" w:color="auto"/>
        <w:left w:val="none" w:sz="0" w:space="0" w:color="auto"/>
        <w:bottom w:val="none" w:sz="0" w:space="0" w:color="auto"/>
        <w:right w:val="none" w:sz="0" w:space="0" w:color="auto"/>
      </w:divBdr>
    </w:div>
    <w:div w:id="1561359601">
      <w:bodyDiv w:val="1"/>
      <w:marLeft w:val="0"/>
      <w:marRight w:val="0"/>
      <w:marTop w:val="0"/>
      <w:marBottom w:val="0"/>
      <w:divBdr>
        <w:top w:val="none" w:sz="0" w:space="0" w:color="auto"/>
        <w:left w:val="none" w:sz="0" w:space="0" w:color="auto"/>
        <w:bottom w:val="none" w:sz="0" w:space="0" w:color="auto"/>
        <w:right w:val="none" w:sz="0" w:space="0" w:color="auto"/>
      </w:divBdr>
    </w:div>
    <w:div w:id="1607809508">
      <w:bodyDiv w:val="1"/>
      <w:marLeft w:val="0"/>
      <w:marRight w:val="0"/>
      <w:marTop w:val="0"/>
      <w:marBottom w:val="0"/>
      <w:divBdr>
        <w:top w:val="none" w:sz="0" w:space="0" w:color="auto"/>
        <w:left w:val="none" w:sz="0" w:space="0" w:color="auto"/>
        <w:bottom w:val="none" w:sz="0" w:space="0" w:color="auto"/>
        <w:right w:val="none" w:sz="0" w:space="0" w:color="auto"/>
      </w:divBdr>
    </w:div>
    <w:div w:id="1709993413">
      <w:bodyDiv w:val="1"/>
      <w:marLeft w:val="0"/>
      <w:marRight w:val="0"/>
      <w:marTop w:val="0"/>
      <w:marBottom w:val="0"/>
      <w:divBdr>
        <w:top w:val="none" w:sz="0" w:space="0" w:color="auto"/>
        <w:left w:val="none" w:sz="0" w:space="0" w:color="auto"/>
        <w:bottom w:val="none" w:sz="0" w:space="0" w:color="auto"/>
        <w:right w:val="none" w:sz="0" w:space="0" w:color="auto"/>
      </w:divBdr>
    </w:div>
    <w:div w:id="1724137330">
      <w:bodyDiv w:val="1"/>
      <w:marLeft w:val="0"/>
      <w:marRight w:val="0"/>
      <w:marTop w:val="0"/>
      <w:marBottom w:val="0"/>
      <w:divBdr>
        <w:top w:val="none" w:sz="0" w:space="0" w:color="auto"/>
        <w:left w:val="none" w:sz="0" w:space="0" w:color="auto"/>
        <w:bottom w:val="none" w:sz="0" w:space="0" w:color="auto"/>
        <w:right w:val="none" w:sz="0" w:space="0" w:color="auto"/>
      </w:divBdr>
    </w:div>
    <w:div w:id="1742215923">
      <w:bodyDiv w:val="1"/>
      <w:marLeft w:val="0"/>
      <w:marRight w:val="0"/>
      <w:marTop w:val="0"/>
      <w:marBottom w:val="0"/>
      <w:divBdr>
        <w:top w:val="none" w:sz="0" w:space="0" w:color="auto"/>
        <w:left w:val="none" w:sz="0" w:space="0" w:color="auto"/>
        <w:bottom w:val="none" w:sz="0" w:space="0" w:color="auto"/>
        <w:right w:val="none" w:sz="0" w:space="0" w:color="auto"/>
      </w:divBdr>
    </w:div>
    <w:div w:id="1789930063">
      <w:bodyDiv w:val="1"/>
      <w:marLeft w:val="0"/>
      <w:marRight w:val="0"/>
      <w:marTop w:val="0"/>
      <w:marBottom w:val="0"/>
      <w:divBdr>
        <w:top w:val="none" w:sz="0" w:space="0" w:color="auto"/>
        <w:left w:val="none" w:sz="0" w:space="0" w:color="auto"/>
        <w:bottom w:val="none" w:sz="0" w:space="0" w:color="auto"/>
        <w:right w:val="none" w:sz="0" w:space="0" w:color="auto"/>
      </w:divBdr>
    </w:div>
    <w:div w:id="1797404012">
      <w:bodyDiv w:val="1"/>
      <w:marLeft w:val="0"/>
      <w:marRight w:val="0"/>
      <w:marTop w:val="0"/>
      <w:marBottom w:val="0"/>
      <w:divBdr>
        <w:top w:val="none" w:sz="0" w:space="0" w:color="auto"/>
        <w:left w:val="none" w:sz="0" w:space="0" w:color="auto"/>
        <w:bottom w:val="none" w:sz="0" w:space="0" w:color="auto"/>
        <w:right w:val="none" w:sz="0" w:space="0" w:color="auto"/>
      </w:divBdr>
    </w:div>
    <w:div w:id="1864173946">
      <w:bodyDiv w:val="1"/>
      <w:marLeft w:val="0"/>
      <w:marRight w:val="0"/>
      <w:marTop w:val="0"/>
      <w:marBottom w:val="0"/>
      <w:divBdr>
        <w:top w:val="none" w:sz="0" w:space="0" w:color="auto"/>
        <w:left w:val="none" w:sz="0" w:space="0" w:color="auto"/>
        <w:bottom w:val="none" w:sz="0" w:space="0" w:color="auto"/>
        <w:right w:val="none" w:sz="0" w:space="0" w:color="auto"/>
      </w:divBdr>
    </w:div>
    <w:div w:id="1919898297">
      <w:bodyDiv w:val="1"/>
      <w:marLeft w:val="0"/>
      <w:marRight w:val="0"/>
      <w:marTop w:val="0"/>
      <w:marBottom w:val="0"/>
      <w:divBdr>
        <w:top w:val="none" w:sz="0" w:space="0" w:color="auto"/>
        <w:left w:val="none" w:sz="0" w:space="0" w:color="auto"/>
        <w:bottom w:val="none" w:sz="0" w:space="0" w:color="auto"/>
        <w:right w:val="none" w:sz="0" w:space="0" w:color="auto"/>
      </w:divBdr>
    </w:div>
    <w:div w:id="1936013144">
      <w:bodyDiv w:val="1"/>
      <w:marLeft w:val="0"/>
      <w:marRight w:val="0"/>
      <w:marTop w:val="0"/>
      <w:marBottom w:val="0"/>
      <w:divBdr>
        <w:top w:val="none" w:sz="0" w:space="0" w:color="auto"/>
        <w:left w:val="none" w:sz="0" w:space="0" w:color="auto"/>
        <w:bottom w:val="none" w:sz="0" w:space="0" w:color="auto"/>
        <w:right w:val="none" w:sz="0" w:space="0" w:color="auto"/>
      </w:divBdr>
      <w:divsChild>
        <w:div w:id="29578716">
          <w:marLeft w:val="0"/>
          <w:marRight w:val="0"/>
          <w:marTop w:val="0"/>
          <w:marBottom w:val="0"/>
          <w:divBdr>
            <w:top w:val="none" w:sz="0" w:space="0" w:color="auto"/>
            <w:left w:val="none" w:sz="0" w:space="0" w:color="auto"/>
            <w:bottom w:val="none" w:sz="0" w:space="0" w:color="auto"/>
            <w:right w:val="none" w:sz="0" w:space="0" w:color="auto"/>
          </w:divBdr>
          <w:divsChild>
            <w:div w:id="2004581401">
              <w:marLeft w:val="0"/>
              <w:marRight w:val="0"/>
              <w:marTop w:val="0"/>
              <w:marBottom w:val="0"/>
              <w:divBdr>
                <w:top w:val="none" w:sz="0" w:space="0" w:color="auto"/>
                <w:left w:val="none" w:sz="0" w:space="0" w:color="auto"/>
                <w:bottom w:val="none" w:sz="0" w:space="0" w:color="auto"/>
                <w:right w:val="none" w:sz="0" w:space="0" w:color="auto"/>
              </w:divBdr>
              <w:divsChild>
                <w:div w:id="1621372454">
                  <w:marLeft w:val="0"/>
                  <w:marRight w:val="0"/>
                  <w:marTop w:val="0"/>
                  <w:marBottom w:val="0"/>
                  <w:divBdr>
                    <w:top w:val="none" w:sz="0" w:space="0" w:color="auto"/>
                    <w:left w:val="none" w:sz="0" w:space="0" w:color="auto"/>
                    <w:bottom w:val="none" w:sz="0" w:space="0" w:color="auto"/>
                    <w:right w:val="none" w:sz="0" w:space="0" w:color="auto"/>
                  </w:divBdr>
                  <w:divsChild>
                    <w:div w:id="1601063700">
                      <w:marLeft w:val="0"/>
                      <w:marRight w:val="0"/>
                      <w:marTop w:val="0"/>
                      <w:marBottom w:val="0"/>
                      <w:divBdr>
                        <w:top w:val="none" w:sz="0" w:space="0" w:color="auto"/>
                        <w:left w:val="none" w:sz="0" w:space="0" w:color="auto"/>
                        <w:bottom w:val="none" w:sz="0" w:space="0" w:color="auto"/>
                        <w:right w:val="none" w:sz="0" w:space="0" w:color="auto"/>
                      </w:divBdr>
                      <w:divsChild>
                        <w:div w:id="508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07937">
      <w:bodyDiv w:val="1"/>
      <w:marLeft w:val="0"/>
      <w:marRight w:val="0"/>
      <w:marTop w:val="0"/>
      <w:marBottom w:val="0"/>
      <w:divBdr>
        <w:top w:val="none" w:sz="0" w:space="0" w:color="auto"/>
        <w:left w:val="none" w:sz="0" w:space="0" w:color="auto"/>
        <w:bottom w:val="none" w:sz="0" w:space="0" w:color="auto"/>
        <w:right w:val="none" w:sz="0" w:space="0" w:color="auto"/>
      </w:divBdr>
    </w:div>
    <w:div w:id="1972203374">
      <w:bodyDiv w:val="1"/>
      <w:marLeft w:val="0"/>
      <w:marRight w:val="0"/>
      <w:marTop w:val="0"/>
      <w:marBottom w:val="0"/>
      <w:divBdr>
        <w:top w:val="none" w:sz="0" w:space="0" w:color="auto"/>
        <w:left w:val="none" w:sz="0" w:space="0" w:color="auto"/>
        <w:bottom w:val="none" w:sz="0" w:space="0" w:color="auto"/>
        <w:right w:val="none" w:sz="0" w:space="0" w:color="auto"/>
      </w:divBdr>
    </w:div>
    <w:div w:id="1989439020">
      <w:bodyDiv w:val="1"/>
      <w:marLeft w:val="0"/>
      <w:marRight w:val="0"/>
      <w:marTop w:val="0"/>
      <w:marBottom w:val="0"/>
      <w:divBdr>
        <w:top w:val="none" w:sz="0" w:space="0" w:color="auto"/>
        <w:left w:val="none" w:sz="0" w:space="0" w:color="auto"/>
        <w:bottom w:val="none" w:sz="0" w:space="0" w:color="auto"/>
        <w:right w:val="none" w:sz="0" w:space="0" w:color="auto"/>
      </w:divBdr>
    </w:div>
    <w:div w:id="2044406023">
      <w:bodyDiv w:val="1"/>
      <w:marLeft w:val="0"/>
      <w:marRight w:val="0"/>
      <w:marTop w:val="0"/>
      <w:marBottom w:val="0"/>
      <w:divBdr>
        <w:top w:val="none" w:sz="0" w:space="0" w:color="auto"/>
        <w:left w:val="none" w:sz="0" w:space="0" w:color="auto"/>
        <w:bottom w:val="none" w:sz="0" w:space="0" w:color="auto"/>
        <w:right w:val="none" w:sz="0" w:space="0" w:color="auto"/>
      </w:divBdr>
    </w:div>
    <w:div w:id="2088529393">
      <w:bodyDiv w:val="1"/>
      <w:marLeft w:val="0"/>
      <w:marRight w:val="0"/>
      <w:marTop w:val="0"/>
      <w:marBottom w:val="0"/>
      <w:divBdr>
        <w:top w:val="none" w:sz="0" w:space="0" w:color="auto"/>
        <w:left w:val="none" w:sz="0" w:space="0" w:color="auto"/>
        <w:bottom w:val="none" w:sz="0" w:space="0" w:color="auto"/>
        <w:right w:val="none" w:sz="0" w:space="0" w:color="auto"/>
      </w:divBdr>
    </w:div>
    <w:div w:id="2098087358">
      <w:bodyDiv w:val="1"/>
      <w:marLeft w:val="0"/>
      <w:marRight w:val="0"/>
      <w:marTop w:val="0"/>
      <w:marBottom w:val="0"/>
      <w:divBdr>
        <w:top w:val="none" w:sz="0" w:space="0" w:color="auto"/>
        <w:left w:val="none" w:sz="0" w:space="0" w:color="auto"/>
        <w:bottom w:val="none" w:sz="0" w:space="0" w:color="auto"/>
        <w:right w:val="none" w:sz="0" w:space="0" w:color="auto"/>
      </w:divBdr>
    </w:div>
    <w:div w:id="2137260601">
      <w:bodyDiv w:val="1"/>
      <w:marLeft w:val="0"/>
      <w:marRight w:val="0"/>
      <w:marTop w:val="0"/>
      <w:marBottom w:val="0"/>
      <w:divBdr>
        <w:top w:val="none" w:sz="0" w:space="0" w:color="auto"/>
        <w:left w:val="none" w:sz="0" w:space="0" w:color="auto"/>
        <w:bottom w:val="none" w:sz="0" w:space="0" w:color="auto"/>
        <w:right w:val="none" w:sz="0" w:space="0" w:color="auto"/>
      </w:divBdr>
    </w:div>
    <w:div w:id="21448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93383-1B51-4BB8-B10F-31277BA70C02}"/>
</file>

<file path=customXml/itemProps2.xml><?xml version="1.0" encoding="utf-8"?>
<ds:datastoreItem xmlns:ds="http://schemas.openxmlformats.org/officeDocument/2006/customXml" ds:itemID="{8C1D89EB-9D2A-4801-A1DA-7E8F311190EC}"/>
</file>

<file path=customXml/itemProps3.xml><?xml version="1.0" encoding="utf-8"?>
<ds:datastoreItem xmlns:ds="http://schemas.openxmlformats.org/officeDocument/2006/customXml" ds:itemID="{BAA2AD65-1FCF-4E82-AF61-94F8EFC7A803}"/>
</file>

<file path=customXml/itemProps4.xml><?xml version="1.0" encoding="utf-8"?>
<ds:datastoreItem xmlns:ds="http://schemas.openxmlformats.org/officeDocument/2006/customXml" ds:itemID="{BC6E9897-9976-4C31-992C-1A5438C6F3E4}"/>
</file>

<file path=docProps/app.xml><?xml version="1.0" encoding="utf-8"?>
<Properties xmlns="http://schemas.openxmlformats.org/officeDocument/2006/extended-properties" xmlns:vt="http://schemas.openxmlformats.org/officeDocument/2006/docPropsVTypes">
  <Template>FBCE8AEC</Template>
  <TotalTime>0</TotalTime>
  <Pages>5</Pages>
  <Words>960</Words>
  <Characters>5281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WIJTENBURG</dc:creator>
  <cp:lastModifiedBy>Stefano Tamin</cp:lastModifiedBy>
  <cp:revision>2</cp:revision>
  <cp:lastPrinted>2017-03-15T10:26:00Z</cp:lastPrinted>
  <dcterms:created xsi:type="dcterms:W3CDTF">2017-05-17T09:26:00Z</dcterms:created>
  <dcterms:modified xsi:type="dcterms:W3CDTF">2017-05-17T09:26:00Z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