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22" w:rsidRPr="00A22E80" w:rsidRDefault="00EF3622" w:rsidP="00A22E80">
      <w:pPr>
        <w:widowControl w:val="0"/>
        <w:tabs>
          <w:tab w:val="num" w:pos="720"/>
        </w:tabs>
        <w:spacing w:line="260" w:lineRule="exact"/>
        <w:rPr>
          <w:rFonts w:ascii="Verdana" w:hAnsi="Verdana" w:cs="Arial"/>
          <w:b/>
          <w:sz w:val="18"/>
          <w:szCs w:val="18"/>
        </w:rPr>
      </w:pPr>
      <w:r w:rsidRPr="00A22E80">
        <w:rPr>
          <w:rFonts w:ascii="Verdana" w:hAnsi="Verdana" w:cs="Arial"/>
          <w:b/>
          <w:sz w:val="18"/>
          <w:szCs w:val="18"/>
        </w:rPr>
        <w:t xml:space="preserve">Wijziging van de Wet op het financieel toezicht, de Faillissementswet en enige andere wetten in verband met </w:t>
      </w:r>
      <w:r w:rsidR="00144F56" w:rsidRPr="00A22E80">
        <w:rPr>
          <w:rFonts w:ascii="Verdana" w:hAnsi="Verdana" w:cs="Arial"/>
          <w:b/>
          <w:sz w:val="18"/>
          <w:szCs w:val="18"/>
        </w:rPr>
        <w:t xml:space="preserve">het herstel van gebreken en omissies bij </w:t>
      </w:r>
      <w:r w:rsidR="009447B1" w:rsidRPr="00A22E80">
        <w:rPr>
          <w:rFonts w:ascii="Verdana" w:hAnsi="Verdana" w:cs="Arial"/>
          <w:b/>
          <w:sz w:val="18"/>
          <w:szCs w:val="18"/>
        </w:rPr>
        <w:t>de implementatie van Europese regelgeving op het terrein van de financiële markten</w:t>
      </w:r>
      <w:r w:rsidRPr="00A22E80">
        <w:rPr>
          <w:rFonts w:ascii="Verdana" w:hAnsi="Verdana" w:cs="Arial"/>
          <w:b/>
          <w:sz w:val="18"/>
          <w:szCs w:val="18"/>
        </w:rPr>
        <w:t xml:space="preserve"> (Herstelwet financiële markten 2017)</w:t>
      </w:r>
    </w:p>
    <w:p w:rsidR="00D100B0" w:rsidRPr="00A22E80" w:rsidRDefault="00D100B0" w:rsidP="00A22E80">
      <w:pPr>
        <w:widowControl w:val="0"/>
        <w:spacing w:line="260" w:lineRule="exact"/>
        <w:rPr>
          <w:rFonts w:ascii="Verdana" w:hAnsi="Verdana" w:cs="Arial"/>
          <w:sz w:val="18"/>
          <w:szCs w:val="18"/>
        </w:rPr>
      </w:pPr>
    </w:p>
    <w:p w:rsidR="009447B1" w:rsidRPr="00A22E80" w:rsidRDefault="009447B1" w:rsidP="00A22E80">
      <w:pPr>
        <w:widowControl w:val="0"/>
        <w:spacing w:line="260" w:lineRule="exact"/>
        <w:rPr>
          <w:rFonts w:ascii="Verdana" w:hAnsi="Verdana" w:cs="Arial"/>
          <w:sz w:val="18"/>
          <w:szCs w:val="18"/>
        </w:rPr>
      </w:pPr>
    </w:p>
    <w:p w:rsidR="00EE0056" w:rsidRPr="00A22E80" w:rsidRDefault="00EE0056" w:rsidP="00A22E80">
      <w:pPr>
        <w:widowControl w:val="0"/>
        <w:spacing w:line="260" w:lineRule="exact"/>
        <w:rPr>
          <w:rFonts w:ascii="Verdana" w:hAnsi="Verdana" w:cs="Arial"/>
          <w:sz w:val="18"/>
          <w:szCs w:val="18"/>
        </w:rPr>
      </w:pPr>
    </w:p>
    <w:p w:rsidR="00EE0056" w:rsidRPr="00A22E80" w:rsidRDefault="00B5654A" w:rsidP="00A22E80">
      <w:pPr>
        <w:widowControl w:val="0"/>
        <w:spacing w:line="260" w:lineRule="exact"/>
        <w:rPr>
          <w:rFonts w:ascii="Verdana" w:hAnsi="Verdana" w:cs="Arial"/>
          <w:b/>
          <w:sz w:val="18"/>
          <w:szCs w:val="18"/>
        </w:rPr>
      </w:pPr>
      <w:r w:rsidRPr="00A22E80">
        <w:rPr>
          <w:rFonts w:ascii="Verdana" w:hAnsi="Verdana" w:cs="Arial"/>
          <w:b/>
          <w:sz w:val="18"/>
          <w:szCs w:val="18"/>
        </w:rPr>
        <w:t>MEMORIE VAN TOELICHTING</w:t>
      </w:r>
    </w:p>
    <w:p w:rsidR="00BA0A3B" w:rsidRPr="00A22E80" w:rsidRDefault="00BA0A3B" w:rsidP="00A22E80">
      <w:pPr>
        <w:widowControl w:val="0"/>
        <w:spacing w:line="260" w:lineRule="exact"/>
        <w:rPr>
          <w:rFonts w:ascii="Verdana" w:hAnsi="Verdana" w:cs="Arial"/>
          <w:sz w:val="18"/>
          <w:szCs w:val="18"/>
        </w:rPr>
      </w:pPr>
    </w:p>
    <w:p w:rsidR="0080023B" w:rsidRPr="00A22E80" w:rsidRDefault="0080023B" w:rsidP="00A22E80">
      <w:pPr>
        <w:widowControl w:val="0"/>
        <w:spacing w:line="260" w:lineRule="exact"/>
        <w:rPr>
          <w:rFonts w:ascii="Verdana" w:hAnsi="Verdana" w:cs="Arial"/>
          <w:sz w:val="18"/>
          <w:szCs w:val="18"/>
        </w:rPr>
      </w:pPr>
    </w:p>
    <w:p w:rsidR="00EE0056" w:rsidRPr="00A22E80" w:rsidRDefault="00B5654A" w:rsidP="00A22E80">
      <w:pPr>
        <w:pStyle w:val="Kop1"/>
        <w:spacing w:line="260" w:lineRule="exact"/>
        <w:rPr>
          <w:rFonts w:ascii="Verdana" w:hAnsi="Verdana"/>
          <w:sz w:val="18"/>
          <w:szCs w:val="18"/>
        </w:rPr>
      </w:pPr>
      <w:bookmarkStart w:id="0" w:name="_Toc457475043"/>
      <w:r w:rsidRPr="00A22E80">
        <w:rPr>
          <w:rFonts w:ascii="Verdana" w:hAnsi="Verdana"/>
          <w:sz w:val="18"/>
          <w:szCs w:val="18"/>
        </w:rPr>
        <w:t>ALGEMEEN</w:t>
      </w:r>
      <w:bookmarkEnd w:id="0"/>
    </w:p>
    <w:p w:rsidR="00B5654A" w:rsidRPr="00A22E80" w:rsidRDefault="00B5654A" w:rsidP="00A22E80">
      <w:pPr>
        <w:widowControl w:val="0"/>
        <w:spacing w:line="260" w:lineRule="exact"/>
        <w:rPr>
          <w:rFonts w:ascii="Verdana" w:hAnsi="Verdana" w:cs="Arial"/>
          <w:sz w:val="18"/>
          <w:szCs w:val="18"/>
        </w:rPr>
      </w:pPr>
    </w:p>
    <w:p w:rsidR="00B5654A" w:rsidRPr="00A22E80" w:rsidRDefault="00B5654A" w:rsidP="00A22E80">
      <w:pPr>
        <w:pStyle w:val="Kop2"/>
        <w:spacing w:before="0" w:after="0" w:line="260" w:lineRule="exact"/>
        <w:rPr>
          <w:rFonts w:ascii="Verdana" w:hAnsi="Verdana"/>
          <w:b w:val="0"/>
          <w:sz w:val="18"/>
          <w:szCs w:val="18"/>
        </w:rPr>
      </w:pPr>
      <w:bookmarkStart w:id="1" w:name="_Toc457475044"/>
      <w:r w:rsidRPr="00A22E80">
        <w:rPr>
          <w:rFonts w:ascii="Verdana" w:hAnsi="Verdana"/>
          <w:b w:val="0"/>
          <w:sz w:val="18"/>
          <w:szCs w:val="18"/>
        </w:rPr>
        <w:t>§1. Inleiding</w:t>
      </w:r>
      <w:bookmarkEnd w:id="1"/>
    </w:p>
    <w:p w:rsidR="00B5654A" w:rsidRPr="00A22E80" w:rsidRDefault="00B5654A" w:rsidP="00A22E80">
      <w:pPr>
        <w:widowControl w:val="0"/>
        <w:spacing w:line="260" w:lineRule="exact"/>
        <w:rPr>
          <w:rFonts w:ascii="Verdana" w:hAnsi="Verdana" w:cs="Arial"/>
          <w:sz w:val="18"/>
          <w:szCs w:val="18"/>
        </w:rPr>
      </w:pPr>
    </w:p>
    <w:p w:rsidR="008B07A9" w:rsidRPr="00A22E80" w:rsidRDefault="008B07A9" w:rsidP="00A22E80">
      <w:pPr>
        <w:widowControl w:val="0"/>
        <w:spacing w:line="260" w:lineRule="exact"/>
        <w:rPr>
          <w:rFonts w:ascii="Verdana" w:hAnsi="Verdana" w:cs="Arial"/>
          <w:sz w:val="18"/>
          <w:szCs w:val="18"/>
        </w:rPr>
      </w:pPr>
      <w:r w:rsidRPr="00A22E80">
        <w:rPr>
          <w:rFonts w:ascii="Verdana" w:hAnsi="Verdana" w:cs="Arial"/>
          <w:sz w:val="18"/>
          <w:szCs w:val="18"/>
        </w:rPr>
        <w:t xml:space="preserve">Dit wetsvoorstel voorziet in het herstel van gebreken en omissies die zijn opgetreden bij de implementatie van Europese regelgeving op het terrein van de financiële markten. Ten behoeve van een juiste implementatie is het van belang om zo spoedig als mogelijk te voorzien in herstel van geconstateerde gebreken en omissies. Daarom is er voor gekozen deze wijzigingen in een afzonderlijk wetsvoorstel op te nemen. Belangrijke overwegingen in dit verband zijn dat bij implementatiewetgeving een verkorte voorbereidingsprocedure geldt, de inwerkingtreding van de wetswijzigingen niet gebonden is aan de reguliere vaste verandermomenten van 1 januari of 1 juli, noch onderhevig is aan uitstel ingevolge de Wet raadgevend referendum vanwege de uitzondering voor de implementatie van verdragen of besluiten van volkenrechtelijke organisaties in artikel 5, onderdeel e, van die wet. Vanwege het technisch herstelkarakter van het wetsvoorstel, beperkt het zich tot hetgeen noodzakelijk is voor een goede </w:t>
      </w:r>
      <w:r w:rsidR="00B41DDA" w:rsidRPr="00A22E80">
        <w:rPr>
          <w:rFonts w:ascii="Verdana" w:hAnsi="Verdana" w:cs="Arial"/>
          <w:sz w:val="18"/>
          <w:szCs w:val="18"/>
        </w:rPr>
        <w:t xml:space="preserve">en correcte </w:t>
      </w:r>
      <w:r w:rsidRPr="00A22E80">
        <w:rPr>
          <w:rFonts w:ascii="Verdana" w:hAnsi="Verdana" w:cs="Arial"/>
          <w:sz w:val="18"/>
          <w:szCs w:val="18"/>
        </w:rPr>
        <w:t xml:space="preserve">implementatie. Dit betekent dat </w:t>
      </w:r>
      <w:r w:rsidR="00B41DDA" w:rsidRPr="00A22E80">
        <w:rPr>
          <w:rFonts w:ascii="Verdana" w:hAnsi="Verdana" w:cs="Arial"/>
          <w:sz w:val="18"/>
          <w:szCs w:val="18"/>
        </w:rPr>
        <w:t xml:space="preserve">het alsnog toepassen </w:t>
      </w:r>
      <w:r w:rsidRPr="00A22E80">
        <w:rPr>
          <w:rFonts w:ascii="Verdana" w:hAnsi="Verdana" w:cs="Arial"/>
          <w:sz w:val="18"/>
          <w:szCs w:val="18"/>
        </w:rPr>
        <w:t xml:space="preserve">van lidstaatopties geen onderdeel uitmaakt van dit wetsvoorstel. </w:t>
      </w:r>
    </w:p>
    <w:p w:rsidR="008B07A9" w:rsidRPr="00A22E80" w:rsidRDefault="008B07A9" w:rsidP="00A22E80">
      <w:pPr>
        <w:widowControl w:val="0"/>
        <w:spacing w:line="260" w:lineRule="exact"/>
        <w:rPr>
          <w:rFonts w:ascii="Verdana" w:hAnsi="Verdana" w:cs="Arial"/>
          <w:sz w:val="18"/>
          <w:szCs w:val="18"/>
        </w:rPr>
      </w:pPr>
    </w:p>
    <w:p w:rsidR="008B07A9" w:rsidRPr="00A22E80" w:rsidRDefault="008B07A9" w:rsidP="00A22E80">
      <w:pPr>
        <w:pStyle w:val="Voetnoottekst"/>
        <w:spacing w:line="260" w:lineRule="exact"/>
        <w:rPr>
          <w:rFonts w:ascii="Verdana" w:hAnsi="Verdana" w:cs="Arial"/>
          <w:sz w:val="18"/>
          <w:szCs w:val="18"/>
        </w:rPr>
      </w:pPr>
      <w:r w:rsidRPr="00A22E80">
        <w:rPr>
          <w:rFonts w:ascii="Verdana" w:hAnsi="Verdana" w:cs="Arial"/>
          <w:sz w:val="18"/>
          <w:szCs w:val="18"/>
        </w:rPr>
        <w:t xml:space="preserve">Het belang van een spoedig herstel van gebreken en omissies bij implementatie wordt benadrukt door de Europese Commissie, die ter zake van de implementatie van </w:t>
      </w:r>
      <w:r w:rsidR="009919B1" w:rsidRPr="00A22E80">
        <w:rPr>
          <w:rFonts w:ascii="Verdana" w:hAnsi="Verdana" w:cs="EUAlbertina"/>
          <w:bCs/>
          <w:color w:val="000000"/>
          <w:sz w:val="18"/>
          <w:szCs w:val="18"/>
        </w:rPr>
        <w:t>r</w:t>
      </w:r>
      <w:r w:rsidR="005B38DE" w:rsidRPr="00A22E80">
        <w:rPr>
          <w:rFonts w:ascii="Verdana" w:hAnsi="Verdana" w:cs="EUAlbertina"/>
          <w:bCs/>
          <w:color w:val="000000"/>
          <w:sz w:val="18"/>
          <w:szCs w:val="18"/>
        </w:rPr>
        <w:t xml:space="preserve">ichtlijn 2013/36/EU van het Europees Parlement en de Raad van 26 juni 2013 betreffende toegang tot het bedrijf van kredietinstellingen en het </w:t>
      </w:r>
      <w:proofErr w:type="spellStart"/>
      <w:r w:rsidR="005B38DE" w:rsidRPr="00A22E80">
        <w:rPr>
          <w:rFonts w:ascii="Verdana" w:hAnsi="Verdana" w:cs="EUAlbertina"/>
          <w:bCs/>
          <w:color w:val="000000"/>
          <w:sz w:val="18"/>
          <w:szCs w:val="18"/>
        </w:rPr>
        <w:t>prudentieel</w:t>
      </w:r>
      <w:proofErr w:type="spellEnd"/>
      <w:r w:rsidR="005B38DE" w:rsidRPr="00A22E80">
        <w:rPr>
          <w:rFonts w:ascii="Verdana" w:hAnsi="Verdana" w:cs="EUAlbertina"/>
          <w:bCs/>
          <w:color w:val="000000"/>
          <w:sz w:val="18"/>
          <w:szCs w:val="18"/>
        </w:rPr>
        <w:t xml:space="preserve"> toezicht op kredietinstellingen en beleggingsondernemingen, tot wijziging van Richtlijn 2002/87/EG en tot intrekking van de Richtlijnen 2006/48/EG en 2006/49/EG (</w:t>
      </w:r>
      <w:proofErr w:type="spellStart"/>
      <w:r w:rsidR="005B38DE" w:rsidRPr="00A22E80">
        <w:rPr>
          <w:rFonts w:ascii="Verdana" w:hAnsi="Verdana" w:cs="EUAlbertina"/>
          <w:bCs/>
          <w:color w:val="000000"/>
          <w:sz w:val="18"/>
          <w:szCs w:val="18"/>
        </w:rPr>
        <w:t>PbEU</w:t>
      </w:r>
      <w:proofErr w:type="spellEnd"/>
      <w:r w:rsidR="005B38DE" w:rsidRPr="00A22E80">
        <w:rPr>
          <w:rFonts w:ascii="Verdana" w:hAnsi="Verdana" w:cs="EUAlbertina"/>
          <w:bCs/>
          <w:color w:val="000000"/>
          <w:sz w:val="18"/>
          <w:szCs w:val="18"/>
        </w:rPr>
        <w:t xml:space="preserve"> 2013, L 176) (hierna</w:t>
      </w:r>
      <w:r w:rsidR="008C3BB4">
        <w:rPr>
          <w:rFonts w:ascii="Verdana" w:hAnsi="Verdana" w:cs="EUAlbertina"/>
          <w:bCs/>
          <w:color w:val="000000"/>
          <w:sz w:val="18"/>
          <w:szCs w:val="18"/>
        </w:rPr>
        <w:t>:</w:t>
      </w:r>
      <w:r w:rsidR="005B38DE" w:rsidRPr="00A22E80">
        <w:rPr>
          <w:rFonts w:ascii="Verdana" w:hAnsi="Verdana" w:cs="EUAlbertina"/>
          <w:bCs/>
          <w:color w:val="000000"/>
          <w:sz w:val="18"/>
          <w:szCs w:val="18"/>
        </w:rPr>
        <w:t xml:space="preserve"> </w:t>
      </w:r>
      <w:r w:rsidRPr="00A22E80">
        <w:rPr>
          <w:rFonts w:ascii="Verdana" w:hAnsi="Verdana" w:cs="Arial"/>
          <w:sz w:val="18"/>
          <w:szCs w:val="18"/>
        </w:rPr>
        <w:t>richtlijn kapitaalvereisten</w:t>
      </w:r>
      <w:r w:rsidR="005B38DE" w:rsidRPr="00A22E80">
        <w:rPr>
          <w:rFonts w:ascii="Verdana" w:hAnsi="Verdana" w:cs="Arial"/>
          <w:sz w:val="18"/>
          <w:szCs w:val="18"/>
        </w:rPr>
        <w:t>)</w:t>
      </w:r>
      <w:r w:rsidRPr="00A22E80">
        <w:rPr>
          <w:rFonts w:ascii="Verdana" w:hAnsi="Verdana" w:cs="Arial"/>
          <w:sz w:val="18"/>
          <w:szCs w:val="18"/>
        </w:rPr>
        <w:t xml:space="preserve"> eerder</w:t>
      </w:r>
      <w:r w:rsidR="00135F36" w:rsidRPr="00A22E80">
        <w:rPr>
          <w:rFonts w:ascii="Verdana" w:hAnsi="Verdana" w:cs="Arial"/>
          <w:sz w:val="18"/>
          <w:szCs w:val="18"/>
        </w:rPr>
        <w:t xml:space="preserve"> een </w:t>
      </w:r>
      <w:r w:rsidR="0003007C" w:rsidRPr="00A22E80">
        <w:rPr>
          <w:rFonts w:ascii="Verdana" w:hAnsi="Verdana" w:cs="Arial"/>
          <w:sz w:val="18"/>
          <w:szCs w:val="18"/>
        </w:rPr>
        <w:t xml:space="preserve">ingebrekestelling </w:t>
      </w:r>
      <w:r w:rsidR="00135F36" w:rsidRPr="00A22E80">
        <w:rPr>
          <w:rFonts w:ascii="Verdana" w:hAnsi="Verdana" w:cs="Arial"/>
          <w:sz w:val="18"/>
          <w:szCs w:val="18"/>
        </w:rPr>
        <w:t>uitgebracht</w:t>
      </w:r>
      <w:r w:rsidR="004A2FC2" w:rsidRPr="00A22E80">
        <w:rPr>
          <w:rFonts w:ascii="Verdana" w:hAnsi="Verdana" w:cs="Arial"/>
          <w:sz w:val="18"/>
          <w:szCs w:val="18"/>
        </w:rPr>
        <w:t>.</w:t>
      </w:r>
      <w:r w:rsidRPr="00A22E80">
        <w:rPr>
          <w:rFonts w:ascii="Verdana" w:hAnsi="Verdana" w:cs="Arial"/>
          <w:sz w:val="18"/>
          <w:szCs w:val="18"/>
          <w:vertAlign w:val="superscript"/>
        </w:rPr>
        <w:footnoteReference w:id="1"/>
      </w:r>
      <w:r w:rsidRPr="00A22E80">
        <w:rPr>
          <w:rFonts w:ascii="Verdana" w:hAnsi="Verdana" w:cs="Arial"/>
          <w:sz w:val="18"/>
          <w:szCs w:val="18"/>
        </w:rPr>
        <w:t xml:space="preserve"> Het wetsvoorstel bevat in dit verband enkele voorgestelde aanpassingen, waarvan de noodzaak is vastgesteld in overleg met de Commissie. De Commissie heeft naar aanleiding van de aankondiging van dit wetsvoorstel laten weten de inbreukprocedure vooralsnog aan te houden, in afwachting van realisering van de toegezegde aanpassingen. Ook met betrekking tot de implementatie van </w:t>
      </w:r>
      <w:r w:rsidR="009919B1" w:rsidRPr="00A22E80">
        <w:rPr>
          <w:rFonts w:ascii="Verdana" w:hAnsi="Verdana"/>
          <w:sz w:val="18"/>
          <w:szCs w:val="18"/>
        </w:rPr>
        <w:t>richtlijn nr. 2014/59/EU van het Europees Parlement en de Raad van 15 mei 2014 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Verordeningen (EU) nr. 1093/2010 en (EU) nr. 648/2012, van het Europees Parlement en de Raad (</w:t>
      </w:r>
      <w:proofErr w:type="spellStart"/>
      <w:r w:rsidR="009919B1" w:rsidRPr="00A22E80">
        <w:rPr>
          <w:rFonts w:ascii="Verdana" w:hAnsi="Verdana"/>
          <w:sz w:val="18"/>
          <w:szCs w:val="18"/>
        </w:rPr>
        <w:t>PbEU</w:t>
      </w:r>
      <w:proofErr w:type="spellEnd"/>
      <w:r w:rsidR="009919B1" w:rsidRPr="00A22E80">
        <w:rPr>
          <w:rFonts w:ascii="Verdana" w:hAnsi="Verdana"/>
          <w:sz w:val="18"/>
          <w:szCs w:val="18"/>
        </w:rPr>
        <w:t xml:space="preserve"> 2014, L 173) (hierna: </w:t>
      </w:r>
      <w:r w:rsidRPr="00A22E80">
        <w:rPr>
          <w:rFonts w:ascii="Verdana" w:hAnsi="Verdana" w:cs="Arial"/>
          <w:sz w:val="18"/>
          <w:szCs w:val="18"/>
        </w:rPr>
        <w:t xml:space="preserve">richtlijn herstel en afwikkeling van banken en </w:t>
      </w:r>
      <w:r w:rsidRPr="00A22E80">
        <w:rPr>
          <w:rFonts w:ascii="Verdana" w:hAnsi="Verdana" w:cs="Arial"/>
          <w:sz w:val="18"/>
          <w:szCs w:val="18"/>
        </w:rPr>
        <w:lastRenderedPageBreak/>
        <w:t>beleggingsondernemingen</w:t>
      </w:r>
      <w:r w:rsidR="009919B1" w:rsidRPr="00A22E80">
        <w:rPr>
          <w:rFonts w:ascii="Verdana" w:hAnsi="Verdana" w:cs="Arial"/>
          <w:sz w:val="18"/>
          <w:szCs w:val="18"/>
        </w:rPr>
        <w:t>)</w:t>
      </w:r>
      <w:r w:rsidRPr="00A22E80">
        <w:rPr>
          <w:rFonts w:ascii="Verdana" w:hAnsi="Verdana" w:cs="Arial"/>
          <w:sz w:val="18"/>
          <w:szCs w:val="18"/>
        </w:rPr>
        <w:t xml:space="preserve"> is een informatieverzoek van de Europese Commissie beantwoord. Dit heeft niet geleid tot een voornemen van de Commissie tot nadere procedurele stappen. De inbreukprocedure die is geopend nadat de implementatie van die richtlijn niet tijdig door Nederland was geïmplementeerd, zal echter naar verwachting open blijven staan totdat ook de laatste noodzakelijke aanpassingen zijn voltooid. Deze aanpassing zijn opgenomen in dit wetsvoorstel.</w:t>
      </w:r>
    </w:p>
    <w:p w:rsidR="008B07A9" w:rsidRPr="00A22E80" w:rsidRDefault="008B07A9" w:rsidP="00A22E80">
      <w:pPr>
        <w:widowControl w:val="0"/>
        <w:spacing w:line="260" w:lineRule="exact"/>
        <w:rPr>
          <w:rFonts w:ascii="Verdana" w:hAnsi="Verdana" w:cs="Arial"/>
          <w:sz w:val="18"/>
          <w:szCs w:val="18"/>
        </w:rPr>
      </w:pPr>
    </w:p>
    <w:p w:rsidR="008B07A9" w:rsidRPr="00A22E80" w:rsidRDefault="008B07A9" w:rsidP="00A22E80">
      <w:pPr>
        <w:pStyle w:val="doc-ti"/>
        <w:spacing w:before="0" w:beforeAutospacing="0" w:after="0" w:afterAutospacing="0" w:line="260" w:lineRule="exact"/>
        <w:rPr>
          <w:rFonts w:ascii="Verdana" w:hAnsi="Verdana" w:cs="Arial"/>
          <w:sz w:val="18"/>
          <w:szCs w:val="18"/>
        </w:rPr>
      </w:pPr>
      <w:r w:rsidRPr="00A22E80">
        <w:rPr>
          <w:rFonts w:ascii="Verdana" w:hAnsi="Verdana" w:cs="Arial"/>
          <w:sz w:val="18"/>
          <w:szCs w:val="18"/>
        </w:rPr>
        <w:t xml:space="preserve">Een aantal </w:t>
      </w:r>
      <w:r w:rsidR="00786FE2" w:rsidRPr="00A22E80">
        <w:rPr>
          <w:rFonts w:ascii="Verdana" w:hAnsi="Verdana" w:cs="Arial"/>
          <w:sz w:val="18"/>
          <w:szCs w:val="18"/>
        </w:rPr>
        <w:t xml:space="preserve">andere </w:t>
      </w:r>
      <w:r w:rsidRPr="00A22E80">
        <w:rPr>
          <w:rFonts w:ascii="Verdana" w:hAnsi="Verdana" w:cs="Arial"/>
          <w:sz w:val="18"/>
          <w:szCs w:val="18"/>
        </w:rPr>
        <w:t xml:space="preserve">wijzigingen houdt verband met de implementatie van </w:t>
      </w:r>
      <w:r w:rsidR="00F365B9" w:rsidRPr="00A22E80">
        <w:rPr>
          <w:rFonts w:ascii="Verdana" w:hAnsi="Verdana"/>
          <w:color w:val="000000"/>
          <w:sz w:val="18"/>
          <w:szCs w:val="18"/>
        </w:rPr>
        <w:t xml:space="preserve">richtlijn 2014/49/EU van het Europees Parlement en de Raad van 16 april 2014 inzake de </w:t>
      </w:r>
      <w:proofErr w:type="spellStart"/>
      <w:r w:rsidR="00F365B9" w:rsidRPr="00A22E80">
        <w:rPr>
          <w:rFonts w:ascii="Verdana" w:hAnsi="Verdana"/>
          <w:color w:val="000000"/>
          <w:sz w:val="18"/>
          <w:szCs w:val="18"/>
        </w:rPr>
        <w:t>depositogarantiestelsels</w:t>
      </w:r>
      <w:proofErr w:type="spellEnd"/>
      <w:r w:rsidR="00F365B9" w:rsidRPr="00A22E80">
        <w:rPr>
          <w:rFonts w:ascii="Verdana" w:hAnsi="Verdana"/>
          <w:color w:val="000000"/>
          <w:sz w:val="18"/>
          <w:szCs w:val="18"/>
        </w:rPr>
        <w:t xml:space="preserve"> (</w:t>
      </w:r>
      <w:proofErr w:type="spellStart"/>
      <w:r w:rsidR="00F365B9" w:rsidRPr="00A22E80">
        <w:rPr>
          <w:rFonts w:ascii="Verdana" w:hAnsi="Verdana"/>
          <w:color w:val="000000"/>
          <w:sz w:val="18"/>
          <w:szCs w:val="18"/>
        </w:rPr>
        <w:t>PbEU</w:t>
      </w:r>
      <w:proofErr w:type="spellEnd"/>
      <w:r w:rsidR="00F365B9" w:rsidRPr="00A22E80">
        <w:rPr>
          <w:rFonts w:ascii="Verdana" w:hAnsi="Verdana"/>
          <w:color w:val="000000"/>
          <w:sz w:val="18"/>
          <w:szCs w:val="18"/>
        </w:rPr>
        <w:t xml:space="preserve"> L 173) (hierna: </w:t>
      </w:r>
      <w:r w:rsidRPr="00A22E80">
        <w:rPr>
          <w:rFonts w:ascii="Verdana" w:hAnsi="Verdana" w:cs="Arial"/>
          <w:sz w:val="18"/>
          <w:szCs w:val="18"/>
        </w:rPr>
        <w:t xml:space="preserve">richtlijn </w:t>
      </w:r>
      <w:proofErr w:type="spellStart"/>
      <w:r w:rsidRPr="00A22E80">
        <w:rPr>
          <w:rFonts w:ascii="Verdana" w:hAnsi="Verdana" w:cs="Arial"/>
          <w:sz w:val="18"/>
          <w:szCs w:val="18"/>
        </w:rPr>
        <w:t>depositogarantiestelsels</w:t>
      </w:r>
      <w:proofErr w:type="spellEnd"/>
      <w:r w:rsidR="00F365B9" w:rsidRPr="00A22E80">
        <w:rPr>
          <w:rFonts w:ascii="Verdana" w:hAnsi="Verdana" w:cs="Arial"/>
          <w:sz w:val="18"/>
          <w:szCs w:val="18"/>
        </w:rPr>
        <w:t>)</w:t>
      </w:r>
      <w:r w:rsidR="004A2FC2" w:rsidRPr="00A22E80">
        <w:rPr>
          <w:rFonts w:ascii="Verdana" w:hAnsi="Verdana" w:cs="Arial"/>
          <w:sz w:val="18"/>
          <w:szCs w:val="18"/>
        </w:rPr>
        <w:t>,</w:t>
      </w:r>
      <w:r w:rsidRPr="00A22E80">
        <w:rPr>
          <w:rFonts w:ascii="Verdana" w:hAnsi="Verdana" w:cs="Arial"/>
          <w:sz w:val="18"/>
          <w:szCs w:val="18"/>
        </w:rPr>
        <w:t xml:space="preserve"> die heeft geleid tot een herziening van de wijze van financiering van het </w:t>
      </w:r>
      <w:proofErr w:type="spellStart"/>
      <w:r w:rsidRPr="00A22E80">
        <w:rPr>
          <w:rFonts w:ascii="Verdana" w:hAnsi="Verdana" w:cs="Arial"/>
          <w:sz w:val="18"/>
          <w:szCs w:val="18"/>
        </w:rPr>
        <w:t>depositogarantiestelsel</w:t>
      </w:r>
      <w:proofErr w:type="spellEnd"/>
      <w:r w:rsidRPr="00A22E80">
        <w:rPr>
          <w:rFonts w:ascii="Verdana" w:hAnsi="Verdana" w:cs="Arial"/>
          <w:sz w:val="18"/>
          <w:szCs w:val="18"/>
        </w:rPr>
        <w:t xml:space="preserve"> en de instelling van het Depositogarantiefonds. Naast enkele redactionele wijzigingen</w:t>
      </w:r>
      <w:r w:rsidR="00786FE2" w:rsidRPr="00A22E80">
        <w:rPr>
          <w:rFonts w:ascii="Verdana" w:hAnsi="Verdana" w:cs="Arial"/>
          <w:sz w:val="18"/>
          <w:szCs w:val="18"/>
        </w:rPr>
        <w:t xml:space="preserve"> i.v.m. genoemde implementatie</w:t>
      </w:r>
      <w:r w:rsidRPr="00A22E80">
        <w:rPr>
          <w:rFonts w:ascii="Verdana" w:hAnsi="Verdana" w:cs="Arial"/>
          <w:sz w:val="18"/>
          <w:szCs w:val="18"/>
        </w:rPr>
        <w:t xml:space="preserve">, dienen de nieuwe taken en verantwoordelijkheden van het Depositogarantiefonds in het kader van het </w:t>
      </w:r>
      <w:proofErr w:type="spellStart"/>
      <w:r w:rsidRPr="00A22E80">
        <w:rPr>
          <w:rFonts w:ascii="Verdana" w:hAnsi="Verdana" w:cs="Arial"/>
          <w:sz w:val="18"/>
          <w:szCs w:val="18"/>
        </w:rPr>
        <w:t>depositogarantiestelsel</w:t>
      </w:r>
      <w:proofErr w:type="spellEnd"/>
      <w:r w:rsidRPr="00A22E80">
        <w:rPr>
          <w:rFonts w:ascii="Verdana" w:hAnsi="Verdana" w:cs="Arial"/>
          <w:sz w:val="18"/>
          <w:szCs w:val="18"/>
        </w:rPr>
        <w:t xml:space="preserve"> op een aantal plaatsen beter tot uitdrukking te worden gebracht in de wet. Verder wordt verduidelijkt hoe het Depositogarantiefonds een bijdrage kan leveren aan de afwikkeling van banken. Tot slot is bij de implementatie van de richtlijn herstel en afwikkeling van banken en beleggingsondernemingen nagelaten het Depositogarantiefonds uit hoofde van de wet een vorderingsrecht toe te kennen, indien het fonds bijdraagt aan de financiering van een afwikkelingsmaatregel. Hierin wordt alsnog voorzien.</w:t>
      </w:r>
    </w:p>
    <w:p w:rsidR="008B07A9" w:rsidRPr="00A22E80" w:rsidRDefault="008B07A9" w:rsidP="00A22E80">
      <w:pPr>
        <w:widowControl w:val="0"/>
        <w:spacing w:line="260" w:lineRule="exact"/>
        <w:rPr>
          <w:rFonts w:ascii="Verdana" w:hAnsi="Verdana" w:cs="Arial"/>
          <w:sz w:val="18"/>
          <w:szCs w:val="18"/>
        </w:rPr>
      </w:pPr>
    </w:p>
    <w:p w:rsidR="00113617" w:rsidRPr="00A22E80" w:rsidRDefault="00BB7B61" w:rsidP="00A22E80">
      <w:pPr>
        <w:widowControl w:val="0"/>
        <w:spacing w:line="260" w:lineRule="exact"/>
        <w:rPr>
          <w:rFonts w:ascii="Verdana" w:hAnsi="Verdana" w:cs="Arial"/>
          <w:sz w:val="18"/>
          <w:szCs w:val="18"/>
        </w:rPr>
      </w:pPr>
      <w:r w:rsidRPr="00A22E80">
        <w:rPr>
          <w:rFonts w:ascii="Verdana" w:hAnsi="Verdana" w:cs="Arial"/>
          <w:sz w:val="18"/>
          <w:szCs w:val="18"/>
        </w:rPr>
        <w:t xml:space="preserve">Naast de voornoemde richtlijnen </w:t>
      </w:r>
      <w:r w:rsidR="00E8428C" w:rsidRPr="00A22E80">
        <w:rPr>
          <w:rFonts w:ascii="Verdana" w:hAnsi="Verdana" w:cs="Arial"/>
          <w:sz w:val="18"/>
          <w:szCs w:val="18"/>
        </w:rPr>
        <w:t>voor</w:t>
      </w:r>
      <w:r w:rsidRPr="00A22E80">
        <w:rPr>
          <w:rFonts w:ascii="Verdana" w:hAnsi="Verdana" w:cs="Arial"/>
          <w:sz w:val="18"/>
          <w:szCs w:val="18"/>
        </w:rPr>
        <w:t>ziet dit wetsvoorstel in aanpassingen in verband met de implementatie</w:t>
      </w:r>
      <w:r w:rsidR="00201509" w:rsidRPr="00A22E80">
        <w:rPr>
          <w:rFonts w:ascii="Verdana" w:hAnsi="Verdana" w:cs="Arial"/>
          <w:sz w:val="18"/>
          <w:szCs w:val="18"/>
        </w:rPr>
        <w:t xml:space="preserve"> van</w:t>
      </w:r>
      <w:r w:rsidR="00081D71" w:rsidRPr="00A22E80">
        <w:rPr>
          <w:rFonts w:ascii="Verdana" w:hAnsi="Verdana" w:cs="Arial"/>
          <w:sz w:val="18"/>
          <w:szCs w:val="18"/>
        </w:rPr>
        <w:t xml:space="preserve"> de volgende richtlijnen</w:t>
      </w:r>
      <w:r w:rsidR="00113617" w:rsidRPr="00A22E80">
        <w:rPr>
          <w:rFonts w:ascii="Verdana" w:hAnsi="Verdana" w:cs="Arial"/>
          <w:sz w:val="18"/>
          <w:szCs w:val="18"/>
        </w:rPr>
        <w:t>:</w:t>
      </w:r>
    </w:p>
    <w:p w:rsidR="00316A81" w:rsidRPr="00A22E80" w:rsidRDefault="00D91508" w:rsidP="00A22E80">
      <w:pPr>
        <w:pStyle w:val="Lijstalinea"/>
        <w:widowControl w:val="0"/>
        <w:numPr>
          <w:ilvl w:val="0"/>
          <w:numId w:val="22"/>
        </w:numPr>
        <w:spacing w:after="0" w:line="260" w:lineRule="exact"/>
        <w:rPr>
          <w:rStyle w:val="Zwaar"/>
          <w:rFonts w:cs="Arial"/>
          <w:b w:val="0"/>
          <w:bCs w:val="0"/>
          <w:szCs w:val="18"/>
        </w:rPr>
      </w:pPr>
      <w:r w:rsidRPr="00A22E80">
        <w:rPr>
          <w:rStyle w:val="Zwaar"/>
          <w:rFonts w:cs="Tahoma"/>
          <w:b w:val="0"/>
          <w:szCs w:val="18"/>
        </w:rPr>
        <w:t>Richtlijn 2004/39/EG van het Europees Parlement en de Raad van 21 april 2004 betreffende markten voor financiële instrumenten, tot wijziging van de Richtlijnen 85/611/EEG en 93/6/EEG van de Raad en van Richtlijn 2000/12/EG van het Europees Parlement en de Raad en houdende intrekking van Richtlijn 93/22/EEG van de Raad (</w:t>
      </w:r>
      <w:proofErr w:type="spellStart"/>
      <w:r w:rsidRPr="00A22E80">
        <w:rPr>
          <w:rStyle w:val="Zwaar"/>
          <w:rFonts w:cs="Tahoma"/>
          <w:b w:val="0"/>
          <w:szCs w:val="18"/>
        </w:rPr>
        <w:t>PbEU</w:t>
      </w:r>
      <w:proofErr w:type="spellEnd"/>
      <w:r w:rsidRPr="00A22E80">
        <w:rPr>
          <w:rStyle w:val="Zwaar"/>
          <w:rFonts w:cs="Tahoma"/>
          <w:b w:val="0"/>
          <w:szCs w:val="18"/>
        </w:rPr>
        <w:t xml:space="preserve"> L 145) (hierna: </w:t>
      </w:r>
      <w:proofErr w:type="spellStart"/>
      <w:r w:rsidRPr="00A22E80">
        <w:rPr>
          <w:rStyle w:val="Zwaar"/>
          <w:rFonts w:cs="Tahoma"/>
          <w:b w:val="0"/>
          <w:szCs w:val="18"/>
        </w:rPr>
        <w:t>MiFID</w:t>
      </w:r>
      <w:proofErr w:type="spellEnd"/>
      <w:r w:rsidRPr="00A22E80">
        <w:rPr>
          <w:rStyle w:val="Zwaar"/>
          <w:rFonts w:cs="Tahoma"/>
          <w:b w:val="0"/>
          <w:szCs w:val="18"/>
        </w:rPr>
        <w:t xml:space="preserve"> I);</w:t>
      </w:r>
    </w:p>
    <w:p w:rsidR="008A4905" w:rsidRPr="00A22E80" w:rsidRDefault="008A4905" w:rsidP="00A22E80">
      <w:pPr>
        <w:pStyle w:val="Lijstalinea"/>
        <w:widowControl w:val="0"/>
        <w:numPr>
          <w:ilvl w:val="0"/>
          <w:numId w:val="22"/>
        </w:numPr>
        <w:spacing w:after="0" w:line="260" w:lineRule="exact"/>
        <w:rPr>
          <w:rFonts w:cs="Arial"/>
          <w:szCs w:val="18"/>
        </w:rPr>
      </w:pPr>
      <w:r w:rsidRPr="00A22E80">
        <w:rPr>
          <w:szCs w:val="18"/>
        </w:rPr>
        <w:t xml:space="preserve">Richtlijn 2009/138/EG van het Europees Parlement en de Raad van 25 november 2009 betreffende de toegang tot en uitoefening van het </w:t>
      </w:r>
      <w:proofErr w:type="spellStart"/>
      <w:r w:rsidRPr="00A22E80">
        <w:rPr>
          <w:szCs w:val="18"/>
        </w:rPr>
        <w:t>verzekerings</w:t>
      </w:r>
      <w:proofErr w:type="spellEnd"/>
      <w:r w:rsidRPr="00A22E80">
        <w:rPr>
          <w:szCs w:val="18"/>
        </w:rPr>
        <w:t>- en het herverzekeringsbedrijf (Solvabiliteit II) (</w:t>
      </w:r>
      <w:proofErr w:type="spellStart"/>
      <w:r w:rsidRPr="00A22E80">
        <w:rPr>
          <w:szCs w:val="18"/>
        </w:rPr>
        <w:t>PbEU</w:t>
      </w:r>
      <w:proofErr w:type="spellEnd"/>
      <w:r w:rsidRPr="00A22E80">
        <w:rPr>
          <w:szCs w:val="18"/>
        </w:rPr>
        <w:t xml:space="preserve"> 2009, L 335) (hierna: richtlijn solvabiliteit II);</w:t>
      </w:r>
    </w:p>
    <w:p w:rsidR="00316A81" w:rsidRPr="00A22E80" w:rsidRDefault="00D91508" w:rsidP="00A22E80">
      <w:pPr>
        <w:pStyle w:val="Lijstalinea"/>
        <w:widowControl w:val="0"/>
        <w:numPr>
          <w:ilvl w:val="0"/>
          <w:numId w:val="22"/>
        </w:numPr>
        <w:spacing w:after="0" w:line="260" w:lineRule="exact"/>
        <w:rPr>
          <w:rFonts w:cs="Arial"/>
          <w:szCs w:val="18"/>
        </w:rPr>
      </w:pPr>
      <w:r w:rsidRPr="00A22E80">
        <w:rPr>
          <w:szCs w:val="18"/>
        </w:rPr>
        <w:t xml:space="preserve">Richtlijn nr. 2014/91/EU van het Europees </w:t>
      </w:r>
      <w:r w:rsidR="00E177D3" w:rsidRPr="00A22E80">
        <w:rPr>
          <w:szCs w:val="18"/>
        </w:rPr>
        <w:t>P</w:t>
      </w:r>
      <w:r w:rsidRPr="00A22E80">
        <w:rPr>
          <w:szCs w:val="18"/>
        </w:rPr>
        <w:t>arlement en de Raad van 23 juli 2014 tot wijziging van de richtlijn 2009/65/EG tot coördinatie van de wettelijke en bestuursrechtelijke bepalingen betreffende bepaalde instellingen voor collectieve belegging in effecten (</w:t>
      </w:r>
      <w:proofErr w:type="spellStart"/>
      <w:r w:rsidRPr="00A22E80">
        <w:rPr>
          <w:szCs w:val="18"/>
        </w:rPr>
        <w:t>icbe’s</w:t>
      </w:r>
      <w:proofErr w:type="spellEnd"/>
      <w:r w:rsidRPr="00A22E80">
        <w:rPr>
          <w:szCs w:val="18"/>
        </w:rPr>
        <w:t>) wat bewaartaken, beloningsbeleid en sancties betreft (</w:t>
      </w:r>
      <w:proofErr w:type="spellStart"/>
      <w:r w:rsidRPr="00A22E80">
        <w:rPr>
          <w:szCs w:val="18"/>
        </w:rPr>
        <w:t>PbEU</w:t>
      </w:r>
      <w:proofErr w:type="spellEnd"/>
      <w:r w:rsidRPr="00A22E80">
        <w:rPr>
          <w:szCs w:val="18"/>
        </w:rPr>
        <w:t xml:space="preserve"> 2014, L 257) (hierna: richtlijn </w:t>
      </w:r>
      <w:proofErr w:type="spellStart"/>
      <w:r w:rsidRPr="00A22E80">
        <w:rPr>
          <w:szCs w:val="18"/>
        </w:rPr>
        <w:t>icbe’s</w:t>
      </w:r>
      <w:proofErr w:type="spellEnd"/>
      <w:r w:rsidRPr="00A22E80">
        <w:rPr>
          <w:szCs w:val="18"/>
        </w:rPr>
        <w:t>);</w:t>
      </w:r>
    </w:p>
    <w:p w:rsidR="00316A81" w:rsidRPr="00A22E80" w:rsidRDefault="00316A81" w:rsidP="00A22E80">
      <w:pPr>
        <w:pStyle w:val="Lijstalinea"/>
        <w:widowControl w:val="0"/>
        <w:numPr>
          <w:ilvl w:val="0"/>
          <w:numId w:val="22"/>
        </w:numPr>
        <w:spacing w:after="0" w:line="260" w:lineRule="exact"/>
        <w:rPr>
          <w:rFonts w:cs="Arial"/>
          <w:szCs w:val="18"/>
        </w:rPr>
      </w:pPr>
      <w:r w:rsidRPr="00A22E80">
        <w:rPr>
          <w:rFonts w:cs="HODFM D+ Univers"/>
          <w:color w:val="000000"/>
          <w:szCs w:val="18"/>
        </w:rPr>
        <w:t xml:space="preserve">Richtlijn 2014/51/EU van het Europees </w:t>
      </w:r>
      <w:r w:rsidR="00E177D3" w:rsidRPr="00A22E80">
        <w:rPr>
          <w:rFonts w:cs="HODFM D+ Univers"/>
          <w:color w:val="000000"/>
          <w:szCs w:val="18"/>
        </w:rPr>
        <w:t>P</w:t>
      </w:r>
      <w:r w:rsidRPr="00A22E80">
        <w:rPr>
          <w:rFonts w:cs="HODFM D+ Univers"/>
          <w:color w:val="000000"/>
          <w:szCs w:val="18"/>
        </w:rPr>
        <w:t>arlement en de Raad van 16 april 2014 tot wijziging van de Richtlijnen 2003/71/EU en 2009/138/EG, alsmede de Verordeningen (EG) nr. 1060/2009, (EU) nr. 1094/2010 en (EU) nr. 1095/2010 wat de bevoegdheden van de Europese toezichthoudende autoriteit (Europese Autoriteit voor verzekeringen en bedrijfspensioenen) en de Europese toezichthoudende autoriteit (Europese Autoriteit voor effecten en markten) betreft (</w:t>
      </w:r>
      <w:proofErr w:type="spellStart"/>
      <w:r w:rsidRPr="00A22E80">
        <w:rPr>
          <w:rFonts w:cs="HODFM D+ Univers"/>
          <w:color w:val="000000"/>
          <w:szCs w:val="18"/>
        </w:rPr>
        <w:t>PbEU</w:t>
      </w:r>
      <w:proofErr w:type="spellEnd"/>
      <w:r w:rsidRPr="00A22E80">
        <w:rPr>
          <w:rFonts w:cs="HODFM D+ Univers"/>
          <w:color w:val="000000"/>
          <w:szCs w:val="18"/>
        </w:rPr>
        <w:t xml:space="preserve"> 2014, L 153)</w:t>
      </w:r>
      <w:r w:rsidR="00FF33E7" w:rsidRPr="00A22E80">
        <w:rPr>
          <w:rFonts w:cs="HODFM D+ Univers"/>
          <w:color w:val="000000"/>
          <w:szCs w:val="18"/>
        </w:rPr>
        <w:t xml:space="preserve"> (hierna: Omnibus II richtlijn);</w:t>
      </w:r>
    </w:p>
    <w:p w:rsidR="00316A81" w:rsidRPr="00A22E80" w:rsidRDefault="00511915" w:rsidP="00A22E80">
      <w:pPr>
        <w:pStyle w:val="Lijstalinea"/>
        <w:widowControl w:val="0"/>
        <w:numPr>
          <w:ilvl w:val="0"/>
          <w:numId w:val="22"/>
        </w:numPr>
        <w:spacing w:after="0" w:line="260" w:lineRule="exact"/>
        <w:rPr>
          <w:rFonts w:cs="Arial"/>
          <w:szCs w:val="18"/>
        </w:rPr>
      </w:pPr>
      <w:r w:rsidRPr="00A22E80">
        <w:rPr>
          <w:rFonts w:cs="Univers"/>
          <w:szCs w:val="18"/>
        </w:rPr>
        <w:t>R</w:t>
      </w:r>
      <w:r w:rsidR="00316A81" w:rsidRPr="00A22E80">
        <w:rPr>
          <w:rFonts w:cs="Univers"/>
          <w:szCs w:val="18"/>
        </w:rPr>
        <w:t xml:space="preserve">ichtlijn 97/9/EG van het Europees Parlement en de Raad van de Europese Unie van 3 maart 1997 inzake de </w:t>
      </w:r>
      <w:proofErr w:type="spellStart"/>
      <w:r w:rsidR="00316A81" w:rsidRPr="00A22E80">
        <w:rPr>
          <w:rFonts w:cs="Univers"/>
          <w:szCs w:val="18"/>
        </w:rPr>
        <w:t>beleggerscompensatiestelsels</w:t>
      </w:r>
      <w:proofErr w:type="spellEnd"/>
      <w:r w:rsidR="00316A81" w:rsidRPr="00A22E80">
        <w:rPr>
          <w:rFonts w:cs="Univers"/>
          <w:szCs w:val="18"/>
        </w:rPr>
        <w:t xml:space="preserve"> (</w:t>
      </w:r>
      <w:proofErr w:type="spellStart"/>
      <w:r w:rsidR="00316A81" w:rsidRPr="00A22E80">
        <w:rPr>
          <w:rFonts w:cs="Univers"/>
          <w:szCs w:val="18"/>
        </w:rPr>
        <w:t>PbEG</w:t>
      </w:r>
      <w:proofErr w:type="spellEnd"/>
      <w:r w:rsidR="00B74C86" w:rsidRPr="00A22E80">
        <w:rPr>
          <w:rFonts w:cs="Univers"/>
          <w:szCs w:val="18"/>
        </w:rPr>
        <w:t xml:space="preserve"> 1997,</w:t>
      </w:r>
      <w:r w:rsidR="00316A81" w:rsidRPr="00A22E80">
        <w:rPr>
          <w:rFonts w:cs="Univers"/>
          <w:szCs w:val="18"/>
        </w:rPr>
        <w:t xml:space="preserve"> L 84)</w:t>
      </w:r>
      <w:r w:rsidRPr="00A22E80">
        <w:rPr>
          <w:rFonts w:cs="Univers"/>
          <w:szCs w:val="18"/>
        </w:rPr>
        <w:t xml:space="preserve"> (hierna: richtlijn </w:t>
      </w:r>
      <w:proofErr w:type="spellStart"/>
      <w:r w:rsidRPr="00A22E80">
        <w:rPr>
          <w:rFonts w:cs="Univers"/>
          <w:szCs w:val="18"/>
        </w:rPr>
        <w:t>beleggerscompensatiestelsel</w:t>
      </w:r>
      <w:proofErr w:type="spellEnd"/>
      <w:r w:rsidRPr="00A22E80">
        <w:rPr>
          <w:rFonts w:cs="Univers"/>
          <w:szCs w:val="18"/>
        </w:rPr>
        <w:t>);</w:t>
      </w:r>
    </w:p>
    <w:p w:rsidR="00316A81" w:rsidRPr="00A22E80" w:rsidRDefault="00316A81" w:rsidP="00A22E80">
      <w:pPr>
        <w:pStyle w:val="Lijstalinea"/>
        <w:widowControl w:val="0"/>
        <w:numPr>
          <w:ilvl w:val="0"/>
          <w:numId w:val="22"/>
        </w:numPr>
        <w:spacing w:after="0" w:line="260" w:lineRule="exact"/>
        <w:rPr>
          <w:rFonts w:cs="Arial"/>
          <w:szCs w:val="18"/>
        </w:rPr>
      </w:pPr>
      <w:r w:rsidRPr="00A22E80">
        <w:rPr>
          <w:rFonts w:cs="NGBLK L+ Univers"/>
          <w:color w:val="000000"/>
          <w:szCs w:val="18"/>
        </w:rPr>
        <w:lastRenderedPageBreak/>
        <w:t>Richtlijn nr. 2014/57/EU van het Europees Parlement en de Raad van de Europese Unie van 16 april 2014 betreffende strafrechtelijke sancties voor marktmisbruik (</w:t>
      </w:r>
      <w:proofErr w:type="spellStart"/>
      <w:r w:rsidRPr="00A22E80">
        <w:rPr>
          <w:rFonts w:cs="NGBLK L+ Univers"/>
          <w:color w:val="000000"/>
          <w:szCs w:val="18"/>
        </w:rPr>
        <w:t>PbEU</w:t>
      </w:r>
      <w:proofErr w:type="spellEnd"/>
      <w:r w:rsidRPr="00A22E80">
        <w:rPr>
          <w:rFonts w:cs="NGBLK L+ Univers"/>
          <w:color w:val="000000"/>
          <w:szCs w:val="18"/>
        </w:rPr>
        <w:t xml:space="preserve"> 2014, L 173</w:t>
      </w:r>
      <w:r w:rsidR="00511915" w:rsidRPr="00A22E80">
        <w:rPr>
          <w:rFonts w:cs="NGBLK L+ Univers"/>
          <w:color w:val="000000"/>
          <w:szCs w:val="18"/>
        </w:rPr>
        <w:t>) (hierna: richtlijn marktmisbruik);</w:t>
      </w:r>
    </w:p>
    <w:p w:rsidR="00511915" w:rsidRPr="00A22E80" w:rsidRDefault="00316A81" w:rsidP="00A22E80">
      <w:pPr>
        <w:pStyle w:val="Lijstalinea"/>
        <w:widowControl w:val="0"/>
        <w:numPr>
          <w:ilvl w:val="0"/>
          <w:numId w:val="22"/>
        </w:numPr>
        <w:spacing w:after="0" w:line="260" w:lineRule="exact"/>
        <w:rPr>
          <w:rFonts w:cs="Arial"/>
          <w:szCs w:val="18"/>
        </w:rPr>
      </w:pPr>
      <w:r w:rsidRPr="00A22E80">
        <w:rPr>
          <w:szCs w:val="18"/>
        </w:rPr>
        <w:t xml:space="preserve">Richtlijn 98/26/EG van het Europees Parlement en de Raad van 19 mei 1998 betreffende het definitieve karakter van de afwikkelingen van betalingen en effectentransacties in </w:t>
      </w:r>
      <w:proofErr w:type="spellStart"/>
      <w:r w:rsidRPr="00A22E80">
        <w:rPr>
          <w:szCs w:val="18"/>
        </w:rPr>
        <w:t>betalings</w:t>
      </w:r>
      <w:proofErr w:type="spellEnd"/>
      <w:r w:rsidRPr="00A22E80">
        <w:rPr>
          <w:szCs w:val="18"/>
        </w:rPr>
        <w:t>- en afwikkelingssystemen, (</w:t>
      </w:r>
      <w:proofErr w:type="spellStart"/>
      <w:r w:rsidRPr="00A22E80">
        <w:rPr>
          <w:szCs w:val="18"/>
        </w:rPr>
        <w:t>PbEU</w:t>
      </w:r>
      <w:proofErr w:type="spellEnd"/>
      <w:r w:rsidRPr="00A22E80">
        <w:rPr>
          <w:i/>
          <w:szCs w:val="18"/>
        </w:rPr>
        <w:t xml:space="preserve"> </w:t>
      </w:r>
      <w:r w:rsidR="00691B49" w:rsidRPr="00A22E80">
        <w:rPr>
          <w:szCs w:val="18"/>
        </w:rPr>
        <w:t xml:space="preserve">1998, L 166) (hierna: </w:t>
      </w:r>
      <w:proofErr w:type="spellStart"/>
      <w:r w:rsidR="00691B49" w:rsidRPr="00A22E80">
        <w:rPr>
          <w:szCs w:val="18"/>
        </w:rPr>
        <w:t>Finaliteitsrichtlijn</w:t>
      </w:r>
      <w:proofErr w:type="spellEnd"/>
      <w:r w:rsidR="00691B49" w:rsidRPr="00A22E80">
        <w:rPr>
          <w:szCs w:val="18"/>
        </w:rPr>
        <w:t>;</w:t>
      </w:r>
    </w:p>
    <w:p w:rsidR="00316A81" w:rsidRPr="00A22E80" w:rsidRDefault="00316A81" w:rsidP="00A22E80">
      <w:pPr>
        <w:pStyle w:val="Lijstalinea"/>
        <w:widowControl w:val="0"/>
        <w:numPr>
          <w:ilvl w:val="0"/>
          <w:numId w:val="22"/>
        </w:numPr>
        <w:spacing w:after="0" w:line="260" w:lineRule="exact"/>
        <w:rPr>
          <w:rFonts w:cs="Arial"/>
          <w:szCs w:val="18"/>
        </w:rPr>
      </w:pPr>
      <w:r w:rsidRPr="00A22E80">
        <w:rPr>
          <w:szCs w:val="18"/>
        </w:rPr>
        <w:t xml:space="preserve">Richtlijn 2009/44/EG van het Europees Parlement en de Raad van 6 mei 2009 tot wijziging van Richtlijn 98/26/EG van het Europees Parlement en de Raad van 19 mei 1998 betreffende het definitieve karakter van de afwikkelingen van betalingen en effectentransacties in </w:t>
      </w:r>
      <w:proofErr w:type="spellStart"/>
      <w:r w:rsidRPr="00A22E80">
        <w:rPr>
          <w:szCs w:val="18"/>
        </w:rPr>
        <w:t>betalings</w:t>
      </w:r>
      <w:proofErr w:type="spellEnd"/>
      <w:r w:rsidRPr="00A22E80">
        <w:rPr>
          <w:szCs w:val="18"/>
        </w:rPr>
        <w:t xml:space="preserve">- en afwikkelingssystemen en Richtlijn 2002/47/EG betreffende </w:t>
      </w:r>
      <w:proofErr w:type="spellStart"/>
      <w:r w:rsidRPr="00A22E80">
        <w:rPr>
          <w:szCs w:val="18"/>
        </w:rPr>
        <w:t>financiëlezekerheidsovereenkomsten</w:t>
      </w:r>
      <w:proofErr w:type="spellEnd"/>
      <w:r w:rsidRPr="00A22E80">
        <w:rPr>
          <w:szCs w:val="18"/>
        </w:rPr>
        <w:t xml:space="preserve"> wat gekoppelde systemen en kredietvorderingen betreft, (</w:t>
      </w:r>
      <w:proofErr w:type="spellStart"/>
      <w:r w:rsidRPr="00A22E80">
        <w:rPr>
          <w:szCs w:val="18"/>
        </w:rPr>
        <w:t>PbEU</w:t>
      </w:r>
      <w:proofErr w:type="spellEnd"/>
      <w:r w:rsidRPr="00A22E80">
        <w:rPr>
          <w:i/>
          <w:szCs w:val="18"/>
        </w:rPr>
        <w:t xml:space="preserve"> </w:t>
      </w:r>
      <w:r w:rsidR="00691B49" w:rsidRPr="00A22E80">
        <w:rPr>
          <w:szCs w:val="18"/>
        </w:rPr>
        <w:t xml:space="preserve">2009, L 146) (hierna: herziening van de </w:t>
      </w:r>
      <w:proofErr w:type="spellStart"/>
      <w:r w:rsidR="00691B49" w:rsidRPr="00A22E80">
        <w:rPr>
          <w:szCs w:val="18"/>
        </w:rPr>
        <w:t>Finaliteitsrichtlijn</w:t>
      </w:r>
      <w:proofErr w:type="spellEnd"/>
      <w:r w:rsidR="00691B49" w:rsidRPr="00A22E80">
        <w:rPr>
          <w:szCs w:val="18"/>
        </w:rPr>
        <w:t>);</w:t>
      </w:r>
    </w:p>
    <w:p w:rsidR="00316A81" w:rsidRPr="00A22E80" w:rsidRDefault="00316A81" w:rsidP="00A22E80">
      <w:pPr>
        <w:pStyle w:val="Lijstalinea"/>
        <w:widowControl w:val="0"/>
        <w:numPr>
          <w:ilvl w:val="0"/>
          <w:numId w:val="22"/>
        </w:numPr>
        <w:spacing w:after="0" w:line="260" w:lineRule="exact"/>
        <w:rPr>
          <w:rFonts w:cs="Arial"/>
          <w:szCs w:val="18"/>
        </w:rPr>
      </w:pPr>
      <w:r w:rsidRPr="00A22E80">
        <w:rPr>
          <w:szCs w:val="18"/>
        </w:rPr>
        <w:t>Richtlijn 2004/109/EG van het Europees Parlement en de Raad van de Europese Unie van 15 december 2004 betreffende de transparantievereisten die gelden voor informatie over uitgevende instellingen waarvan effecten tot de handel op een gereglementeerde markt zijn toegelaten en tot wijziging van Ri</w:t>
      </w:r>
      <w:r w:rsidR="001B58C6" w:rsidRPr="00A22E80">
        <w:rPr>
          <w:szCs w:val="18"/>
        </w:rPr>
        <w:t>chtlijn 2001/34/EG (</w:t>
      </w:r>
      <w:proofErr w:type="spellStart"/>
      <w:r w:rsidR="001B58C6" w:rsidRPr="00A22E80">
        <w:rPr>
          <w:szCs w:val="18"/>
        </w:rPr>
        <w:t>PbEU</w:t>
      </w:r>
      <w:proofErr w:type="spellEnd"/>
      <w:r w:rsidR="001B58C6" w:rsidRPr="00A22E80">
        <w:rPr>
          <w:szCs w:val="18"/>
        </w:rPr>
        <w:t xml:space="preserve"> L 390) (hierna: richtlijn transparantie);</w:t>
      </w:r>
    </w:p>
    <w:p w:rsidR="00113617" w:rsidRPr="00A22E80" w:rsidRDefault="00916248" w:rsidP="00A22E80">
      <w:pPr>
        <w:pStyle w:val="Lijstalinea"/>
        <w:widowControl w:val="0"/>
        <w:numPr>
          <w:ilvl w:val="0"/>
          <w:numId w:val="22"/>
        </w:numPr>
        <w:spacing w:after="0" w:line="260" w:lineRule="exact"/>
        <w:rPr>
          <w:rFonts w:cs="Arial"/>
          <w:szCs w:val="18"/>
        </w:rPr>
      </w:pPr>
      <w:r w:rsidRPr="00A22E80">
        <w:rPr>
          <w:szCs w:val="18"/>
        </w:rPr>
        <w:t>R</w:t>
      </w:r>
      <w:r w:rsidR="00316A81" w:rsidRPr="00A22E80">
        <w:rPr>
          <w:rFonts w:cs="AMDHK H+ Univers"/>
          <w:color w:val="000000"/>
          <w:szCs w:val="18"/>
        </w:rPr>
        <w:t>ichtlijn nr. 2014/56/EU van het Europees Parlement en de Raad van de Europese Unie van 16 april 2014 tot wijziging van Richtlijn 2006/43/EG betreffende de wettelijke controles van jaarrekeningen en geconsolideerde jaarrekeningen (</w:t>
      </w:r>
      <w:proofErr w:type="spellStart"/>
      <w:r w:rsidR="00316A81" w:rsidRPr="00A22E80">
        <w:rPr>
          <w:rFonts w:cs="AMDHK H+ Univers"/>
          <w:color w:val="000000"/>
          <w:szCs w:val="18"/>
        </w:rPr>
        <w:t>PbEU</w:t>
      </w:r>
      <w:proofErr w:type="spellEnd"/>
      <w:r w:rsidR="00316A81" w:rsidRPr="00A22E80">
        <w:rPr>
          <w:rFonts w:cs="AMDHK H+ Univers"/>
          <w:color w:val="000000"/>
          <w:szCs w:val="18"/>
        </w:rPr>
        <w:t xml:space="preserve"> 2014, L 158</w:t>
      </w:r>
      <w:r w:rsidRPr="00A22E80">
        <w:rPr>
          <w:rFonts w:cs="AMDHK H+ Univers"/>
          <w:color w:val="000000"/>
          <w:szCs w:val="18"/>
        </w:rPr>
        <w:t>).</w:t>
      </w:r>
    </w:p>
    <w:p w:rsidR="00A72A16" w:rsidRPr="00A22E80" w:rsidRDefault="00A72A16" w:rsidP="00A22E80">
      <w:pPr>
        <w:widowControl w:val="0"/>
        <w:spacing w:line="260" w:lineRule="exact"/>
        <w:rPr>
          <w:rFonts w:ascii="Verdana" w:hAnsi="Verdana" w:cs="Arial"/>
          <w:sz w:val="18"/>
          <w:szCs w:val="18"/>
        </w:rPr>
      </w:pPr>
    </w:p>
    <w:p w:rsidR="00A72A16" w:rsidRPr="00A22E80" w:rsidRDefault="00A72A16" w:rsidP="00A22E80">
      <w:pPr>
        <w:widowControl w:val="0"/>
        <w:spacing w:line="260" w:lineRule="exact"/>
        <w:rPr>
          <w:rFonts w:ascii="Verdana" w:hAnsi="Verdana" w:cs="Arial"/>
          <w:sz w:val="18"/>
          <w:szCs w:val="18"/>
        </w:rPr>
      </w:pPr>
      <w:r w:rsidRPr="00A22E80">
        <w:rPr>
          <w:rFonts w:ascii="Verdana" w:hAnsi="Verdana" w:cs="Arial"/>
          <w:sz w:val="18"/>
          <w:szCs w:val="18"/>
        </w:rPr>
        <w:t xml:space="preserve">Vanwege het technisch </w:t>
      </w:r>
      <w:r w:rsidR="00E177D3" w:rsidRPr="00A22E80">
        <w:rPr>
          <w:rFonts w:ascii="Verdana" w:hAnsi="Verdana" w:cs="Arial"/>
          <w:sz w:val="18"/>
          <w:szCs w:val="18"/>
        </w:rPr>
        <w:t xml:space="preserve">en </w:t>
      </w:r>
      <w:r w:rsidRPr="00A22E80">
        <w:rPr>
          <w:rFonts w:ascii="Verdana" w:hAnsi="Verdana" w:cs="Arial"/>
          <w:sz w:val="18"/>
          <w:szCs w:val="18"/>
        </w:rPr>
        <w:t xml:space="preserve">herstelkarakter van dit wetsvoorstel </w:t>
      </w:r>
      <w:r w:rsidR="00081D71" w:rsidRPr="00A22E80">
        <w:rPr>
          <w:rFonts w:ascii="Verdana" w:hAnsi="Verdana" w:cs="Arial"/>
          <w:sz w:val="18"/>
          <w:szCs w:val="18"/>
        </w:rPr>
        <w:t xml:space="preserve">is afgezien van </w:t>
      </w:r>
      <w:r w:rsidRPr="00A22E80">
        <w:rPr>
          <w:rFonts w:ascii="Verdana" w:hAnsi="Verdana" w:cs="Arial"/>
          <w:sz w:val="18"/>
          <w:szCs w:val="18"/>
        </w:rPr>
        <w:t>een publieke consultatie. Wel z</w:t>
      </w:r>
      <w:r w:rsidR="00C26D0C" w:rsidRPr="00A22E80">
        <w:rPr>
          <w:rFonts w:ascii="Verdana" w:hAnsi="Verdana" w:cs="Arial"/>
          <w:sz w:val="18"/>
          <w:szCs w:val="18"/>
        </w:rPr>
        <w:t xml:space="preserve">ijn </w:t>
      </w:r>
      <w:r w:rsidRPr="00A22E80">
        <w:rPr>
          <w:rFonts w:ascii="Verdana" w:hAnsi="Verdana" w:cs="Arial"/>
          <w:sz w:val="18"/>
          <w:szCs w:val="18"/>
        </w:rPr>
        <w:t>relevante onderdelen van dit</w:t>
      </w:r>
      <w:r w:rsidR="00C26D0C" w:rsidRPr="00A22E80">
        <w:rPr>
          <w:rFonts w:ascii="Verdana" w:hAnsi="Verdana" w:cs="Arial"/>
          <w:sz w:val="18"/>
          <w:szCs w:val="18"/>
        </w:rPr>
        <w:t xml:space="preserve"> wetsvoorstel</w:t>
      </w:r>
      <w:r w:rsidRPr="00A22E80">
        <w:rPr>
          <w:rFonts w:ascii="Verdana" w:hAnsi="Verdana" w:cs="Arial"/>
          <w:sz w:val="18"/>
          <w:szCs w:val="18"/>
        </w:rPr>
        <w:t xml:space="preserve"> afgestemd met</w:t>
      </w:r>
      <w:r w:rsidR="00A7108A" w:rsidRPr="00A22E80">
        <w:rPr>
          <w:rFonts w:ascii="Verdana" w:hAnsi="Verdana" w:cs="Arial"/>
          <w:sz w:val="18"/>
          <w:szCs w:val="18"/>
        </w:rPr>
        <w:t xml:space="preserve"> </w:t>
      </w:r>
      <w:r w:rsidR="000F05E4">
        <w:rPr>
          <w:rFonts w:ascii="Verdana" w:hAnsi="Verdana" w:cs="Arial"/>
          <w:sz w:val="18"/>
          <w:szCs w:val="18"/>
        </w:rPr>
        <w:t>d</w:t>
      </w:r>
      <w:r w:rsidR="003816FB">
        <w:rPr>
          <w:rFonts w:ascii="Verdana" w:hAnsi="Verdana" w:cs="Arial"/>
          <w:sz w:val="18"/>
          <w:szCs w:val="18"/>
        </w:rPr>
        <w:t xml:space="preserve">e </w:t>
      </w:r>
      <w:proofErr w:type="spellStart"/>
      <w:r w:rsidR="003816FB">
        <w:rPr>
          <w:rFonts w:ascii="Verdana" w:hAnsi="Verdana" w:cs="Arial"/>
          <w:sz w:val="18"/>
          <w:szCs w:val="18"/>
        </w:rPr>
        <w:t>Nederlandsche</w:t>
      </w:r>
      <w:proofErr w:type="spellEnd"/>
      <w:r w:rsidR="003816FB">
        <w:rPr>
          <w:rFonts w:ascii="Verdana" w:hAnsi="Verdana" w:cs="Arial"/>
          <w:sz w:val="18"/>
          <w:szCs w:val="18"/>
        </w:rPr>
        <w:t xml:space="preserve"> Bank</w:t>
      </w:r>
      <w:r w:rsidR="00A7108A" w:rsidRPr="00A22E80">
        <w:rPr>
          <w:rFonts w:ascii="Verdana" w:hAnsi="Verdana" w:cs="Arial"/>
          <w:sz w:val="18"/>
          <w:szCs w:val="18"/>
        </w:rPr>
        <w:t xml:space="preserve"> (</w:t>
      </w:r>
      <w:r w:rsidRPr="00A22E80">
        <w:rPr>
          <w:rFonts w:ascii="Verdana" w:hAnsi="Verdana" w:cs="Arial"/>
          <w:sz w:val="18"/>
          <w:szCs w:val="18"/>
        </w:rPr>
        <w:t>DNB</w:t>
      </w:r>
      <w:r w:rsidR="00AC62AD" w:rsidRPr="00A22E80">
        <w:rPr>
          <w:rFonts w:ascii="Verdana" w:hAnsi="Verdana" w:cs="Arial"/>
          <w:sz w:val="18"/>
          <w:szCs w:val="18"/>
        </w:rPr>
        <w:t>) of</w:t>
      </w:r>
      <w:r w:rsidR="00A7108A" w:rsidRPr="00A22E80">
        <w:rPr>
          <w:rFonts w:ascii="Verdana" w:hAnsi="Verdana" w:cs="Arial"/>
          <w:sz w:val="18"/>
          <w:szCs w:val="18"/>
        </w:rPr>
        <w:t xml:space="preserve"> </w:t>
      </w:r>
      <w:r w:rsidR="00AC62AD" w:rsidRPr="00A22E80">
        <w:rPr>
          <w:rFonts w:ascii="Verdana" w:hAnsi="Verdana" w:cs="Arial"/>
          <w:sz w:val="18"/>
          <w:szCs w:val="18"/>
        </w:rPr>
        <w:t xml:space="preserve">de </w:t>
      </w:r>
      <w:r w:rsidRPr="00A22E80">
        <w:rPr>
          <w:rFonts w:ascii="Verdana" w:hAnsi="Verdana" w:cs="Arial"/>
          <w:sz w:val="18"/>
          <w:szCs w:val="18"/>
        </w:rPr>
        <w:t>A</w:t>
      </w:r>
      <w:r w:rsidR="00A7108A" w:rsidRPr="00A22E80">
        <w:rPr>
          <w:rFonts w:ascii="Verdana" w:hAnsi="Verdana" w:cs="Arial"/>
          <w:sz w:val="18"/>
          <w:szCs w:val="18"/>
        </w:rPr>
        <w:t xml:space="preserve">utoriteit </w:t>
      </w:r>
      <w:r w:rsidRPr="00A22E80">
        <w:rPr>
          <w:rFonts w:ascii="Verdana" w:hAnsi="Verdana" w:cs="Arial"/>
          <w:sz w:val="18"/>
          <w:szCs w:val="18"/>
        </w:rPr>
        <w:t>F</w:t>
      </w:r>
      <w:r w:rsidR="00A7108A" w:rsidRPr="00A22E80">
        <w:rPr>
          <w:rFonts w:ascii="Verdana" w:hAnsi="Verdana" w:cs="Arial"/>
          <w:sz w:val="18"/>
          <w:szCs w:val="18"/>
        </w:rPr>
        <w:t xml:space="preserve">inanciële </w:t>
      </w:r>
      <w:r w:rsidRPr="00A22E80">
        <w:rPr>
          <w:rFonts w:ascii="Verdana" w:hAnsi="Verdana" w:cs="Arial"/>
          <w:sz w:val="18"/>
          <w:szCs w:val="18"/>
        </w:rPr>
        <w:t>M</w:t>
      </w:r>
      <w:r w:rsidR="00A7108A" w:rsidRPr="00A22E80">
        <w:rPr>
          <w:rFonts w:ascii="Verdana" w:hAnsi="Verdana" w:cs="Arial"/>
          <w:sz w:val="18"/>
          <w:szCs w:val="18"/>
        </w:rPr>
        <w:t>arkten</w:t>
      </w:r>
      <w:r w:rsidR="003B64EA" w:rsidRPr="00A22E80">
        <w:rPr>
          <w:rFonts w:ascii="Verdana" w:hAnsi="Verdana" w:cs="Arial"/>
          <w:sz w:val="18"/>
          <w:szCs w:val="18"/>
        </w:rPr>
        <w:t xml:space="preserve"> (AFM).</w:t>
      </w:r>
    </w:p>
    <w:p w:rsidR="00BA425D" w:rsidRPr="00A22E80" w:rsidRDefault="00BA425D" w:rsidP="00A22E80">
      <w:pPr>
        <w:widowControl w:val="0"/>
        <w:tabs>
          <w:tab w:val="num" w:pos="720"/>
        </w:tabs>
        <w:spacing w:line="260" w:lineRule="exact"/>
        <w:rPr>
          <w:rFonts w:ascii="Verdana" w:hAnsi="Verdana" w:cs="Arial"/>
          <w:sz w:val="18"/>
          <w:szCs w:val="18"/>
        </w:rPr>
      </w:pPr>
    </w:p>
    <w:p w:rsidR="00D522FE" w:rsidRPr="00A22E80" w:rsidRDefault="00A7108A"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Voorts wordt, aangezien </w:t>
      </w:r>
      <w:r w:rsidR="00D522FE" w:rsidRPr="00A22E80">
        <w:rPr>
          <w:rFonts w:ascii="Verdana" w:hAnsi="Verdana" w:cs="Arial"/>
          <w:sz w:val="18"/>
          <w:szCs w:val="18"/>
        </w:rPr>
        <w:t xml:space="preserve">dit wetsvoorstel </w:t>
      </w:r>
      <w:r w:rsidR="001C740B" w:rsidRPr="00A22E80">
        <w:rPr>
          <w:rFonts w:ascii="Verdana" w:hAnsi="Verdana" w:cs="Arial"/>
          <w:sz w:val="18"/>
          <w:szCs w:val="18"/>
        </w:rPr>
        <w:t xml:space="preserve">mede </w:t>
      </w:r>
      <w:r w:rsidR="00CF2C42" w:rsidRPr="00A22E80">
        <w:rPr>
          <w:rFonts w:ascii="Verdana" w:hAnsi="Verdana" w:cs="Arial"/>
          <w:sz w:val="18"/>
          <w:szCs w:val="18"/>
        </w:rPr>
        <w:t xml:space="preserve">voorziet in enkele </w:t>
      </w:r>
      <w:r w:rsidR="002149FB" w:rsidRPr="00A22E80">
        <w:rPr>
          <w:rFonts w:ascii="Verdana" w:hAnsi="Verdana" w:cs="Arial"/>
          <w:sz w:val="18"/>
          <w:szCs w:val="18"/>
        </w:rPr>
        <w:t xml:space="preserve">wijzigingen van </w:t>
      </w:r>
      <w:r w:rsidR="00F96273" w:rsidRPr="00A22E80">
        <w:rPr>
          <w:rFonts w:ascii="Verdana" w:hAnsi="Verdana" w:cs="Arial"/>
          <w:sz w:val="18"/>
          <w:szCs w:val="18"/>
        </w:rPr>
        <w:t xml:space="preserve">de Faillissementswet en </w:t>
      </w:r>
      <w:r w:rsidR="002149FB" w:rsidRPr="00A22E80">
        <w:rPr>
          <w:rFonts w:ascii="Verdana" w:hAnsi="Verdana" w:cs="Arial"/>
          <w:sz w:val="18"/>
          <w:szCs w:val="18"/>
        </w:rPr>
        <w:t xml:space="preserve">Boek 2 van </w:t>
      </w:r>
      <w:r w:rsidR="00F96273" w:rsidRPr="00A22E80">
        <w:rPr>
          <w:rFonts w:ascii="Verdana" w:hAnsi="Verdana" w:cs="Arial"/>
          <w:sz w:val="18"/>
          <w:szCs w:val="18"/>
        </w:rPr>
        <w:t>het Burgerlijk Wetboek</w:t>
      </w:r>
      <w:r w:rsidR="001C740B" w:rsidRPr="00A22E80">
        <w:rPr>
          <w:rFonts w:ascii="Verdana" w:hAnsi="Verdana" w:cs="Arial"/>
          <w:sz w:val="18"/>
          <w:szCs w:val="18"/>
        </w:rPr>
        <w:t xml:space="preserve">, </w:t>
      </w:r>
      <w:r w:rsidR="00D522FE" w:rsidRPr="00A22E80">
        <w:rPr>
          <w:rFonts w:ascii="Verdana" w:hAnsi="Verdana" w:cs="Arial"/>
          <w:sz w:val="18"/>
          <w:szCs w:val="18"/>
        </w:rPr>
        <w:t xml:space="preserve">deze toelichting </w:t>
      </w:r>
      <w:r w:rsidR="006669D9" w:rsidRPr="00A22E80">
        <w:rPr>
          <w:rFonts w:ascii="Verdana" w:hAnsi="Verdana" w:cs="Arial"/>
          <w:sz w:val="18"/>
          <w:szCs w:val="18"/>
        </w:rPr>
        <w:t>n</w:t>
      </w:r>
      <w:r w:rsidR="00467F1E" w:rsidRPr="00A22E80">
        <w:rPr>
          <w:rFonts w:ascii="Verdana" w:hAnsi="Verdana" w:cs="Arial"/>
          <w:sz w:val="18"/>
          <w:szCs w:val="18"/>
        </w:rPr>
        <w:t>a</w:t>
      </w:r>
      <w:r w:rsidR="006669D9" w:rsidRPr="00A22E80">
        <w:rPr>
          <w:rFonts w:ascii="Verdana" w:hAnsi="Verdana" w:cs="Arial"/>
          <w:sz w:val="18"/>
          <w:szCs w:val="18"/>
        </w:rPr>
        <w:t xml:space="preserve"> overleg met</w:t>
      </w:r>
      <w:r w:rsidR="00D522FE" w:rsidRPr="00A22E80">
        <w:rPr>
          <w:rFonts w:ascii="Verdana" w:hAnsi="Verdana" w:cs="Arial"/>
          <w:sz w:val="18"/>
          <w:szCs w:val="18"/>
        </w:rPr>
        <w:t xml:space="preserve"> de </w:t>
      </w:r>
      <w:r w:rsidR="000724C5" w:rsidRPr="00A22E80">
        <w:rPr>
          <w:rFonts w:ascii="Verdana" w:hAnsi="Verdana" w:cs="Arial"/>
          <w:sz w:val="18"/>
          <w:szCs w:val="18"/>
        </w:rPr>
        <w:t>M</w:t>
      </w:r>
      <w:r w:rsidR="00D522FE" w:rsidRPr="00A22E80">
        <w:rPr>
          <w:rFonts w:ascii="Verdana" w:hAnsi="Verdana" w:cs="Arial"/>
          <w:sz w:val="18"/>
          <w:szCs w:val="18"/>
        </w:rPr>
        <w:t>inister van Veiligheid en Justitie gegeven.</w:t>
      </w:r>
    </w:p>
    <w:p w:rsidR="005612A8" w:rsidRDefault="005612A8" w:rsidP="00A22E80">
      <w:pPr>
        <w:widowControl w:val="0"/>
        <w:tabs>
          <w:tab w:val="num" w:pos="720"/>
        </w:tabs>
        <w:spacing w:line="260" w:lineRule="exact"/>
        <w:rPr>
          <w:rFonts w:ascii="Verdana" w:hAnsi="Verdana" w:cs="Arial"/>
          <w:sz w:val="18"/>
          <w:szCs w:val="18"/>
        </w:rPr>
      </w:pPr>
    </w:p>
    <w:p w:rsidR="00A22E80" w:rsidRPr="00A22E80" w:rsidRDefault="00A22E80" w:rsidP="00A22E80">
      <w:pPr>
        <w:widowControl w:val="0"/>
        <w:tabs>
          <w:tab w:val="num" w:pos="720"/>
        </w:tabs>
        <w:spacing w:line="260" w:lineRule="exact"/>
        <w:rPr>
          <w:rFonts w:ascii="Verdana" w:hAnsi="Verdana" w:cs="Arial"/>
          <w:sz w:val="18"/>
          <w:szCs w:val="18"/>
        </w:rPr>
      </w:pPr>
    </w:p>
    <w:p w:rsidR="00AD7244" w:rsidRPr="00A22E80" w:rsidRDefault="00D04834" w:rsidP="00A22E80">
      <w:pPr>
        <w:pStyle w:val="Kop2"/>
        <w:spacing w:before="0" w:after="0" w:line="260" w:lineRule="exact"/>
        <w:rPr>
          <w:rFonts w:ascii="Verdana" w:hAnsi="Verdana"/>
          <w:b w:val="0"/>
          <w:sz w:val="18"/>
          <w:szCs w:val="18"/>
        </w:rPr>
      </w:pPr>
      <w:bookmarkStart w:id="2" w:name="_Toc457475045"/>
      <w:r w:rsidRPr="00A22E80">
        <w:rPr>
          <w:rFonts w:ascii="Verdana" w:hAnsi="Verdana"/>
          <w:b w:val="0"/>
          <w:sz w:val="18"/>
          <w:szCs w:val="18"/>
        </w:rPr>
        <w:t>§</w:t>
      </w:r>
      <w:r w:rsidR="00A22E80">
        <w:rPr>
          <w:rFonts w:ascii="Verdana" w:hAnsi="Verdana"/>
          <w:b w:val="0"/>
          <w:sz w:val="18"/>
          <w:szCs w:val="18"/>
        </w:rPr>
        <w:t>2</w:t>
      </w:r>
      <w:r w:rsidRPr="00A22E80">
        <w:rPr>
          <w:rFonts w:ascii="Verdana" w:hAnsi="Verdana"/>
          <w:b w:val="0"/>
          <w:sz w:val="18"/>
          <w:szCs w:val="18"/>
        </w:rPr>
        <w:t>.</w:t>
      </w:r>
      <w:r w:rsidR="00AD7244" w:rsidRPr="00A22E80">
        <w:rPr>
          <w:rFonts w:ascii="Verdana" w:hAnsi="Verdana"/>
          <w:b w:val="0"/>
          <w:sz w:val="18"/>
          <w:szCs w:val="18"/>
        </w:rPr>
        <w:t xml:space="preserve"> Administratieve lasten, </w:t>
      </w:r>
      <w:proofErr w:type="spellStart"/>
      <w:r w:rsidR="00AD7244" w:rsidRPr="00A22E80">
        <w:rPr>
          <w:rFonts w:ascii="Verdana" w:hAnsi="Verdana"/>
          <w:b w:val="0"/>
          <w:sz w:val="18"/>
          <w:szCs w:val="18"/>
        </w:rPr>
        <w:t>nalevingskosten</w:t>
      </w:r>
      <w:proofErr w:type="spellEnd"/>
      <w:r w:rsidR="00AD7244" w:rsidRPr="00A22E80">
        <w:rPr>
          <w:rFonts w:ascii="Verdana" w:hAnsi="Verdana"/>
          <w:b w:val="0"/>
          <w:sz w:val="18"/>
          <w:szCs w:val="18"/>
        </w:rPr>
        <w:t xml:space="preserve"> en toezichtlasten</w:t>
      </w:r>
      <w:bookmarkEnd w:id="2"/>
    </w:p>
    <w:p w:rsidR="00175438" w:rsidRPr="00A22E80" w:rsidRDefault="00175438" w:rsidP="00A22E80">
      <w:pPr>
        <w:widowControl w:val="0"/>
        <w:tabs>
          <w:tab w:val="num" w:pos="720"/>
        </w:tabs>
        <w:spacing w:line="260" w:lineRule="exact"/>
        <w:rPr>
          <w:rFonts w:ascii="Verdana" w:hAnsi="Verdana" w:cs="Arial"/>
          <w:sz w:val="18"/>
          <w:szCs w:val="18"/>
        </w:rPr>
      </w:pPr>
    </w:p>
    <w:p w:rsidR="0021658E" w:rsidRPr="00A22E80" w:rsidRDefault="007C04B5" w:rsidP="00A22E80">
      <w:pPr>
        <w:widowControl w:val="0"/>
        <w:tabs>
          <w:tab w:val="num" w:pos="720"/>
        </w:tabs>
        <w:spacing w:line="260" w:lineRule="exact"/>
        <w:rPr>
          <w:rFonts w:ascii="Verdana" w:hAnsi="Verdana"/>
          <w:sz w:val="18"/>
          <w:szCs w:val="18"/>
        </w:rPr>
      </w:pPr>
      <w:r w:rsidRPr="00A22E80">
        <w:rPr>
          <w:rFonts w:ascii="Verdana" w:hAnsi="Verdana" w:cs="Arial"/>
          <w:sz w:val="18"/>
          <w:szCs w:val="18"/>
        </w:rPr>
        <w:t xml:space="preserve">De in dit wetsvoorstel opgenomen (technische) aanpassingen ter herstel van gebreken en omissies die zijn opgetreden bij eerdere implementaties leveren </w:t>
      </w:r>
      <w:r w:rsidR="00081D71" w:rsidRPr="00A22E80">
        <w:rPr>
          <w:rFonts w:ascii="Verdana" w:hAnsi="Verdana" w:cs="Arial"/>
          <w:sz w:val="18"/>
          <w:szCs w:val="18"/>
        </w:rPr>
        <w:t xml:space="preserve">ten opzichte van de oorspronkelijke implementatiewetten </w:t>
      </w:r>
      <w:r w:rsidRPr="00A22E80">
        <w:rPr>
          <w:rFonts w:ascii="Verdana" w:hAnsi="Verdana" w:cs="Arial"/>
          <w:sz w:val="18"/>
          <w:szCs w:val="18"/>
        </w:rPr>
        <w:t>geen additionele</w:t>
      </w:r>
      <w:r w:rsidR="00D25FF1" w:rsidRPr="00A22E80">
        <w:rPr>
          <w:rFonts w:ascii="Verdana" w:hAnsi="Verdana" w:cs="Arial"/>
          <w:sz w:val="18"/>
          <w:szCs w:val="18"/>
        </w:rPr>
        <w:t xml:space="preserve"> administratieve lasten, toezichtlasten of</w:t>
      </w:r>
      <w:r w:rsidRPr="00A22E80">
        <w:rPr>
          <w:rFonts w:ascii="Verdana" w:hAnsi="Verdana" w:cs="Arial"/>
          <w:sz w:val="18"/>
          <w:szCs w:val="18"/>
        </w:rPr>
        <w:t xml:space="preserve"> regeldruk op.</w:t>
      </w:r>
    </w:p>
    <w:p w:rsidR="000D4301" w:rsidRDefault="000D4301" w:rsidP="00A22E80">
      <w:pPr>
        <w:widowControl w:val="0"/>
        <w:tabs>
          <w:tab w:val="num" w:pos="720"/>
        </w:tabs>
        <w:spacing w:line="260" w:lineRule="exact"/>
        <w:rPr>
          <w:rFonts w:ascii="Verdana" w:hAnsi="Verdana" w:cs="Arial"/>
          <w:sz w:val="18"/>
          <w:szCs w:val="18"/>
        </w:rPr>
      </w:pPr>
    </w:p>
    <w:p w:rsidR="00A22E80" w:rsidRPr="00A22E80" w:rsidRDefault="00A22E80" w:rsidP="00A22E80">
      <w:pPr>
        <w:widowControl w:val="0"/>
        <w:tabs>
          <w:tab w:val="num" w:pos="720"/>
        </w:tabs>
        <w:spacing w:line="260" w:lineRule="exact"/>
        <w:rPr>
          <w:rFonts w:ascii="Verdana" w:hAnsi="Verdana" w:cs="Arial"/>
          <w:sz w:val="18"/>
          <w:szCs w:val="18"/>
        </w:rPr>
      </w:pPr>
    </w:p>
    <w:p w:rsidR="00B5654A" w:rsidRPr="00A22E80" w:rsidRDefault="00B5654A" w:rsidP="00A22E80">
      <w:pPr>
        <w:pStyle w:val="Kop2"/>
        <w:spacing w:before="0" w:after="0" w:line="260" w:lineRule="exact"/>
        <w:rPr>
          <w:rFonts w:ascii="Verdana" w:hAnsi="Verdana"/>
          <w:i w:val="0"/>
          <w:sz w:val="18"/>
          <w:szCs w:val="18"/>
        </w:rPr>
      </w:pPr>
      <w:bookmarkStart w:id="3" w:name="_Toc457475046"/>
      <w:r w:rsidRPr="00A22E80">
        <w:rPr>
          <w:rFonts w:ascii="Verdana" w:hAnsi="Verdana"/>
          <w:i w:val="0"/>
          <w:sz w:val="18"/>
          <w:szCs w:val="18"/>
        </w:rPr>
        <w:t>ARTIKELSGEWIJS</w:t>
      </w:r>
      <w:bookmarkEnd w:id="3"/>
    </w:p>
    <w:p w:rsidR="00B5654A" w:rsidRPr="00A22E80" w:rsidRDefault="00B5654A" w:rsidP="00A22E80">
      <w:pPr>
        <w:widowControl w:val="0"/>
        <w:tabs>
          <w:tab w:val="num" w:pos="720"/>
        </w:tabs>
        <w:spacing w:line="260" w:lineRule="exact"/>
        <w:rPr>
          <w:rFonts w:ascii="Verdana" w:hAnsi="Verdana" w:cs="Arial"/>
          <w:sz w:val="18"/>
          <w:szCs w:val="18"/>
        </w:rPr>
      </w:pPr>
    </w:p>
    <w:p w:rsidR="00B5654A" w:rsidRPr="00A22E80" w:rsidRDefault="00AD7244" w:rsidP="00A22E80">
      <w:pPr>
        <w:widowControl w:val="0"/>
        <w:tabs>
          <w:tab w:val="num" w:pos="720"/>
        </w:tabs>
        <w:spacing w:line="260" w:lineRule="exact"/>
        <w:rPr>
          <w:rFonts w:ascii="Verdana" w:hAnsi="Verdana" w:cs="Arial"/>
          <w:b/>
          <w:sz w:val="18"/>
          <w:szCs w:val="18"/>
        </w:rPr>
      </w:pPr>
      <w:r w:rsidRPr="00A22E80">
        <w:rPr>
          <w:rFonts w:ascii="Verdana" w:hAnsi="Verdana" w:cs="Arial"/>
          <w:b/>
          <w:sz w:val="18"/>
          <w:szCs w:val="18"/>
        </w:rPr>
        <w:t>ARTIKEL I</w:t>
      </w:r>
    </w:p>
    <w:p w:rsidR="00B5654A" w:rsidRPr="00A22E80" w:rsidRDefault="00B5654A" w:rsidP="00A22E80">
      <w:pPr>
        <w:widowControl w:val="0"/>
        <w:tabs>
          <w:tab w:val="num" w:pos="720"/>
        </w:tabs>
        <w:spacing w:line="260" w:lineRule="exact"/>
        <w:rPr>
          <w:rFonts w:ascii="Verdana" w:hAnsi="Verdana" w:cs="Arial"/>
          <w:sz w:val="18"/>
          <w:szCs w:val="18"/>
        </w:rPr>
      </w:pPr>
    </w:p>
    <w:p w:rsidR="00170A74" w:rsidRPr="00A22E80" w:rsidRDefault="00170A74"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A</w:t>
      </w:r>
    </w:p>
    <w:p w:rsidR="00CC0F7B" w:rsidRPr="00A22E80" w:rsidRDefault="00CC0F7B" w:rsidP="00A22E80">
      <w:pPr>
        <w:spacing w:line="260" w:lineRule="exact"/>
        <w:rPr>
          <w:rFonts w:ascii="Verdana" w:hAnsi="Verdana"/>
          <w:sz w:val="18"/>
          <w:szCs w:val="18"/>
        </w:rPr>
      </w:pPr>
    </w:p>
    <w:p w:rsidR="00250D11" w:rsidRPr="00A22E80" w:rsidRDefault="00D845C5" w:rsidP="00A22E80">
      <w:pPr>
        <w:spacing w:line="260" w:lineRule="exact"/>
        <w:rPr>
          <w:rFonts w:ascii="Verdana" w:hAnsi="Verdana"/>
          <w:sz w:val="18"/>
          <w:szCs w:val="18"/>
        </w:rPr>
      </w:pPr>
      <w:r w:rsidRPr="00A22E80">
        <w:rPr>
          <w:rFonts w:ascii="Verdana" w:hAnsi="Verdana"/>
          <w:sz w:val="18"/>
          <w:szCs w:val="18"/>
        </w:rPr>
        <w:t xml:space="preserve">1. </w:t>
      </w:r>
      <w:r w:rsidR="00250D11" w:rsidRPr="00A22E80">
        <w:rPr>
          <w:rFonts w:ascii="Verdana" w:hAnsi="Verdana"/>
          <w:sz w:val="18"/>
          <w:szCs w:val="18"/>
        </w:rPr>
        <w:t>Bij nader inzien dient de in artikel 1</w:t>
      </w:r>
      <w:r w:rsidR="00E11D58" w:rsidRPr="00A22E80">
        <w:rPr>
          <w:rFonts w:ascii="Verdana" w:hAnsi="Verdana"/>
          <w:sz w:val="18"/>
          <w:szCs w:val="18"/>
        </w:rPr>
        <w:t>:</w:t>
      </w:r>
      <w:r w:rsidR="00250D11" w:rsidRPr="00A22E80">
        <w:rPr>
          <w:rFonts w:ascii="Verdana" w:hAnsi="Verdana"/>
          <w:sz w:val="18"/>
          <w:szCs w:val="18"/>
        </w:rPr>
        <w:t xml:space="preserve">1 opgenomen definitie van het begrip “afwikkeling”, </w:t>
      </w:r>
      <w:r w:rsidR="009511CF">
        <w:rPr>
          <w:rFonts w:ascii="Verdana" w:hAnsi="Verdana"/>
          <w:sz w:val="18"/>
          <w:szCs w:val="18"/>
        </w:rPr>
        <w:t xml:space="preserve">dat is </w:t>
      </w:r>
      <w:r w:rsidR="00250D11" w:rsidRPr="00A22E80">
        <w:rPr>
          <w:rFonts w:ascii="Verdana" w:hAnsi="Verdana"/>
          <w:sz w:val="18"/>
          <w:szCs w:val="18"/>
        </w:rPr>
        <w:t xml:space="preserve">ingevoegd bij de Implementatiewet Europees kader voor herstel en afwikkeling van banken en beleggingsondernemingen, achterwege te </w:t>
      </w:r>
      <w:r w:rsidR="00250D11" w:rsidRPr="00A22E80">
        <w:rPr>
          <w:rFonts w:ascii="Verdana" w:hAnsi="Verdana"/>
          <w:sz w:val="18"/>
          <w:szCs w:val="18"/>
        </w:rPr>
        <w:lastRenderedPageBreak/>
        <w:t xml:space="preserve">blijven. Het begrip wordt in de wet namelijk ook in andere betekenissen gebruikt, vgl. artikelen 1:65, 1:90, 1:104, 3:160t, 3: 201a, 3:202, 3:206, 3:222 </w:t>
      </w:r>
      <w:proofErr w:type="spellStart"/>
      <w:r w:rsidR="00250D11" w:rsidRPr="00A22E80">
        <w:rPr>
          <w:rFonts w:ascii="Verdana" w:hAnsi="Verdana"/>
          <w:sz w:val="18"/>
          <w:szCs w:val="18"/>
        </w:rPr>
        <w:t>Wft</w:t>
      </w:r>
      <w:proofErr w:type="spellEnd"/>
      <w:r w:rsidR="00250D11" w:rsidRPr="00A22E80">
        <w:rPr>
          <w:rFonts w:ascii="Verdana" w:hAnsi="Verdana"/>
          <w:sz w:val="18"/>
          <w:szCs w:val="18"/>
        </w:rPr>
        <w:t xml:space="preserve">. Een afzonderlijk definiëring is bovendien niet nodig, omdat de relevante inhoud van het begrip telkens voldoende blijkt uit de verschillende context waarin het begrip wordt gebruikt. </w:t>
      </w:r>
    </w:p>
    <w:p w:rsidR="00250D11" w:rsidRPr="00A22E80" w:rsidRDefault="00250D11" w:rsidP="00A22E80">
      <w:pPr>
        <w:spacing w:line="260" w:lineRule="exact"/>
        <w:rPr>
          <w:rFonts w:ascii="Verdana" w:hAnsi="Verdana"/>
          <w:sz w:val="18"/>
          <w:szCs w:val="18"/>
        </w:rPr>
      </w:pPr>
    </w:p>
    <w:p w:rsidR="000039D7" w:rsidRPr="00A22E80" w:rsidRDefault="00D845C5" w:rsidP="00A22E80">
      <w:pPr>
        <w:spacing w:line="260" w:lineRule="exact"/>
        <w:rPr>
          <w:rFonts w:ascii="Verdana" w:hAnsi="Verdana"/>
          <w:sz w:val="18"/>
          <w:szCs w:val="18"/>
        </w:rPr>
      </w:pPr>
      <w:r w:rsidRPr="00A22E80">
        <w:rPr>
          <w:rFonts w:ascii="Verdana" w:hAnsi="Verdana"/>
          <w:sz w:val="18"/>
          <w:szCs w:val="18"/>
        </w:rPr>
        <w:t xml:space="preserve">2. </w:t>
      </w:r>
      <w:r w:rsidR="000039D7" w:rsidRPr="00A22E80">
        <w:rPr>
          <w:rFonts w:ascii="Verdana" w:hAnsi="Verdana"/>
          <w:sz w:val="18"/>
          <w:szCs w:val="18"/>
        </w:rPr>
        <w:t xml:space="preserve">Bij de implementatie van de richtlijn herstel en afwikkeling van banken en beleggingsondernemingen ontbrak de definitie van het begrip </w:t>
      </w:r>
      <w:r w:rsidR="00806817" w:rsidRPr="00A22E80">
        <w:rPr>
          <w:rFonts w:ascii="Verdana" w:hAnsi="Verdana"/>
          <w:sz w:val="18"/>
          <w:szCs w:val="18"/>
        </w:rPr>
        <w:t>“</w:t>
      </w:r>
      <w:proofErr w:type="spellStart"/>
      <w:r w:rsidR="000039D7" w:rsidRPr="00A22E80">
        <w:rPr>
          <w:rFonts w:ascii="Verdana" w:hAnsi="Verdana"/>
          <w:sz w:val="18"/>
          <w:szCs w:val="18"/>
        </w:rPr>
        <w:t>beëindigingsrecht</w:t>
      </w:r>
      <w:proofErr w:type="spellEnd"/>
      <w:r w:rsidR="00806817" w:rsidRPr="00A22E80">
        <w:rPr>
          <w:rFonts w:ascii="Verdana" w:hAnsi="Verdana"/>
          <w:sz w:val="18"/>
          <w:szCs w:val="18"/>
        </w:rPr>
        <w:t>”</w:t>
      </w:r>
      <w:r w:rsidR="000039D7" w:rsidRPr="00A22E80">
        <w:rPr>
          <w:rFonts w:ascii="Verdana" w:hAnsi="Verdana"/>
          <w:sz w:val="18"/>
          <w:szCs w:val="18"/>
        </w:rPr>
        <w:t>, dat wordt gebruikt in de artikelen 1:76b en 3A:54</w:t>
      </w:r>
      <w:r w:rsidR="003849D5" w:rsidRPr="00A22E80">
        <w:rPr>
          <w:rFonts w:ascii="Verdana" w:hAnsi="Verdana"/>
          <w:sz w:val="18"/>
          <w:szCs w:val="18"/>
        </w:rPr>
        <w:t xml:space="preserve"> van de </w:t>
      </w:r>
      <w:proofErr w:type="spellStart"/>
      <w:r w:rsidR="003849D5" w:rsidRPr="00A22E80">
        <w:rPr>
          <w:rFonts w:ascii="Verdana" w:hAnsi="Verdana"/>
          <w:sz w:val="18"/>
          <w:szCs w:val="18"/>
        </w:rPr>
        <w:t>Wft</w:t>
      </w:r>
      <w:proofErr w:type="spellEnd"/>
      <w:r w:rsidR="000039D7" w:rsidRPr="00A22E80">
        <w:rPr>
          <w:rFonts w:ascii="Verdana" w:hAnsi="Verdana"/>
          <w:sz w:val="18"/>
          <w:szCs w:val="18"/>
        </w:rPr>
        <w:t xml:space="preserve">. </w:t>
      </w:r>
      <w:r w:rsidR="00081D71" w:rsidRPr="00A22E80">
        <w:rPr>
          <w:rFonts w:ascii="Verdana" w:hAnsi="Verdana"/>
          <w:sz w:val="18"/>
          <w:szCs w:val="18"/>
        </w:rPr>
        <w:t>Vanwege verschillen tussen de formuleringen van het begrip in d</w:t>
      </w:r>
      <w:r w:rsidR="000039D7" w:rsidRPr="00A22E80">
        <w:rPr>
          <w:rFonts w:ascii="Verdana" w:hAnsi="Verdana"/>
          <w:sz w:val="18"/>
          <w:szCs w:val="18"/>
        </w:rPr>
        <w:t xml:space="preserve">ie artikelen zijn </w:t>
      </w:r>
      <w:r w:rsidR="00081D71" w:rsidRPr="00A22E80">
        <w:rPr>
          <w:rFonts w:ascii="Verdana" w:hAnsi="Verdana"/>
          <w:sz w:val="18"/>
          <w:szCs w:val="18"/>
        </w:rPr>
        <w:t xml:space="preserve">die zo nodig </w:t>
      </w:r>
      <w:r w:rsidR="000039D7" w:rsidRPr="00A22E80">
        <w:rPr>
          <w:rFonts w:ascii="Verdana" w:hAnsi="Verdana"/>
          <w:sz w:val="18"/>
          <w:szCs w:val="18"/>
        </w:rPr>
        <w:t>redactioneel aangepast.</w:t>
      </w:r>
      <w:r w:rsidR="00E13607" w:rsidRPr="00A22E80">
        <w:rPr>
          <w:rFonts w:ascii="Verdana" w:hAnsi="Verdana"/>
          <w:sz w:val="18"/>
          <w:szCs w:val="18"/>
        </w:rPr>
        <w:t xml:space="preserve"> </w:t>
      </w:r>
    </w:p>
    <w:p w:rsidR="000039D7" w:rsidRPr="00A22E80" w:rsidRDefault="000039D7" w:rsidP="00A22E80">
      <w:pPr>
        <w:spacing w:line="260" w:lineRule="exact"/>
        <w:rPr>
          <w:rFonts w:ascii="Verdana" w:hAnsi="Verdana"/>
          <w:sz w:val="18"/>
          <w:szCs w:val="18"/>
        </w:rPr>
      </w:pPr>
    </w:p>
    <w:p w:rsidR="00EA739D" w:rsidRPr="00A22E80" w:rsidRDefault="00825447" w:rsidP="00A22E80">
      <w:pPr>
        <w:spacing w:line="260" w:lineRule="exact"/>
        <w:rPr>
          <w:rFonts w:ascii="Verdana" w:hAnsi="Verdana"/>
          <w:sz w:val="18"/>
          <w:szCs w:val="18"/>
        </w:rPr>
      </w:pPr>
      <w:r w:rsidRPr="00A22E80">
        <w:rPr>
          <w:rFonts w:ascii="Verdana" w:hAnsi="Verdana"/>
          <w:sz w:val="18"/>
          <w:szCs w:val="18"/>
        </w:rPr>
        <w:t xml:space="preserve">4. </w:t>
      </w:r>
      <w:r w:rsidR="00EA739D" w:rsidRPr="00A22E80">
        <w:rPr>
          <w:rFonts w:ascii="Verdana" w:hAnsi="Verdana"/>
          <w:sz w:val="18"/>
          <w:szCs w:val="18"/>
        </w:rPr>
        <w:t xml:space="preserve">Artikel 117 van </w:t>
      </w:r>
      <w:r w:rsidR="00B41DDA" w:rsidRPr="00A22E80">
        <w:rPr>
          <w:rFonts w:ascii="Verdana" w:hAnsi="Verdana"/>
          <w:sz w:val="18"/>
          <w:szCs w:val="18"/>
        </w:rPr>
        <w:t xml:space="preserve">de </w:t>
      </w:r>
      <w:r w:rsidR="00EA739D" w:rsidRPr="00A22E80">
        <w:rPr>
          <w:rFonts w:ascii="Verdana" w:hAnsi="Verdana"/>
          <w:sz w:val="18"/>
          <w:szCs w:val="18"/>
        </w:rPr>
        <w:t>richtlijn herstel en afwikkeling van banken en beleggingsondernemingen wijzigt de definitie van “saneringsmaatregelen”</w:t>
      </w:r>
      <w:r w:rsidR="00B41DDA" w:rsidRPr="00A22E80">
        <w:rPr>
          <w:rFonts w:ascii="Verdana" w:hAnsi="Verdana"/>
          <w:sz w:val="18"/>
          <w:szCs w:val="18"/>
        </w:rPr>
        <w:t>,</w:t>
      </w:r>
      <w:r w:rsidR="00EA739D" w:rsidRPr="00A22E80">
        <w:rPr>
          <w:rFonts w:ascii="Verdana" w:hAnsi="Verdana"/>
          <w:sz w:val="18"/>
          <w:szCs w:val="18"/>
        </w:rPr>
        <w:t xml:space="preserve"> zodat daaronder naast de “traditionele” saneringsmaatregelen voortaan ook het afwikkelingsinstrumentarium ingevolge de richtlijn valt. In verband hiermee moet onder de term “bewindvoerder” voortaan mede worden verstaan de autoriteit die bevoegd is tot toepassing van een afwikkelingsinstrument en de uitoefening van afwikkelingsbevoegdheden als bedoeld in die richtlijn.</w:t>
      </w:r>
    </w:p>
    <w:p w:rsidR="00EA739D" w:rsidRPr="00A22E80" w:rsidRDefault="00EA739D" w:rsidP="00A22E80">
      <w:pPr>
        <w:spacing w:line="260" w:lineRule="exact"/>
        <w:rPr>
          <w:rFonts w:ascii="Verdana" w:hAnsi="Verdana"/>
          <w:sz w:val="18"/>
          <w:szCs w:val="18"/>
        </w:rPr>
      </w:pPr>
    </w:p>
    <w:p w:rsidR="00081D71" w:rsidRPr="00A22E80" w:rsidRDefault="00081D71" w:rsidP="00A22E80">
      <w:pPr>
        <w:widowControl w:val="0"/>
        <w:spacing w:line="260" w:lineRule="exact"/>
        <w:rPr>
          <w:rFonts w:ascii="Verdana" w:hAnsi="Verdana"/>
          <w:sz w:val="18"/>
          <w:szCs w:val="18"/>
        </w:rPr>
      </w:pPr>
      <w:r w:rsidRPr="00A22E80">
        <w:rPr>
          <w:rFonts w:ascii="Verdana" w:hAnsi="Verdana"/>
          <w:sz w:val="18"/>
          <w:szCs w:val="18"/>
        </w:rPr>
        <w:t>5. Op grond van artikel 23 van de richtlijn markten voor financiële instrumenten (</w:t>
      </w:r>
      <w:proofErr w:type="spellStart"/>
      <w:r w:rsidRPr="00A22E80">
        <w:rPr>
          <w:rFonts w:ascii="Verdana" w:hAnsi="Verdana"/>
          <w:sz w:val="18"/>
          <w:szCs w:val="18"/>
        </w:rPr>
        <w:t>MiFID</w:t>
      </w:r>
      <w:proofErr w:type="spellEnd"/>
      <w:r w:rsidRPr="00A22E80">
        <w:rPr>
          <w:rFonts w:ascii="Verdana" w:hAnsi="Verdana"/>
          <w:sz w:val="18"/>
          <w:szCs w:val="18"/>
        </w:rPr>
        <w:t xml:space="preserve"> I) kunnen lidstaten besluiten een beleggingsonderneming toe te staan verbonden agenten aan te wijzen om onder meer financiële instrumenten te plaatsen en advies te verstrekken in verband met deze financiële instrumenten. Van deze lidstaatoptie is bij de implementatie van die richtlijn gebruik gemaakt door het opnemen van een aantal artikelen in delen 2 en 4 van de </w:t>
      </w:r>
      <w:proofErr w:type="spellStart"/>
      <w:r w:rsidRPr="00A22E80">
        <w:rPr>
          <w:rFonts w:ascii="Verdana" w:hAnsi="Verdana"/>
          <w:sz w:val="18"/>
          <w:szCs w:val="18"/>
        </w:rPr>
        <w:t>Wft</w:t>
      </w:r>
      <w:proofErr w:type="spellEnd"/>
      <w:r w:rsidRPr="00A22E80">
        <w:rPr>
          <w:rFonts w:ascii="Verdana" w:hAnsi="Verdana"/>
          <w:sz w:val="18"/>
          <w:szCs w:val="18"/>
        </w:rPr>
        <w:t xml:space="preserve">. In artikel 23 van de richtlijn wordt geen onderscheid gemaakt tussen het plaatsen van financiële instrumenten met plaatsingsgarantie en zonder plaatsingsgarantie. Bij de implementatie van </w:t>
      </w:r>
      <w:proofErr w:type="spellStart"/>
      <w:r w:rsidRPr="00A22E80">
        <w:rPr>
          <w:rFonts w:ascii="Verdana" w:hAnsi="Verdana"/>
          <w:sz w:val="18"/>
          <w:szCs w:val="18"/>
        </w:rPr>
        <w:t>MiFID</w:t>
      </w:r>
      <w:proofErr w:type="spellEnd"/>
      <w:r w:rsidRPr="00A22E80">
        <w:rPr>
          <w:rFonts w:ascii="Verdana" w:hAnsi="Verdana"/>
          <w:sz w:val="18"/>
          <w:szCs w:val="18"/>
        </w:rPr>
        <w:t xml:space="preserve"> I is </w:t>
      </w:r>
      <w:r w:rsidR="00B41DDA" w:rsidRPr="00A22E80">
        <w:rPr>
          <w:rFonts w:ascii="Verdana" w:hAnsi="Verdana"/>
          <w:sz w:val="18"/>
          <w:szCs w:val="18"/>
        </w:rPr>
        <w:t xml:space="preserve">dit </w:t>
      </w:r>
      <w:r w:rsidRPr="00A22E80">
        <w:rPr>
          <w:rFonts w:ascii="Verdana" w:hAnsi="Verdana"/>
          <w:sz w:val="18"/>
          <w:szCs w:val="18"/>
        </w:rPr>
        <w:t>in de definitie van “het verlenen van een beleggingsdienst” wel gesplitst in twee onderdelen, namelijk onderdeel e (</w:t>
      </w:r>
      <w:r w:rsidR="00B41DDA" w:rsidRPr="00A22E80">
        <w:rPr>
          <w:rFonts w:ascii="Verdana" w:hAnsi="Verdana"/>
          <w:sz w:val="18"/>
          <w:szCs w:val="18"/>
        </w:rPr>
        <w:t xml:space="preserve">het </w:t>
      </w:r>
      <w:r w:rsidRPr="00A22E80">
        <w:rPr>
          <w:rFonts w:ascii="Verdana" w:hAnsi="Verdana"/>
          <w:sz w:val="18"/>
          <w:szCs w:val="18"/>
        </w:rPr>
        <w:t>plaatsen van financiële instrumenten met plaatsingsgarantie) en onderdeel f (</w:t>
      </w:r>
      <w:r w:rsidR="00B41DDA" w:rsidRPr="00A22E80">
        <w:rPr>
          <w:rFonts w:ascii="Verdana" w:hAnsi="Verdana"/>
          <w:sz w:val="18"/>
          <w:szCs w:val="18"/>
        </w:rPr>
        <w:t xml:space="preserve">het </w:t>
      </w:r>
      <w:r w:rsidRPr="00A22E80">
        <w:rPr>
          <w:rFonts w:ascii="Verdana" w:hAnsi="Verdana"/>
          <w:sz w:val="18"/>
          <w:szCs w:val="18"/>
        </w:rPr>
        <w:t>plaatse</w:t>
      </w:r>
      <w:r w:rsidR="00B41DDA" w:rsidRPr="00A22E80">
        <w:rPr>
          <w:rFonts w:ascii="Verdana" w:hAnsi="Verdana"/>
          <w:sz w:val="18"/>
          <w:szCs w:val="18"/>
        </w:rPr>
        <w:t xml:space="preserve">n van financiële instrumenten </w:t>
      </w:r>
      <w:proofErr w:type="spellStart"/>
      <w:r w:rsidR="00B41DDA" w:rsidRPr="00A22E80">
        <w:rPr>
          <w:rFonts w:ascii="Verdana" w:hAnsi="Verdana"/>
          <w:sz w:val="18"/>
          <w:szCs w:val="18"/>
        </w:rPr>
        <w:t>zò</w:t>
      </w:r>
      <w:r w:rsidRPr="00A22E80">
        <w:rPr>
          <w:rFonts w:ascii="Verdana" w:hAnsi="Verdana"/>
          <w:sz w:val="18"/>
          <w:szCs w:val="18"/>
        </w:rPr>
        <w:t>nder</w:t>
      </w:r>
      <w:proofErr w:type="spellEnd"/>
      <w:r w:rsidRPr="00A22E80">
        <w:rPr>
          <w:rFonts w:ascii="Verdana" w:hAnsi="Verdana"/>
          <w:sz w:val="18"/>
          <w:szCs w:val="18"/>
        </w:rPr>
        <w:t xml:space="preserve"> plaatsingsgarantie). In de definitie van “verbonden agent” en de artikelen met betrekking tot de beleggingsdiensten die een verbonden agent kan verlenen, is echter verzuimd dit onderscheid te verwerken in de verwijzing naar die definitie. </w:t>
      </w:r>
      <w:r w:rsidR="00B41DDA" w:rsidRPr="00A22E80">
        <w:rPr>
          <w:rFonts w:ascii="Verdana" w:hAnsi="Verdana"/>
          <w:sz w:val="18"/>
          <w:szCs w:val="18"/>
        </w:rPr>
        <w:t xml:space="preserve">Dat wordt met de voorgestelde wijziging </w:t>
      </w:r>
      <w:r w:rsidRPr="00A22E80">
        <w:rPr>
          <w:rFonts w:ascii="Verdana" w:hAnsi="Verdana"/>
          <w:sz w:val="18"/>
          <w:szCs w:val="18"/>
        </w:rPr>
        <w:t>hersteld.</w:t>
      </w:r>
    </w:p>
    <w:p w:rsidR="00081D71" w:rsidRPr="00A22E80" w:rsidRDefault="00081D71" w:rsidP="00A22E80">
      <w:pPr>
        <w:widowControl w:val="0"/>
        <w:spacing w:line="260" w:lineRule="exact"/>
        <w:rPr>
          <w:rFonts w:ascii="Verdana" w:hAnsi="Verdana"/>
          <w:sz w:val="18"/>
          <w:szCs w:val="18"/>
        </w:rPr>
      </w:pPr>
    </w:p>
    <w:p w:rsidR="00BA2C63" w:rsidRPr="00A22E80" w:rsidRDefault="00825447" w:rsidP="00A22E80">
      <w:pPr>
        <w:spacing w:line="260" w:lineRule="exact"/>
        <w:rPr>
          <w:rFonts w:ascii="Verdana" w:hAnsi="Verdana"/>
          <w:sz w:val="18"/>
          <w:szCs w:val="18"/>
        </w:rPr>
      </w:pPr>
      <w:r w:rsidRPr="00A22E80">
        <w:rPr>
          <w:rFonts w:ascii="Verdana" w:hAnsi="Verdana"/>
          <w:sz w:val="18"/>
          <w:szCs w:val="18"/>
        </w:rPr>
        <w:t xml:space="preserve">6. </w:t>
      </w:r>
      <w:r w:rsidR="00B276C9" w:rsidRPr="00A22E80">
        <w:rPr>
          <w:rFonts w:ascii="Verdana" w:hAnsi="Verdana"/>
          <w:sz w:val="18"/>
          <w:szCs w:val="18"/>
        </w:rPr>
        <w:t>De definitie van “</w:t>
      </w:r>
      <w:r w:rsidR="00B276C9" w:rsidRPr="00A22E80">
        <w:rPr>
          <w:rFonts w:ascii="Verdana" w:hAnsi="Verdana" w:cs="Arial"/>
          <w:iCs/>
          <w:sz w:val="18"/>
          <w:szCs w:val="18"/>
        </w:rPr>
        <w:t xml:space="preserve">vordering uit hoofde van verzekering” wordt eveneens gewijzigd. </w:t>
      </w:r>
      <w:r w:rsidR="00502B37" w:rsidRPr="00A22E80">
        <w:rPr>
          <w:rFonts w:ascii="Verdana" w:hAnsi="Verdana"/>
          <w:sz w:val="18"/>
          <w:szCs w:val="18"/>
        </w:rPr>
        <w:t xml:space="preserve">Op grond van artikel 268, eerste lid, onderdeel g, </w:t>
      </w:r>
      <w:proofErr w:type="spellStart"/>
      <w:r w:rsidR="00502B37" w:rsidRPr="00A22E80">
        <w:rPr>
          <w:rFonts w:ascii="Verdana" w:hAnsi="Verdana"/>
          <w:sz w:val="18"/>
          <w:szCs w:val="18"/>
        </w:rPr>
        <w:t>jo</w:t>
      </w:r>
      <w:proofErr w:type="spellEnd"/>
      <w:r w:rsidR="00502B37" w:rsidRPr="00A22E80">
        <w:rPr>
          <w:rFonts w:ascii="Verdana" w:hAnsi="Verdana"/>
          <w:sz w:val="18"/>
          <w:szCs w:val="18"/>
        </w:rPr>
        <w:t xml:space="preserve">. artikel 275 van de richtlijn solvabiliteit II dienen ook vorderingen uit hoofde van verrichtingen bevoorrecht te zijn. </w:t>
      </w:r>
      <w:r w:rsidR="00A52D8C" w:rsidRPr="00A22E80">
        <w:rPr>
          <w:rFonts w:ascii="Verdana" w:hAnsi="Verdana"/>
          <w:sz w:val="18"/>
          <w:szCs w:val="18"/>
        </w:rPr>
        <w:t>In de huidige definitie</w:t>
      </w:r>
      <w:r w:rsidR="00502B37" w:rsidRPr="00A22E80">
        <w:rPr>
          <w:rFonts w:ascii="Verdana" w:hAnsi="Verdana"/>
          <w:sz w:val="18"/>
          <w:szCs w:val="18"/>
        </w:rPr>
        <w:t xml:space="preserve"> ontbreken ten dele de vorderingen uit hoofde van verrichtingen. Daarom wordt voorgesteld het ontbrekende deel van die definitie alsnog over te nemen. Om die reden worden vorderingen uit hoofde van overeenkomsten tot kapitalisatieverrichtingen en beheer over collectieve pensioenfondsen toegevoegd, evenals vorderingen tot teruggave van betalingen uit hoofde van verrichtingen die zijn ontbonden of vernietigd. </w:t>
      </w:r>
      <w:r w:rsidR="00A52D8C" w:rsidRPr="00A22E80">
        <w:rPr>
          <w:rFonts w:ascii="Verdana" w:hAnsi="Verdana"/>
          <w:sz w:val="18"/>
          <w:szCs w:val="18"/>
        </w:rPr>
        <w:t>Een verwijzing naar b</w:t>
      </w:r>
      <w:r w:rsidR="00F252EF" w:rsidRPr="00A22E80">
        <w:rPr>
          <w:rFonts w:ascii="Verdana" w:hAnsi="Verdana"/>
          <w:sz w:val="18"/>
          <w:szCs w:val="18"/>
        </w:rPr>
        <w:t>ranche 5 (d</w:t>
      </w:r>
      <w:r w:rsidR="00502B37" w:rsidRPr="00A22E80">
        <w:rPr>
          <w:rFonts w:ascii="Verdana" w:hAnsi="Verdana"/>
          <w:sz w:val="18"/>
          <w:szCs w:val="18"/>
        </w:rPr>
        <w:t>eelneming in spaarkassen)</w:t>
      </w:r>
      <w:r w:rsidR="00A52D8C" w:rsidRPr="00A22E80">
        <w:rPr>
          <w:rFonts w:ascii="Verdana" w:hAnsi="Verdana"/>
          <w:sz w:val="18"/>
          <w:szCs w:val="18"/>
        </w:rPr>
        <w:t xml:space="preserve"> in de Bijlage branches </w:t>
      </w:r>
      <w:r w:rsidR="00AD1C37" w:rsidRPr="00A22E80">
        <w:rPr>
          <w:rFonts w:ascii="Verdana" w:hAnsi="Verdana"/>
          <w:sz w:val="18"/>
          <w:szCs w:val="18"/>
        </w:rPr>
        <w:t xml:space="preserve">bij </w:t>
      </w:r>
      <w:proofErr w:type="spellStart"/>
      <w:r w:rsidR="00A52D8C" w:rsidRPr="00A22E80">
        <w:rPr>
          <w:rFonts w:ascii="Verdana" w:hAnsi="Verdana"/>
          <w:sz w:val="18"/>
          <w:szCs w:val="18"/>
        </w:rPr>
        <w:t>Wft</w:t>
      </w:r>
      <w:proofErr w:type="spellEnd"/>
      <w:r w:rsidR="00502B37" w:rsidRPr="00A22E80">
        <w:rPr>
          <w:rFonts w:ascii="Verdana" w:hAnsi="Verdana"/>
          <w:sz w:val="18"/>
          <w:szCs w:val="18"/>
        </w:rPr>
        <w:t xml:space="preserve"> kan achterwege blijven, omdat vorderingen uit hoofde van die branche onder de definitie van levensverzekering vallen.</w:t>
      </w:r>
    </w:p>
    <w:p w:rsidR="00E10AFE" w:rsidRPr="00A22E80" w:rsidRDefault="00E10AFE" w:rsidP="00A22E80">
      <w:pPr>
        <w:spacing w:line="260" w:lineRule="exact"/>
        <w:rPr>
          <w:rFonts w:ascii="Verdana" w:hAnsi="Verdana"/>
          <w:sz w:val="18"/>
          <w:szCs w:val="18"/>
        </w:rPr>
      </w:pPr>
    </w:p>
    <w:p w:rsidR="00B7734C" w:rsidRPr="00A22E80" w:rsidRDefault="0093644E" w:rsidP="00A22E80">
      <w:pPr>
        <w:spacing w:line="260" w:lineRule="exact"/>
        <w:rPr>
          <w:rFonts w:ascii="Verdana" w:hAnsi="Verdana"/>
          <w:sz w:val="18"/>
          <w:szCs w:val="18"/>
        </w:rPr>
      </w:pPr>
      <w:r w:rsidRPr="00A22E80">
        <w:rPr>
          <w:rFonts w:ascii="Verdana" w:hAnsi="Verdana"/>
          <w:sz w:val="18"/>
          <w:szCs w:val="18"/>
        </w:rPr>
        <w:t>B</w:t>
      </w:r>
      <w:r w:rsidR="00B7734C" w:rsidRPr="00A22E80">
        <w:rPr>
          <w:rFonts w:ascii="Verdana" w:hAnsi="Verdana"/>
          <w:sz w:val="18"/>
          <w:szCs w:val="18"/>
        </w:rPr>
        <w:t xml:space="preserve"> </w:t>
      </w:r>
    </w:p>
    <w:p w:rsidR="00FB1107" w:rsidRPr="00A22E80" w:rsidRDefault="00FB1107" w:rsidP="00A22E80">
      <w:pPr>
        <w:spacing w:line="260" w:lineRule="exact"/>
        <w:rPr>
          <w:rFonts w:ascii="Verdana" w:hAnsi="Verdana"/>
          <w:sz w:val="18"/>
          <w:szCs w:val="18"/>
        </w:rPr>
      </w:pPr>
    </w:p>
    <w:p w:rsidR="00455222" w:rsidRPr="00A22E80" w:rsidRDefault="00455222" w:rsidP="00A22E80">
      <w:pPr>
        <w:spacing w:line="260" w:lineRule="exact"/>
        <w:rPr>
          <w:rFonts w:ascii="Verdana" w:hAnsi="Verdana"/>
          <w:sz w:val="18"/>
          <w:szCs w:val="18"/>
        </w:rPr>
      </w:pPr>
      <w:r w:rsidRPr="00A22E80">
        <w:rPr>
          <w:rFonts w:ascii="Verdana" w:hAnsi="Verdana"/>
          <w:sz w:val="18"/>
          <w:szCs w:val="18"/>
        </w:rPr>
        <w:lastRenderedPageBreak/>
        <w:t xml:space="preserve">Bij </w:t>
      </w:r>
      <w:r w:rsidR="000A5477" w:rsidRPr="00A22E80">
        <w:rPr>
          <w:rFonts w:ascii="Verdana" w:hAnsi="Verdana"/>
          <w:sz w:val="18"/>
          <w:szCs w:val="18"/>
        </w:rPr>
        <w:t xml:space="preserve">de Implementatiewet Europees kader voor herstel en afwikkeling van banken en beleggingsondernemingen </w:t>
      </w:r>
      <w:r w:rsidR="00210BF3" w:rsidRPr="00A22E80">
        <w:rPr>
          <w:rFonts w:ascii="Verdana" w:hAnsi="Verdana"/>
          <w:sz w:val="18"/>
          <w:szCs w:val="18"/>
        </w:rPr>
        <w:t xml:space="preserve">zijn </w:t>
      </w:r>
      <w:r w:rsidR="009511CF">
        <w:rPr>
          <w:rFonts w:ascii="Verdana" w:hAnsi="Verdana"/>
          <w:sz w:val="18"/>
          <w:szCs w:val="18"/>
        </w:rPr>
        <w:t xml:space="preserve">bestuurders en werknemers van </w:t>
      </w:r>
      <w:r w:rsidR="00210BF3" w:rsidRPr="00A22E80">
        <w:rPr>
          <w:rFonts w:ascii="Verdana" w:hAnsi="Verdana"/>
          <w:sz w:val="18"/>
          <w:szCs w:val="18"/>
        </w:rPr>
        <w:t xml:space="preserve">de overbruggingsinstelling, de entiteit voor activa- en passivabeheer, </w:t>
      </w:r>
      <w:r w:rsidR="009511CF">
        <w:rPr>
          <w:rFonts w:ascii="Verdana" w:hAnsi="Verdana"/>
          <w:sz w:val="18"/>
          <w:szCs w:val="18"/>
        </w:rPr>
        <w:t xml:space="preserve">en </w:t>
      </w:r>
      <w:r w:rsidR="00210BF3" w:rsidRPr="00A22E80">
        <w:rPr>
          <w:rFonts w:ascii="Verdana" w:hAnsi="Verdana"/>
          <w:sz w:val="18"/>
          <w:szCs w:val="18"/>
        </w:rPr>
        <w:t>de bijzondere bewindvoerder en de curator</w:t>
      </w:r>
      <w:r w:rsidR="009511CF">
        <w:rPr>
          <w:rFonts w:ascii="Verdana" w:hAnsi="Verdana"/>
          <w:sz w:val="18"/>
          <w:szCs w:val="18"/>
        </w:rPr>
        <w:t>,</w:t>
      </w:r>
      <w:r w:rsidR="00210BF3" w:rsidRPr="00A22E80">
        <w:rPr>
          <w:rFonts w:ascii="Verdana" w:hAnsi="Verdana"/>
          <w:sz w:val="18"/>
          <w:szCs w:val="18"/>
        </w:rPr>
        <w:t xml:space="preserve"> onder toepassing van artikel 3, twaalfde lid, </w:t>
      </w:r>
      <w:r w:rsidR="009511CF">
        <w:rPr>
          <w:rFonts w:ascii="Verdana" w:hAnsi="Verdana"/>
          <w:sz w:val="18"/>
          <w:szCs w:val="18"/>
        </w:rPr>
        <w:t xml:space="preserve">van de richtlijn herstel en afwikkeling van banken en beleggingsondernemingen, </w:t>
      </w:r>
      <w:r w:rsidR="00210BF3" w:rsidRPr="00A22E80">
        <w:rPr>
          <w:rFonts w:ascii="Verdana" w:hAnsi="Verdana"/>
          <w:sz w:val="18"/>
          <w:szCs w:val="18"/>
        </w:rPr>
        <w:t xml:space="preserve">onder de reikwijdte van de beperking van de aansprakelijkheid </w:t>
      </w:r>
      <w:r w:rsidR="00B83A40" w:rsidRPr="00A22E80">
        <w:rPr>
          <w:rFonts w:ascii="Verdana" w:hAnsi="Verdana"/>
          <w:sz w:val="18"/>
          <w:szCs w:val="18"/>
        </w:rPr>
        <w:t xml:space="preserve">in </w:t>
      </w:r>
      <w:r w:rsidR="00210BF3" w:rsidRPr="00A22E80">
        <w:rPr>
          <w:rFonts w:ascii="Verdana" w:hAnsi="Verdana"/>
          <w:sz w:val="18"/>
          <w:szCs w:val="18"/>
        </w:rPr>
        <w:t xml:space="preserve">artikel 1:25d </w:t>
      </w:r>
      <w:proofErr w:type="spellStart"/>
      <w:r w:rsidR="00210BF3" w:rsidRPr="00A22E80">
        <w:rPr>
          <w:rFonts w:ascii="Verdana" w:hAnsi="Verdana"/>
          <w:sz w:val="18"/>
          <w:szCs w:val="18"/>
        </w:rPr>
        <w:t>Wft</w:t>
      </w:r>
      <w:proofErr w:type="spellEnd"/>
      <w:r w:rsidR="00210BF3" w:rsidRPr="00A22E80">
        <w:rPr>
          <w:rFonts w:ascii="Verdana" w:hAnsi="Verdana"/>
          <w:sz w:val="18"/>
          <w:szCs w:val="18"/>
        </w:rPr>
        <w:t xml:space="preserve"> gebracht. Hierbij </w:t>
      </w:r>
      <w:r w:rsidR="000A5477" w:rsidRPr="00A22E80">
        <w:rPr>
          <w:rFonts w:ascii="Verdana" w:hAnsi="Verdana"/>
          <w:sz w:val="18"/>
          <w:szCs w:val="18"/>
        </w:rPr>
        <w:t xml:space="preserve">is </w:t>
      </w:r>
      <w:r w:rsidR="00E177D3" w:rsidRPr="00A22E80">
        <w:rPr>
          <w:rFonts w:ascii="Verdana" w:hAnsi="Verdana"/>
          <w:sz w:val="18"/>
          <w:szCs w:val="18"/>
        </w:rPr>
        <w:t xml:space="preserve">echter </w:t>
      </w:r>
      <w:r w:rsidR="000A5477" w:rsidRPr="00A22E80">
        <w:rPr>
          <w:rFonts w:ascii="Verdana" w:hAnsi="Verdana"/>
          <w:sz w:val="18"/>
          <w:szCs w:val="18"/>
        </w:rPr>
        <w:t xml:space="preserve">verzuimd om </w:t>
      </w:r>
      <w:r w:rsidR="00B83A40" w:rsidRPr="00A22E80">
        <w:rPr>
          <w:rFonts w:ascii="Verdana" w:hAnsi="Verdana"/>
          <w:sz w:val="18"/>
          <w:szCs w:val="18"/>
        </w:rPr>
        <w:t xml:space="preserve">tevens </w:t>
      </w:r>
      <w:r w:rsidR="00210BF3" w:rsidRPr="00A22E80">
        <w:rPr>
          <w:rFonts w:ascii="Verdana" w:hAnsi="Verdana"/>
          <w:sz w:val="18"/>
          <w:szCs w:val="18"/>
        </w:rPr>
        <w:t xml:space="preserve">het Afwikkelingsfonds en het Depositogarantiefonds op te nemen. </w:t>
      </w:r>
      <w:r w:rsidR="000A5477" w:rsidRPr="00A22E80">
        <w:rPr>
          <w:rFonts w:ascii="Verdana" w:hAnsi="Verdana"/>
          <w:sz w:val="18"/>
          <w:szCs w:val="18"/>
        </w:rPr>
        <w:t xml:space="preserve">De </w:t>
      </w:r>
      <w:r w:rsidR="0093644E" w:rsidRPr="00A22E80">
        <w:rPr>
          <w:rFonts w:ascii="Verdana" w:hAnsi="Verdana"/>
          <w:sz w:val="18"/>
          <w:szCs w:val="18"/>
        </w:rPr>
        <w:t>v</w:t>
      </w:r>
      <w:r w:rsidR="000A5477" w:rsidRPr="00A22E80">
        <w:rPr>
          <w:rFonts w:ascii="Verdana" w:hAnsi="Verdana"/>
          <w:sz w:val="18"/>
          <w:szCs w:val="18"/>
        </w:rPr>
        <w:t xml:space="preserve">oorgestelde </w:t>
      </w:r>
      <w:r w:rsidR="00B83A40" w:rsidRPr="00A22E80">
        <w:rPr>
          <w:rFonts w:ascii="Verdana" w:hAnsi="Verdana"/>
          <w:sz w:val="18"/>
          <w:szCs w:val="18"/>
        </w:rPr>
        <w:t xml:space="preserve">wijziging </w:t>
      </w:r>
      <w:r w:rsidR="000A5477" w:rsidRPr="00A22E80">
        <w:rPr>
          <w:rFonts w:ascii="Verdana" w:hAnsi="Verdana"/>
          <w:sz w:val="18"/>
          <w:szCs w:val="18"/>
        </w:rPr>
        <w:t xml:space="preserve">voorziet in het herstel van </w:t>
      </w:r>
      <w:r w:rsidR="008C2D97" w:rsidRPr="00A22E80">
        <w:rPr>
          <w:rFonts w:ascii="Verdana" w:hAnsi="Verdana"/>
          <w:sz w:val="18"/>
          <w:szCs w:val="18"/>
        </w:rPr>
        <w:t xml:space="preserve">het </w:t>
      </w:r>
      <w:r w:rsidR="000A5477" w:rsidRPr="00A22E80">
        <w:rPr>
          <w:rFonts w:ascii="Verdana" w:hAnsi="Verdana"/>
          <w:sz w:val="18"/>
          <w:szCs w:val="18"/>
        </w:rPr>
        <w:t>verzuim.</w:t>
      </w:r>
      <w:r w:rsidR="002A34AD" w:rsidRPr="00A22E80">
        <w:rPr>
          <w:rFonts w:ascii="Verdana" w:hAnsi="Verdana"/>
          <w:sz w:val="18"/>
          <w:szCs w:val="18"/>
        </w:rPr>
        <w:t xml:space="preserve"> Omwille van de leesbaarheid wordt </w:t>
      </w:r>
      <w:r w:rsidR="00E177D3" w:rsidRPr="00A22E80">
        <w:rPr>
          <w:rFonts w:ascii="Verdana" w:hAnsi="Verdana"/>
          <w:sz w:val="18"/>
          <w:szCs w:val="18"/>
        </w:rPr>
        <w:t xml:space="preserve">voorzien in </w:t>
      </w:r>
      <w:r w:rsidR="009511CF">
        <w:rPr>
          <w:rFonts w:ascii="Verdana" w:hAnsi="Verdana"/>
          <w:sz w:val="18"/>
          <w:szCs w:val="18"/>
        </w:rPr>
        <w:t xml:space="preserve">een </w:t>
      </w:r>
      <w:r w:rsidR="00E177D3" w:rsidRPr="00A22E80">
        <w:rPr>
          <w:rFonts w:ascii="Verdana" w:hAnsi="Verdana"/>
          <w:sz w:val="18"/>
          <w:szCs w:val="18"/>
        </w:rPr>
        <w:t xml:space="preserve">opnieuw vastgestelde tekst van </w:t>
      </w:r>
      <w:r w:rsidR="002A34AD" w:rsidRPr="00A22E80">
        <w:rPr>
          <w:rFonts w:ascii="Verdana" w:hAnsi="Verdana"/>
          <w:sz w:val="18"/>
          <w:szCs w:val="18"/>
        </w:rPr>
        <w:t>het derde lid van artikel 1:25d</w:t>
      </w:r>
      <w:r w:rsidR="00E177D3" w:rsidRPr="00A22E80">
        <w:rPr>
          <w:rFonts w:ascii="Verdana" w:hAnsi="Verdana"/>
          <w:sz w:val="18"/>
          <w:szCs w:val="18"/>
        </w:rPr>
        <w:t xml:space="preserve"> </w:t>
      </w:r>
      <w:proofErr w:type="spellStart"/>
      <w:r w:rsidR="00E177D3" w:rsidRPr="00A22E80">
        <w:rPr>
          <w:rFonts w:ascii="Verdana" w:hAnsi="Verdana"/>
          <w:sz w:val="18"/>
          <w:szCs w:val="18"/>
        </w:rPr>
        <w:t>Wft</w:t>
      </w:r>
      <w:proofErr w:type="spellEnd"/>
      <w:r w:rsidR="002A34AD" w:rsidRPr="00A22E80">
        <w:rPr>
          <w:rFonts w:ascii="Verdana" w:hAnsi="Verdana"/>
          <w:sz w:val="18"/>
          <w:szCs w:val="18"/>
        </w:rPr>
        <w:t>.</w:t>
      </w:r>
    </w:p>
    <w:p w:rsidR="00455222" w:rsidRPr="00A22E80" w:rsidRDefault="00455222" w:rsidP="00A22E80">
      <w:pPr>
        <w:spacing w:line="260" w:lineRule="exact"/>
        <w:rPr>
          <w:rFonts w:ascii="Verdana" w:hAnsi="Verdana"/>
          <w:sz w:val="18"/>
          <w:szCs w:val="18"/>
        </w:rPr>
      </w:pPr>
    </w:p>
    <w:p w:rsidR="00E924E3" w:rsidRPr="00A22E80" w:rsidRDefault="00CA3353" w:rsidP="00A22E80">
      <w:pPr>
        <w:widowControl w:val="0"/>
        <w:spacing w:line="260" w:lineRule="exact"/>
        <w:rPr>
          <w:rFonts w:ascii="Verdana" w:hAnsi="Verdana"/>
          <w:sz w:val="18"/>
          <w:szCs w:val="18"/>
        </w:rPr>
      </w:pPr>
      <w:r w:rsidRPr="00A22E80">
        <w:rPr>
          <w:rFonts w:ascii="Verdana" w:hAnsi="Verdana"/>
          <w:sz w:val="18"/>
          <w:szCs w:val="18"/>
        </w:rPr>
        <w:t>C</w:t>
      </w:r>
    </w:p>
    <w:p w:rsidR="00E924E3" w:rsidRPr="00A22E80" w:rsidRDefault="00E924E3" w:rsidP="00A22E80">
      <w:pPr>
        <w:spacing w:line="260" w:lineRule="exact"/>
        <w:rPr>
          <w:rFonts w:ascii="Verdana" w:hAnsi="Verdana"/>
          <w:sz w:val="18"/>
          <w:szCs w:val="18"/>
        </w:rPr>
      </w:pPr>
    </w:p>
    <w:p w:rsidR="008C2D97" w:rsidRPr="00A22E80" w:rsidRDefault="00E1736B" w:rsidP="00A22E80">
      <w:pPr>
        <w:spacing w:line="260" w:lineRule="exact"/>
        <w:rPr>
          <w:rFonts w:ascii="Verdana" w:hAnsi="Verdana"/>
          <w:sz w:val="18"/>
          <w:szCs w:val="18"/>
        </w:rPr>
      </w:pPr>
      <w:r w:rsidRPr="00A22E80">
        <w:rPr>
          <w:rFonts w:ascii="Verdana" w:hAnsi="Verdana"/>
          <w:sz w:val="18"/>
          <w:szCs w:val="18"/>
        </w:rPr>
        <w:t xml:space="preserve">De voorgestelde wijziging voorziet in de aanpassing van de tekst van het eerste lid van artikel 1:51c </w:t>
      </w:r>
      <w:proofErr w:type="spellStart"/>
      <w:r w:rsidRPr="00A22E80">
        <w:rPr>
          <w:rFonts w:ascii="Verdana" w:hAnsi="Verdana"/>
          <w:sz w:val="18"/>
          <w:szCs w:val="18"/>
        </w:rPr>
        <w:t>Wft</w:t>
      </w:r>
      <w:proofErr w:type="spellEnd"/>
      <w:r w:rsidRPr="00A22E80">
        <w:rPr>
          <w:rFonts w:ascii="Verdana" w:hAnsi="Verdana"/>
          <w:sz w:val="18"/>
          <w:szCs w:val="18"/>
        </w:rPr>
        <w:t xml:space="preserve"> aan het feit dat de bevoegdheid van DNB om </w:t>
      </w:r>
      <w:r w:rsidR="00D63350" w:rsidRPr="00A22E80">
        <w:rPr>
          <w:rFonts w:ascii="Verdana" w:hAnsi="Verdana"/>
          <w:sz w:val="18"/>
          <w:szCs w:val="18"/>
        </w:rPr>
        <w:t>(</w:t>
      </w:r>
      <w:proofErr w:type="spellStart"/>
      <w:r w:rsidR="00D63350" w:rsidRPr="00A22E80">
        <w:rPr>
          <w:rFonts w:ascii="Verdana" w:hAnsi="Verdana"/>
          <w:sz w:val="18"/>
          <w:szCs w:val="18"/>
        </w:rPr>
        <w:t>liquiditeits</w:t>
      </w:r>
      <w:proofErr w:type="spellEnd"/>
      <w:r w:rsidR="00D63350" w:rsidRPr="00A22E80">
        <w:rPr>
          <w:rFonts w:ascii="Verdana" w:hAnsi="Verdana"/>
          <w:sz w:val="18"/>
          <w:szCs w:val="18"/>
        </w:rPr>
        <w:t>)</w:t>
      </w:r>
      <w:r w:rsidRPr="00A22E80">
        <w:rPr>
          <w:rFonts w:ascii="Verdana" w:hAnsi="Verdana"/>
          <w:sz w:val="18"/>
          <w:szCs w:val="18"/>
        </w:rPr>
        <w:t xml:space="preserve">toezicht te houden op </w:t>
      </w:r>
      <w:r w:rsidR="00D63350" w:rsidRPr="00A22E80">
        <w:rPr>
          <w:rFonts w:ascii="Verdana" w:hAnsi="Verdana"/>
          <w:sz w:val="18"/>
          <w:szCs w:val="18"/>
        </w:rPr>
        <w:t xml:space="preserve">bijkantoren in Nederland van banken en beleggingsondernemingen in de zin van de verordening kapitaalvereisten met zetel in een andere lidstaat van de Europese Unie per 1 oktober 2015 is vervallen. De bevoegdheid zelf is reeds geschrapt uit artikel 3:64 </w:t>
      </w:r>
      <w:proofErr w:type="spellStart"/>
      <w:r w:rsidR="00D63350" w:rsidRPr="00A22E80">
        <w:rPr>
          <w:rFonts w:ascii="Verdana" w:hAnsi="Verdana"/>
          <w:sz w:val="18"/>
          <w:szCs w:val="18"/>
        </w:rPr>
        <w:t>Wft</w:t>
      </w:r>
      <w:proofErr w:type="spellEnd"/>
      <w:r w:rsidR="00D63350" w:rsidRPr="00A22E80">
        <w:rPr>
          <w:rFonts w:ascii="Verdana" w:hAnsi="Verdana"/>
          <w:sz w:val="18"/>
          <w:szCs w:val="18"/>
        </w:rPr>
        <w:t xml:space="preserve"> met de inwerkingtreding van de Wijzigingswet financiële markten 2016. Bij die gelegenheid is de noodzaak tot aanpassing van de artikelen 1:51c, 3:75 en 3:77 </w:t>
      </w:r>
      <w:proofErr w:type="spellStart"/>
      <w:r w:rsidR="00D63350" w:rsidRPr="00A22E80">
        <w:rPr>
          <w:rFonts w:ascii="Verdana" w:hAnsi="Verdana"/>
          <w:sz w:val="18"/>
          <w:szCs w:val="18"/>
        </w:rPr>
        <w:t>Wft</w:t>
      </w:r>
      <w:proofErr w:type="spellEnd"/>
      <w:r w:rsidR="00D63350" w:rsidRPr="00A22E80">
        <w:rPr>
          <w:rFonts w:ascii="Verdana" w:hAnsi="Verdana"/>
          <w:sz w:val="18"/>
          <w:szCs w:val="18"/>
        </w:rPr>
        <w:t xml:space="preserve"> over het hoofd gezien. </w:t>
      </w:r>
      <w:r w:rsidR="005A21D5" w:rsidRPr="00A22E80">
        <w:rPr>
          <w:rFonts w:ascii="Verdana" w:hAnsi="Verdana"/>
          <w:sz w:val="18"/>
          <w:szCs w:val="18"/>
        </w:rPr>
        <w:t xml:space="preserve">De verwijzing naar de vervallen bevoegdheid van DNB in de oorspronkelijke tekst van artikel 1:51c </w:t>
      </w:r>
      <w:proofErr w:type="spellStart"/>
      <w:r w:rsidR="00293688" w:rsidRPr="00A22E80">
        <w:rPr>
          <w:rFonts w:ascii="Verdana" w:hAnsi="Verdana"/>
          <w:sz w:val="18"/>
          <w:szCs w:val="18"/>
        </w:rPr>
        <w:t>Wft</w:t>
      </w:r>
      <w:proofErr w:type="spellEnd"/>
      <w:r w:rsidR="00293688" w:rsidRPr="00A22E80">
        <w:rPr>
          <w:rFonts w:ascii="Verdana" w:hAnsi="Verdana"/>
          <w:sz w:val="18"/>
          <w:szCs w:val="18"/>
        </w:rPr>
        <w:t xml:space="preserve"> is </w:t>
      </w:r>
      <w:r w:rsidR="005A21D5" w:rsidRPr="00A22E80">
        <w:rPr>
          <w:rFonts w:ascii="Verdana" w:hAnsi="Verdana"/>
          <w:sz w:val="18"/>
          <w:szCs w:val="18"/>
        </w:rPr>
        <w:t xml:space="preserve">in de nieuw </w:t>
      </w:r>
      <w:r w:rsidR="00087301" w:rsidRPr="00A22E80">
        <w:rPr>
          <w:rFonts w:ascii="Verdana" w:hAnsi="Verdana"/>
          <w:sz w:val="18"/>
          <w:szCs w:val="18"/>
        </w:rPr>
        <w:t xml:space="preserve">vast te stellen </w:t>
      </w:r>
      <w:r w:rsidR="005A21D5" w:rsidRPr="00A22E80">
        <w:rPr>
          <w:rFonts w:ascii="Verdana" w:hAnsi="Verdana"/>
          <w:sz w:val="18"/>
          <w:szCs w:val="18"/>
        </w:rPr>
        <w:t>tekst weggelaten.</w:t>
      </w:r>
    </w:p>
    <w:p w:rsidR="00D63350" w:rsidRPr="00A22E80" w:rsidRDefault="00D63350" w:rsidP="00A22E80">
      <w:pPr>
        <w:widowControl w:val="0"/>
        <w:spacing w:line="260" w:lineRule="exact"/>
        <w:rPr>
          <w:rFonts w:ascii="Verdana" w:hAnsi="Verdana"/>
          <w:sz w:val="18"/>
          <w:szCs w:val="18"/>
        </w:rPr>
      </w:pPr>
    </w:p>
    <w:p w:rsidR="00591E72" w:rsidRPr="00A22E80" w:rsidRDefault="00591E72" w:rsidP="00A22E80">
      <w:pPr>
        <w:widowControl w:val="0"/>
        <w:spacing w:line="260" w:lineRule="exact"/>
        <w:rPr>
          <w:rFonts w:ascii="Verdana" w:hAnsi="Verdana"/>
          <w:sz w:val="18"/>
          <w:szCs w:val="18"/>
        </w:rPr>
      </w:pPr>
      <w:r w:rsidRPr="00A22E80">
        <w:rPr>
          <w:rFonts w:ascii="Verdana" w:hAnsi="Verdana"/>
          <w:sz w:val="18"/>
          <w:szCs w:val="18"/>
        </w:rPr>
        <w:t>D</w:t>
      </w:r>
    </w:p>
    <w:p w:rsidR="00591E72" w:rsidRPr="00A22E80" w:rsidRDefault="00591E72" w:rsidP="00A22E80">
      <w:pPr>
        <w:widowControl w:val="0"/>
        <w:spacing w:line="260" w:lineRule="exact"/>
        <w:rPr>
          <w:rFonts w:ascii="Verdana" w:hAnsi="Verdana"/>
          <w:sz w:val="18"/>
          <w:szCs w:val="18"/>
        </w:rPr>
      </w:pPr>
    </w:p>
    <w:p w:rsidR="00EC6A88" w:rsidRPr="00A22E80" w:rsidRDefault="00EC6A88" w:rsidP="00A22E80">
      <w:pPr>
        <w:widowControl w:val="0"/>
        <w:spacing w:line="260" w:lineRule="exact"/>
        <w:rPr>
          <w:rFonts w:ascii="Verdana" w:hAnsi="Verdana"/>
          <w:sz w:val="18"/>
          <w:szCs w:val="18"/>
        </w:rPr>
      </w:pPr>
      <w:r w:rsidRPr="00A22E80">
        <w:rPr>
          <w:rFonts w:ascii="Verdana" w:hAnsi="Verdana"/>
          <w:sz w:val="18"/>
          <w:szCs w:val="18"/>
        </w:rPr>
        <w:t xml:space="preserve">Het betreft de aanpassing van een verwijzing in verband met de voorgestelde wijziging van artikel 3:278b </w:t>
      </w:r>
      <w:proofErr w:type="spellStart"/>
      <w:r w:rsidRPr="00A22E80">
        <w:rPr>
          <w:rFonts w:ascii="Verdana" w:hAnsi="Verdana"/>
          <w:sz w:val="18"/>
          <w:szCs w:val="18"/>
        </w:rPr>
        <w:t>Wft</w:t>
      </w:r>
      <w:proofErr w:type="spellEnd"/>
      <w:r w:rsidRPr="00A22E80">
        <w:rPr>
          <w:rFonts w:ascii="Verdana" w:hAnsi="Verdana"/>
          <w:sz w:val="18"/>
          <w:szCs w:val="18"/>
        </w:rPr>
        <w:t>.</w:t>
      </w:r>
    </w:p>
    <w:p w:rsidR="00591E72" w:rsidRPr="00A22E80" w:rsidRDefault="00591E72" w:rsidP="00A22E80">
      <w:pPr>
        <w:widowControl w:val="0"/>
        <w:spacing w:line="260" w:lineRule="exact"/>
        <w:rPr>
          <w:rFonts w:ascii="Verdana" w:hAnsi="Verdana"/>
          <w:sz w:val="18"/>
          <w:szCs w:val="18"/>
        </w:rPr>
      </w:pPr>
    </w:p>
    <w:p w:rsidR="00492F26" w:rsidRPr="00A22E80" w:rsidRDefault="00CA3353" w:rsidP="00A22E80">
      <w:pPr>
        <w:widowControl w:val="0"/>
        <w:spacing w:line="260" w:lineRule="exact"/>
        <w:rPr>
          <w:rFonts w:ascii="Verdana" w:hAnsi="Verdana"/>
          <w:sz w:val="18"/>
          <w:szCs w:val="18"/>
        </w:rPr>
      </w:pPr>
      <w:r w:rsidRPr="00A22E80">
        <w:rPr>
          <w:rFonts w:ascii="Verdana" w:hAnsi="Verdana"/>
          <w:sz w:val="18"/>
          <w:szCs w:val="18"/>
        </w:rPr>
        <w:t>E</w:t>
      </w:r>
    </w:p>
    <w:p w:rsidR="00492F26" w:rsidRPr="00A22E80" w:rsidRDefault="00492F26" w:rsidP="00A22E80">
      <w:pPr>
        <w:spacing w:line="260" w:lineRule="exact"/>
        <w:rPr>
          <w:rFonts w:ascii="Verdana" w:hAnsi="Verdana"/>
          <w:sz w:val="18"/>
          <w:szCs w:val="18"/>
        </w:rPr>
      </w:pPr>
    </w:p>
    <w:p w:rsidR="00501B1F" w:rsidRPr="00A22E80" w:rsidRDefault="00501B1F" w:rsidP="00A22E80">
      <w:pPr>
        <w:widowControl w:val="0"/>
        <w:spacing w:line="260" w:lineRule="exact"/>
        <w:rPr>
          <w:rFonts w:ascii="Verdana" w:hAnsi="Verdana"/>
          <w:sz w:val="18"/>
          <w:szCs w:val="18"/>
        </w:rPr>
      </w:pPr>
      <w:r w:rsidRPr="00A22E80">
        <w:rPr>
          <w:rFonts w:ascii="Verdana" w:hAnsi="Verdana"/>
          <w:sz w:val="18"/>
          <w:szCs w:val="18"/>
        </w:rPr>
        <w:t>De</w:t>
      </w:r>
      <w:r w:rsidR="00A47F90" w:rsidRPr="00A22E80">
        <w:rPr>
          <w:rFonts w:ascii="Verdana" w:hAnsi="Verdana"/>
          <w:sz w:val="18"/>
          <w:szCs w:val="18"/>
        </w:rPr>
        <w:t xml:space="preserve"> verwijzing in artikel 1:55a naar </w:t>
      </w:r>
      <w:r w:rsidRPr="00A22E80">
        <w:rPr>
          <w:rFonts w:ascii="Verdana" w:hAnsi="Verdana"/>
          <w:sz w:val="18"/>
          <w:szCs w:val="18"/>
        </w:rPr>
        <w:t xml:space="preserve">artikel 3:282 </w:t>
      </w:r>
      <w:proofErr w:type="spellStart"/>
      <w:r w:rsidRPr="00A22E80">
        <w:rPr>
          <w:rFonts w:ascii="Verdana" w:hAnsi="Verdana"/>
          <w:sz w:val="18"/>
          <w:szCs w:val="18"/>
        </w:rPr>
        <w:t>Wft</w:t>
      </w:r>
      <w:proofErr w:type="spellEnd"/>
      <w:r w:rsidRPr="00A22E80">
        <w:rPr>
          <w:rFonts w:ascii="Verdana" w:hAnsi="Verdana"/>
          <w:sz w:val="18"/>
          <w:szCs w:val="18"/>
        </w:rPr>
        <w:t xml:space="preserve"> </w:t>
      </w:r>
      <w:r w:rsidR="00A47F90" w:rsidRPr="00A22E80">
        <w:rPr>
          <w:rFonts w:ascii="Verdana" w:hAnsi="Verdana"/>
          <w:sz w:val="18"/>
          <w:szCs w:val="18"/>
        </w:rPr>
        <w:t>behoeft aanpassing omdat</w:t>
      </w:r>
      <w:r w:rsidRPr="00A22E80">
        <w:rPr>
          <w:rFonts w:ascii="Verdana" w:hAnsi="Verdana"/>
          <w:sz w:val="18"/>
          <w:szCs w:val="18"/>
        </w:rPr>
        <w:t xml:space="preserve"> als gevolg van de implementatie van de richtlijn solvabiliteit II </w:t>
      </w:r>
      <w:r w:rsidR="00A47F90" w:rsidRPr="00A22E80">
        <w:rPr>
          <w:rFonts w:ascii="Verdana" w:hAnsi="Verdana"/>
          <w:sz w:val="18"/>
          <w:szCs w:val="18"/>
        </w:rPr>
        <w:t xml:space="preserve">de inhoud van dat artikel </w:t>
      </w:r>
      <w:r w:rsidRPr="00A22E80">
        <w:rPr>
          <w:rFonts w:ascii="Verdana" w:hAnsi="Verdana"/>
          <w:sz w:val="18"/>
          <w:szCs w:val="18"/>
        </w:rPr>
        <w:t>materieel</w:t>
      </w:r>
      <w:r w:rsidR="00A47F90" w:rsidRPr="00A22E80">
        <w:rPr>
          <w:rFonts w:ascii="Verdana" w:hAnsi="Verdana"/>
          <w:sz w:val="18"/>
          <w:szCs w:val="18"/>
        </w:rPr>
        <w:t xml:space="preserve"> </w:t>
      </w:r>
      <w:r w:rsidR="00AC1823" w:rsidRPr="00A22E80">
        <w:rPr>
          <w:rFonts w:ascii="Verdana" w:hAnsi="Verdana"/>
          <w:sz w:val="18"/>
          <w:szCs w:val="18"/>
        </w:rPr>
        <w:t xml:space="preserve">nu </w:t>
      </w:r>
      <w:r w:rsidR="00A47F90" w:rsidRPr="00A22E80">
        <w:rPr>
          <w:rFonts w:ascii="Verdana" w:hAnsi="Verdana"/>
          <w:sz w:val="18"/>
          <w:szCs w:val="18"/>
        </w:rPr>
        <w:t>is</w:t>
      </w:r>
      <w:r w:rsidRPr="00A22E80">
        <w:rPr>
          <w:rFonts w:ascii="Verdana" w:hAnsi="Verdana"/>
          <w:sz w:val="18"/>
          <w:szCs w:val="18"/>
        </w:rPr>
        <w:t xml:space="preserve"> opgenomen in artikel 3:285 </w:t>
      </w:r>
      <w:proofErr w:type="spellStart"/>
      <w:r w:rsidRPr="00A22E80">
        <w:rPr>
          <w:rFonts w:ascii="Verdana" w:hAnsi="Verdana"/>
          <w:sz w:val="18"/>
          <w:szCs w:val="18"/>
        </w:rPr>
        <w:t>Wft</w:t>
      </w:r>
      <w:proofErr w:type="spellEnd"/>
      <w:r w:rsidRPr="00A22E80">
        <w:rPr>
          <w:rFonts w:ascii="Verdana" w:hAnsi="Verdana"/>
          <w:sz w:val="18"/>
          <w:szCs w:val="18"/>
        </w:rPr>
        <w:t xml:space="preserve">. </w:t>
      </w:r>
      <w:r w:rsidR="00AC1823" w:rsidRPr="00A22E80">
        <w:rPr>
          <w:rFonts w:ascii="Verdana" w:hAnsi="Verdana"/>
          <w:sz w:val="18"/>
          <w:szCs w:val="18"/>
        </w:rPr>
        <w:t>Met het begrip “</w:t>
      </w:r>
      <w:proofErr w:type="spellStart"/>
      <w:r w:rsidRPr="00A22E80">
        <w:rPr>
          <w:rFonts w:ascii="Verdana" w:hAnsi="Verdana"/>
          <w:sz w:val="18"/>
          <w:szCs w:val="18"/>
        </w:rPr>
        <w:t>verz</w:t>
      </w:r>
      <w:r w:rsidR="00AC1823" w:rsidRPr="00A22E80">
        <w:rPr>
          <w:rFonts w:ascii="Verdana" w:hAnsi="Verdana"/>
          <w:sz w:val="18"/>
          <w:szCs w:val="18"/>
        </w:rPr>
        <w:t>ekeringsrichtlijngroepstoezicht</w:t>
      </w:r>
      <w:proofErr w:type="spellEnd"/>
      <w:r w:rsidR="00AC1823" w:rsidRPr="00A22E80">
        <w:rPr>
          <w:rFonts w:ascii="Verdana" w:hAnsi="Verdana"/>
          <w:sz w:val="18"/>
          <w:szCs w:val="18"/>
        </w:rPr>
        <w:t>”</w:t>
      </w:r>
      <w:r w:rsidR="00586A95" w:rsidRPr="00A22E80">
        <w:rPr>
          <w:rFonts w:ascii="Verdana" w:hAnsi="Verdana"/>
          <w:sz w:val="18"/>
          <w:szCs w:val="18"/>
        </w:rPr>
        <w:t xml:space="preserve"> </w:t>
      </w:r>
      <w:r w:rsidR="00AC1823" w:rsidRPr="00A22E80">
        <w:rPr>
          <w:rFonts w:ascii="Verdana" w:hAnsi="Verdana"/>
          <w:sz w:val="18"/>
          <w:szCs w:val="18"/>
        </w:rPr>
        <w:t>wordt aangesloten bij het huidige terminologie.</w:t>
      </w:r>
    </w:p>
    <w:p w:rsidR="00492F26" w:rsidRPr="00A22E80" w:rsidRDefault="00492F26" w:rsidP="00A22E80">
      <w:pPr>
        <w:spacing w:line="260" w:lineRule="exact"/>
        <w:rPr>
          <w:rFonts w:ascii="Verdana" w:hAnsi="Verdana"/>
          <w:sz w:val="18"/>
          <w:szCs w:val="18"/>
        </w:rPr>
      </w:pPr>
    </w:p>
    <w:p w:rsidR="00B7734C" w:rsidRPr="00A22E80" w:rsidRDefault="00CA3353" w:rsidP="00A22E80">
      <w:pPr>
        <w:spacing w:line="260" w:lineRule="exact"/>
        <w:rPr>
          <w:rFonts w:ascii="Verdana" w:hAnsi="Verdana"/>
          <w:sz w:val="18"/>
          <w:szCs w:val="18"/>
        </w:rPr>
      </w:pPr>
      <w:r w:rsidRPr="00A22E80">
        <w:rPr>
          <w:rFonts w:ascii="Verdana" w:hAnsi="Verdana"/>
          <w:sz w:val="18"/>
          <w:szCs w:val="18"/>
        </w:rPr>
        <w:t>F</w:t>
      </w:r>
      <w:r w:rsidR="00B7734C" w:rsidRPr="00A22E80">
        <w:rPr>
          <w:rFonts w:ascii="Verdana" w:hAnsi="Verdana"/>
          <w:sz w:val="18"/>
          <w:szCs w:val="18"/>
        </w:rPr>
        <w:t xml:space="preserve"> </w:t>
      </w:r>
    </w:p>
    <w:p w:rsidR="008A01DA" w:rsidRPr="00A22E80" w:rsidRDefault="008A01DA" w:rsidP="00A22E80">
      <w:pPr>
        <w:widowControl w:val="0"/>
        <w:spacing w:line="260" w:lineRule="exact"/>
        <w:rPr>
          <w:rFonts w:ascii="Verdana" w:hAnsi="Verdana"/>
          <w:sz w:val="18"/>
          <w:szCs w:val="18"/>
        </w:rPr>
      </w:pPr>
    </w:p>
    <w:p w:rsidR="008A01DA" w:rsidRPr="00A22E80" w:rsidRDefault="008A01DA" w:rsidP="00A22E80">
      <w:pPr>
        <w:widowControl w:val="0"/>
        <w:spacing w:line="260" w:lineRule="exact"/>
        <w:rPr>
          <w:rFonts w:ascii="Verdana" w:hAnsi="Verdana"/>
          <w:sz w:val="18"/>
          <w:szCs w:val="18"/>
        </w:rPr>
      </w:pPr>
      <w:r w:rsidRPr="00A22E80">
        <w:rPr>
          <w:rFonts w:ascii="Verdana" w:hAnsi="Verdana"/>
          <w:sz w:val="18"/>
          <w:szCs w:val="18"/>
        </w:rPr>
        <w:t xml:space="preserve">Bij gelegenheid van het schrappen van de opsomming van financiële ondernemingen in artikel </w:t>
      </w:r>
      <w:r w:rsidR="00B401D7" w:rsidRPr="00A22E80">
        <w:rPr>
          <w:rFonts w:ascii="Verdana" w:hAnsi="Verdana"/>
          <w:sz w:val="18"/>
          <w:szCs w:val="18"/>
        </w:rPr>
        <w:t>1</w:t>
      </w:r>
      <w:r w:rsidRPr="00A22E80">
        <w:rPr>
          <w:rFonts w:ascii="Verdana" w:hAnsi="Verdana"/>
          <w:sz w:val="18"/>
          <w:szCs w:val="18"/>
        </w:rPr>
        <w:t xml:space="preserve">:75, eerste lid, </w:t>
      </w:r>
      <w:r w:rsidR="003D6AB0" w:rsidRPr="00A22E80">
        <w:rPr>
          <w:rFonts w:ascii="Verdana" w:hAnsi="Verdana"/>
          <w:sz w:val="18"/>
          <w:szCs w:val="18"/>
        </w:rPr>
        <w:t xml:space="preserve">van de </w:t>
      </w:r>
      <w:proofErr w:type="spellStart"/>
      <w:r w:rsidRPr="00A22E80">
        <w:rPr>
          <w:rFonts w:ascii="Verdana" w:hAnsi="Verdana"/>
          <w:sz w:val="18"/>
          <w:szCs w:val="18"/>
        </w:rPr>
        <w:t>Wft</w:t>
      </w:r>
      <w:proofErr w:type="spellEnd"/>
      <w:r w:rsidR="00293688" w:rsidRPr="00A22E80">
        <w:rPr>
          <w:rFonts w:ascii="Verdana" w:hAnsi="Verdana"/>
          <w:sz w:val="18"/>
          <w:szCs w:val="18"/>
        </w:rPr>
        <w:t xml:space="preserve"> in de Implementatiewet Europees kader voor herstel en afwikkeling van banken en beleggingsondernemingen</w:t>
      </w:r>
      <w:r w:rsidR="00AC2BDB" w:rsidRPr="00A22E80">
        <w:rPr>
          <w:rFonts w:ascii="Verdana" w:hAnsi="Verdana"/>
          <w:sz w:val="18"/>
          <w:szCs w:val="18"/>
        </w:rPr>
        <w:t>, is</w:t>
      </w:r>
      <w:r w:rsidR="00997629" w:rsidRPr="00A22E80">
        <w:rPr>
          <w:rFonts w:ascii="Verdana" w:hAnsi="Verdana"/>
          <w:sz w:val="18"/>
          <w:szCs w:val="18"/>
        </w:rPr>
        <w:t>,</w:t>
      </w:r>
      <w:r w:rsidR="00AC2BDB" w:rsidRPr="00A22E80">
        <w:rPr>
          <w:rFonts w:ascii="Verdana" w:hAnsi="Verdana"/>
          <w:sz w:val="18"/>
          <w:szCs w:val="18"/>
        </w:rPr>
        <w:t xml:space="preserve"> vanwege de samenloop met een ander wetsvoorstel, geen rekening gehouden met de toevoeging van het huidige onderdeel h. De </w:t>
      </w:r>
      <w:r w:rsidR="00CF666F" w:rsidRPr="00A22E80">
        <w:rPr>
          <w:rFonts w:ascii="Verdana" w:hAnsi="Verdana"/>
          <w:sz w:val="18"/>
          <w:szCs w:val="18"/>
        </w:rPr>
        <w:t xml:space="preserve">voorgestelde </w:t>
      </w:r>
      <w:r w:rsidR="00AC2BDB" w:rsidRPr="00A22E80">
        <w:rPr>
          <w:rFonts w:ascii="Verdana" w:hAnsi="Verdana"/>
          <w:sz w:val="18"/>
          <w:szCs w:val="18"/>
        </w:rPr>
        <w:t xml:space="preserve">wijziging voorziet erin dat ook dit onderdeel </w:t>
      </w:r>
      <w:r w:rsidR="00293688" w:rsidRPr="00A22E80">
        <w:rPr>
          <w:rFonts w:ascii="Verdana" w:hAnsi="Verdana"/>
          <w:sz w:val="18"/>
          <w:szCs w:val="18"/>
        </w:rPr>
        <w:t xml:space="preserve">alsnog </w:t>
      </w:r>
      <w:r w:rsidR="00AC2BDB" w:rsidRPr="00A22E80">
        <w:rPr>
          <w:rFonts w:ascii="Verdana" w:hAnsi="Verdana"/>
          <w:sz w:val="18"/>
          <w:szCs w:val="18"/>
        </w:rPr>
        <w:t>wordt geschrapt.</w:t>
      </w:r>
    </w:p>
    <w:p w:rsidR="00675EEE" w:rsidRPr="00A22E80" w:rsidRDefault="00675EEE" w:rsidP="00A22E80">
      <w:pPr>
        <w:widowControl w:val="0"/>
        <w:spacing w:line="260" w:lineRule="exact"/>
        <w:rPr>
          <w:rFonts w:ascii="Verdana" w:hAnsi="Verdana"/>
          <w:sz w:val="18"/>
          <w:szCs w:val="18"/>
        </w:rPr>
      </w:pPr>
    </w:p>
    <w:p w:rsidR="00E10AFE" w:rsidRPr="00A22E80" w:rsidRDefault="00CA3353" w:rsidP="00A22E80">
      <w:pPr>
        <w:widowControl w:val="0"/>
        <w:spacing w:line="260" w:lineRule="exact"/>
        <w:rPr>
          <w:rFonts w:ascii="Verdana" w:hAnsi="Verdana"/>
          <w:sz w:val="18"/>
          <w:szCs w:val="18"/>
        </w:rPr>
      </w:pPr>
      <w:r w:rsidRPr="00A22E80">
        <w:rPr>
          <w:rFonts w:ascii="Verdana" w:hAnsi="Verdana"/>
          <w:sz w:val="18"/>
          <w:szCs w:val="18"/>
        </w:rPr>
        <w:t>G</w:t>
      </w:r>
    </w:p>
    <w:p w:rsidR="00E10AFE" w:rsidRPr="00A22E80" w:rsidRDefault="00E10AFE" w:rsidP="00A22E80">
      <w:pPr>
        <w:spacing w:line="260" w:lineRule="exact"/>
        <w:rPr>
          <w:rFonts w:ascii="Verdana" w:hAnsi="Verdana"/>
          <w:sz w:val="18"/>
          <w:szCs w:val="18"/>
        </w:rPr>
      </w:pPr>
    </w:p>
    <w:p w:rsidR="00FA6286" w:rsidRPr="00A22E80" w:rsidRDefault="00AC2BDB" w:rsidP="00A22E80">
      <w:pPr>
        <w:spacing w:line="260" w:lineRule="exact"/>
        <w:rPr>
          <w:rFonts w:ascii="Verdana" w:hAnsi="Verdana"/>
          <w:sz w:val="18"/>
          <w:szCs w:val="18"/>
        </w:rPr>
      </w:pPr>
      <w:r w:rsidRPr="00A22E80">
        <w:rPr>
          <w:rFonts w:ascii="Verdana" w:hAnsi="Verdana"/>
          <w:sz w:val="18"/>
          <w:szCs w:val="18"/>
        </w:rPr>
        <w:t xml:space="preserve">In onderdeel A wordt voorzien in opname van </w:t>
      </w:r>
      <w:r w:rsidR="00A47F90" w:rsidRPr="00A22E80">
        <w:rPr>
          <w:rFonts w:ascii="Verdana" w:hAnsi="Verdana"/>
          <w:sz w:val="18"/>
          <w:szCs w:val="18"/>
        </w:rPr>
        <w:t xml:space="preserve">de definitie </w:t>
      </w:r>
      <w:r w:rsidRPr="00A22E80">
        <w:rPr>
          <w:rFonts w:ascii="Verdana" w:hAnsi="Verdana"/>
          <w:sz w:val="18"/>
          <w:szCs w:val="18"/>
        </w:rPr>
        <w:t xml:space="preserve">van </w:t>
      </w:r>
      <w:r w:rsidR="00A47F90" w:rsidRPr="00A22E80">
        <w:rPr>
          <w:rFonts w:ascii="Verdana" w:hAnsi="Verdana"/>
          <w:sz w:val="18"/>
          <w:szCs w:val="18"/>
        </w:rPr>
        <w:t>“</w:t>
      </w:r>
      <w:proofErr w:type="spellStart"/>
      <w:r w:rsidRPr="00A22E80">
        <w:rPr>
          <w:rFonts w:ascii="Verdana" w:hAnsi="Verdana"/>
          <w:sz w:val="18"/>
          <w:szCs w:val="18"/>
        </w:rPr>
        <w:t>beëindigingsrecht</w:t>
      </w:r>
      <w:proofErr w:type="spellEnd"/>
      <w:r w:rsidR="00A47F90" w:rsidRPr="00A22E80">
        <w:rPr>
          <w:rFonts w:ascii="Verdana" w:hAnsi="Verdana"/>
          <w:sz w:val="18"/>
          <w:szCs w:val="18"/>
        </w:rPr>
        <w:t>” in artikel 1:1</w:t>
      </w:r>
      <w:r w:rsidRPr="00A22E80">
        <w:rPr>
          <w:rFonts w:ascii="Verdana" w:hAnsi="Verdana"/>
          <w:sz w:val="18"/>
          <w:szCs w:val="18"/>
        </w:rPr>
        <w:t>.</w:t>
      </w:r>
      <w:r w:rsidR="00A47F90" w:rsidRPr="00A22E80">
        <w:rPr>
          <w:rFonts w:ascii="Verdana" w:hAnsi="Verdana"/>
          <w:sz w:val="18"/>
          <w:szCs w:val="18"/>
        </w:rPr>
        <w:t xml:space="preserve"> </w:t>
      </w:r>
      <w:r w:rsidRPr="00A22E80">
        <w:rPr>
          <w:rFonts w:ascii="Verdana" w:hAnsi="Verdana"/>
          <w:sz w:val="18"/>
          <w:szCs w:val="18"/>
        </w:rPr>
        <w:t xml:space="preserve">In verband hiermee </w:t>
      </w:r>
      <w:r w:rsidR="00A47F90" w:rsidRPr="00A22E80">
        <w:rPr>
          <w:rFonts w:ascii="Verdana" w:hAnsi="Verdana"/>
          <w:sz w:val="18"/>
          <w:szCs w:val="18"/>
        </w:rPr>
        <w:t xml:space="preserve">kan in </w:t>
      </w:r>
      <w:r w:rsidR="005477A1" w:rsidRPr="00A22E80">
        <w:rPr>
          <w:rFonts w:ascii="Verdana" w:hAnsi="Verdana"/>
          <w:sz w:val="18"/>
          <w:szCs w:val="18"/>
        </w:rPr>
        <w:t xml:space="preserve">artikel 1:76b, </w:t>
      </w:r>
      <w:r w:rsidR="005477A1" w:rsidRPr="00A22E80">
        <w:rPr>
          <w:rFonts w:ascii="Verdana" w:hAnsi="Verdana"/>
          <w:sz w:val="18"/>
          <w:szCs w:val="18"/>
        </w:rPr>
        <w:lastRenderedPageBreak/>
        <w:t xml:space="preserve">eerste lid, onderdeel b, </w:t>
      </w:r>
      <w:r w:rsidR="003D6AB0" w:rsidRPr="00A22E80">
        <w:rPr>
          <w:rFonts w:ascii="Verdana" w:hAnsi="Verdana"/>
          <w:sz w:val="18"/>
          <w:szCs w:val="18"/>
        </w:rPr>
        <w:t xml:space="preserve">van de </w:t>
      </w:r>
      <w:proofErr w:type="spellStart"/>
      <w:r w:rsidR="003D6AB0" w:rsidRPr="00A22E80">
        <w:rPr>
          <w:rFonts w:ascii="Verdana" w:hAnsi="Verdana"/>
          <w:sz w:val="18"/>
          <w:szCs w:val="18"/>
        </w:rPr>
        <w:t>Wft</w:t>
      </w:r>
      <w:proofErr w:type="spellEnd"/>
      <w:r w:rsidR="003D6AB0" w:rsidRPr="00A22E80">
        <w:rPr>
          <w:rFonts w:ascii="Verdana" w:hAnsi="Verdana"/>
          <w:sz w:val="18"/>
          <w:szCs w:val="18"/>
        </w:rPr>
        <w:t xml:space="preserve"> </w:t>
      </w:r>
      <w:r w:rsidR="00A47F90" w:rsidRPr="00A22E80">
        <w:rPr>
          <w:rFonts w:ascii="Verdana" w:hAnsi="Verdana"/>
          <w:sz w:val="18"/>
          <w:szCs w:val="18"/>
        </w:rPr>
        <w:t>worden volstaan met het aanhalen van die definitie</w:t>
      </w:r>
      <w:r w:rsidRPr="00A22E80">
        <w:rPr>
          <w:rFonts w:ascii="Verdana" w:hAnsi="Verdana"/>
          <w:sz w:val="18"/>
          <w:szCs w:val="18"/>
        </w:rPr>
        <w:t>.</w:t>
      </w:r>
      <w:r w:rsidR="003D6AB0" w:rsidRPr="00A22E80">
        <w:rPr>
          <w:rFonts w:ascii="Verdana" w:hAnsi="Verdana"/>
          <w:sz w:val="18"/>
          <w:szCs w:val="18"/>
        </w:rPr>
        <w:t xml:space="preserve"> </w:t>
      </w:r>
      <w:r w:rsidR="00B806D1" w:rsidRPr="00A22E80">
        <w:rPr>
          <w:rFonts w:ascii="Verdana" w:hAnsi="Verdana"/>
          <w:sz w:val="18"/>
          <w:szCs w:val="18"/>
        </w:rPr>
        <w:t xml:space="preserve">Voor een nadere toelichting op deze wijziging wordt verwezen naar de </w:t>
      </w:r>
      <w:proofErr w:type="spellStart"/>
      <w:r w:rsidR="00B806D1" w:rsidRPr="00A22E80">
        <w:rPr>
          <w:rFonts w:ascii="Verdana" w:hAnsi="Verdana"/>
          <w:sz w:val="18"/>
          <w:szCs w:val="18"/>
        </w:rPr>
        <w:t>artikelsgewijze</w:t>
      </w:r>
      <w:proofErr w:type="spellEnd"/>
      <w:r w:rsidR="00B806D1" w:rsidRPr="00A22E80">
        <w:rPr>
          <w:rFonts w:ascii="Verdana" w:hAnsi="Verdana"/>
          <w:sz w:val="18"/>
          <w:szCs w:val="18"/>
        </w:rPr>
        <w:t xml:space="preserve"> toelichting bij </w:t>
      </w:r>
      <w:r w:rsidR="00753F73" w:rsidRPr="00A22E80">
        <w:rPr>
          <w:rFonts w:ascii="Verdana" w:hAnsi="Verdana"/>
          <w:sz w:val="18"/>
          <w:szCs w:val="18"/>
        </w:rPr>
        <w:t xml:space="preserve">subonderdelen 2, 4 en 6 van </w:t>
      </w:r>
      <w:r w:rsidR="00B806D1" w:rsidRPr="00A22E80">
        <w:rPr>
          <w:rFonts w:ascii="Verdana" w:hAnsi="Verdana"/>
          <w:sz w:val="18"/>
          <w:szCs w:val="18"/>
        </w:rPr>
        <w:t xml:space="preserve">onderdeel A. </w:t>
      </w:r>
      <w:r w:rsidR="003D6AB0" w:rsidRPr="00A22E80">
        <w:rPr>
          <w:rFonts w:ascii="Verdana" w:hAnsi="Verdana"/>
          <w:sz w:val="18"/>
          <w:szCs w:val="18"/>
        </w:rPr>
        <w:t xml:space="preserve">Het </w:t>
      </w:r>
      <w:r w:rsidR="00685C70" w:rsidRPr="00A22E80">
        <w:rPr>
          <w:rFonts w:ascii="Verdana" w:hAnsi="Verdana"/>
          <w:sz w:val="18"/>
          <w:szCs w:val="18"/>
        </w:rPr>
        <w:t>vierde lid, onderdeel b</w:t>
      </w:r>
      <w:r w:rsidR="005477A1" w:rsidRPr="00A22E80">
        <w:rPr>
          <w:rFonts w:ascii="Verdana" w:hAnsi="Verdana"/>
          <w:sz w:val="18"/>
          <w:szCs w:val="18"/>
        </w:rPr>
        <w:t>,</w:t>
      </w:r>
      <w:r w:rsidR="00685C70" w:rsidRPr="00A22E80">
        <w:rPr>
          <w:rFonts w:ascii="Verdana" w:hAnsi="Verdana"/>
          <w:sz w:val="18"/>
          <w:szCs w:val="18"/>
        </w:rPr>
        <w:t xml:space="preserve"> </w:t>
      </w:r>
      <w:r w:rsidR="003D6AB0" w:rsidRPr="00A22E80">
        <w:rPr>
          <w:rFonts w:ascii="Verdana" w:hAnsi="Verdana"/>
          <w:sz w:val="18"/>
          <w:szCs w:val="18"/>
        </w:rPr>
        <w:t xml:space="preserve">van dat artikel </w:t>
      </w:r>
      <w:r w:rsidR="00685C70" w:rsidRPr="00A22E80">
        <w:rPr>
          <w:rFonts w:ascii="Verdana" w:hAnsi="Verdana"/>
          <w:sz w:val="18"/>
          <w:szCs w:val="18"/>
        </w:rPr>
        <w:t>wordt in overeenstemming gebracht met onderdeel a.</w:t>
      </w:r>
    </w:p>
    <w:p w:rsidR="0035065C" w:rsidRPr="00A22E80" w:rsidRDefault="0035065C" w:rsidP="00A22E80">
      <w:pPr>
        <w:widowControl w:val="0"/>
        <w:tabs>
          <w:tab w:val="num" w:pos="720"/>
        </w:tabs>
        <w:spacing w:line="260" w:lineRule="exact"/>
        <w:rPr>
          <w:rFonts w:ascii="Verdana" w:hAnsi="Verdana" w:cs="Arial"/>
          <w:sz w:val="18"/>
          <w:szCs w:val="18"/>
        </w:rPr>
      </w:pPr>
    </w:p>
    <w:p w:rsidR="0035065C" w:rsidRPr="00A22E80" w:rsidRDefault="00CA3353" w:rsidP="00A22E80">
      <w:pPr>
        <w:widowControl w:val="0"/>
        <w:spacing w:line="260" w:lineRule="exact"/>
        <w:rPr>
          <w:rFonts w:ascii="Verdana" w:hAnsi="Verdana"/>
          <w:sz w:val="18"/>
          <w:szCs w:val="18"/>
        </w:rPr>
      </w:pPr>
      <w:r w:rsidRPr="00A22E80">
        <w:rPr>
          <w:rFonts w:ascii="Verdana" w:hAnsi="Verdana"/>
          <w:sz w:val="18"/>
          <w:szCs w:val="18"/>
        </w:rPr>
        <w:t>H</w:t>
      </w:r>
    </w:p>
    <w:p w:rsidR="00AC2BDB" w:rsidRPr="00A22E80" w:rsidRDefault="00AC2BDB" w:rsidP="00A22E80">
      <w:pPr>
        <w:widowControl w:val="0"/>
        <w:spacing w:line="260" w:lineRule="exact"/>
        <w:rPr>
          <w:rFonts w:ascii="Verdana" w:hAnsi="Verdana"/>
          <w:sz w:val="18"/>
          <w:szCs w:val="18"/>
        </w:rPr>
      </w:pPr>
    </w:p>
    <w:p w:rsidR="00AC2BDB" w:rsidRPr="00A22E80" w:rsidRDefault="003816FB" w:rsidP="00A22E80">
      <w:pPr>
        <w:widowControl w:val="0"/>
        <w:spacing w:line="260" w:lineRule="exact"/>
        <w:rPr>
          <w:rFonts w:ascii="Verdana" w:hAnsi="Verdana"/>
          <w:sz w:val="18"/>
          <w:szCs w:val="18"/>
        </w:rPr>
      </w:pPr>
      <w:r>
        <w:rPr>
          <w:rFonts w:ascii="Verdana" w:hAnsi="Verdana"/>
          <w:sz w:val="18"/>
          <w:szCs w:val="18"/>
        </w:rPr>
        <w:t xml:space="preserve">De </w:t>
      </w:r>
      <w:proofErr w:type="spellStart"/>
      <w:r>
        <w:rPr>
          <w:rFonts w:ascii="Verdana" w:hAnsi="Verdana"/>
          <w:sz w:val="18"/>
          <w:szCs w:val="18"/>
        </w:rPr>
        <w:t>Nederlandsche</w:t>
      </w:r>
      <w:proofErr w:type="spellEnd"/>
      <w:r>
        <w:rPr>
          <w:rFonts w:ascii="Verdana" w:hAnsi="Verdana"/>
          <w:sz w:val="18"/>
          <w:szCs w:val="18"/>
        </w:rPr>
        <w:t xml:space="preserve"> Bank</w:t>
      </w:r>
      <w:r w:rsidR="00927F32" w:rsidRPr="00A22E80">
        <w:rPr>
          <w:rFonts w:ascii="Verdana" w:hAnsi="Verdana"/>
          <w:sz w:val="18"/>
          <w:szCs w:val="18"/>
        </w:rPr>
        <w:t xml:space="preserve"> wordt in de artikelen 3:259a en 3A:68 </w:t>
      </w:r>
      <w:proofErr w:type="spellStart"/>
      <w:r w:rsidR="00927F32" w:rsidRPr="00A22E80">
        <w:rPr>
          <w:rFonts w:ascii="Verdana" w:hAnsi="Verdana"/>
          <w:sz w:val="18"/>
          <w:szCs w:val="18"/>
        </w:rPr>
        <w:t>Wft</w:t>
      </w:r>
      <w:proofErr w:type="spellEnd"/>
      <w:r w:rsidR="00927F32" w:rsidRPr="00A22E80">
        <w:rPr>
          <w:rFonts w:ascii="Verdana" w:hAnsi="Verdana"/>
          <w:sz w:val="18"/>
          <w:szCs w:val="18"/>
        </w:rPr>
        <w:t xml:space="preserve"> belast met de ondersteuning van het Depositogarantiefonds</w:t>
      </w:r>
      <w:r w:rsidR="00213A71" w:rsidRPr="00A22E80">
        <w:rPr>
          <w:rFonts w:ascii="Verdana" w:hAnsi="Verdana"/>
          <w:sz w:val="18"/>
          <w:szCs w:val="18"/>
        </w:rPr>
        <w:t xml:space="preserve"> en</w:t>
      </w:r>
      <w:r w:rsidR="00927F32" w:rsidRPr="00A22E80">
        <w:rPr>
          <w:rFonts w:ascii="Verdana" w:hAnsi="Verdana"/>
          <w:sz w:val="18"/>
          <w:szCs w:val="18"/>
        </w:rPr>
        <w:t xml:space="preserve"> het Afwikkelingsfonds bij de uitoefening van hun taken. Tot deze ondersteuning kan worden gerekend het verstrekken van al dan niet vertrouwelijke informatie die de fondsen nodig hebben voor hun taakuitoefening. Aldus valt deze informatieverschaffing onder de taakuitoefening van </w:t>
      </w:r>
      <w:r w:rsidR="00BE11E0">
        <w:rPr>
          <w:rFonts w:ascii="Verdana" w:hAnsi="Verdana"/>
          <w:sz w:val="18"/>
          <w:szCs w:val="18"/>
        </w:rPr>
        <w:t>d</w:t>
      </w:r>
      <w:r>
        <w:rPr>
          <w:rFonts w:ascii="Verdana" w:hAnsi="Verdana"/>
          <w:sz w:val="18"/>
          <w:szCs w:val="18"/>
        </w:rPr>
        <w:t xml:space="preserve">e </w:t>
      </w:r>
      <w:proofErr w:type="spellStart"/>
      <w:r>
        <w:rPr>
          <w:rFonts w:ascii="Verdana" w:hAnsi="Verdana"/>
          <w:sz w:val="18"/>
          <w:szCs w:val="18"/>
        </w:rPr>
        <w:t>Nederlandsche</w:t>
      </w:r>
      <w:proofErr w:type="spellEnd"/>
      <w:r>
        <w:rPr>
          <w:rFonts w:ascii="Verdana" w:hAnsi="Verdana"/>
          <w:sz w:val="18"/>
          <w:szCs w:val="18"/>
        </w:rPr>
        <w:t xml:space="preserve"> Bank</w:t>
      </w:r>
      <w:r w:rsidR="00927F32" w:rsidRPr="00A22E80">
        <w:rPr>
          <w:rFonts w:ascii="Verdana" w:hAnsi="Verdana"/>
          <w:sz w:val="18"/>
          <w:szCs w:val="18"/>
        </w:rPr>
        <w:t xml:space="preserve"> ingevolge de wet en kan de geheimhoudingsplicht ingevolge artikel 1:89 </w:t>
      </w:r>
      <w:proofErr w:type="spellStart"/>
      <w:r w:rsidR="00927F32" w:rsidRPr="00A22E80">
        <w:rPr>
          <w:rFonts w:ascii="Verdana" w:hAnsi="Verdana"/>
          <w:sz w:val="18"/>
          <w:szCs w:val="18"/>
        </w:rPr>
        <w:t>Wft</w:t>
      </w:r>
      <w:proofErr w:type="spellEnd"/>
      <w:r w:rsidR="00927F32" w:rsidRPr="00A22E80">
        <w:rPr>
          <w:rFonts w:ascii="Verdana" w:hAnsi="Verdana"/>
          <w:sz w:val="18"/>
          <w:szCs w:val="18"/>
        </w:rPr>
        <w:t xml:space="preserve"> niet aan informatieverstrekking aan de fondsen in de weg staan. Echter, </w:t>
      </w:r>
      <w:r w:rsidR="00A656BC" w:rsidRPr="00A22E80">
        <w:rPr>
          <w:rFonts w:ascii="Verdana" w:hAnsi="Verdana"/>
          <w:sz w:val="18"/>
          <w:szCs w:val="18"/>
        </w:rPr>
        <w:t xml:space="preserve">in </w:t>
      </w:r>
      <w:r w:rsidR="00927F32" w:rsidRPr="00A22E80">
        <w:rPr>
          <w:rFonts w:ascii="Verdana" w:hAnsi="Verdana"/>
          <w:sz w:val="18"/>
          <w:szCs w:val="18"/>
        </w:rPr>
        <w:t>de huidige wetsystematiek</w:t>
      </w:r>
      <w:r w:rsidR="00A656BC" w:rsidRPr="00A22E80">
        <w:rPr>
          <w:rFonts w:ascii="Verdana" w:hAnsi="Verdana"/>
          <w:sz w:val="18"/>
          <w:szCs w:val="18"/>
        </w:rPr>
        <w:t xml:space="preserve"> wordt</w:t>
      </w:r>
      <w:r w:rsidR="00927F32" w:rsidRPr="00A22E80">
        <w:rPr>
          <w:rFonts w:ascii="Verdana" w:hAnsi="Verdana"/>
          <w:sz w:val="18"/>
          <w:szCs w:val="18"/>
        </w:rPr>
        <w:t xml:space="preserve"> </w:t>
      </w:r>
      <w:r w:rsidR="00E43EF2" w:rsidRPr="00A22E80">
        <w:rPr>
          <w:rFonts w:ascii="Verdana" w:hAnsi="Verdana"/>
          <w:sz w:val="18"/>
          <w:szCs w:val="18"/>
        </w:rPr>
        <w:t xml:space="preserve">in beginsel een </w:t>
      </w:r>
      <w:r w:rsidR="00927F32" w:rsidRPr="00A22E80">
        <w:rPr>
          <w:rFonts w:ascii="Verdana" w:hAnsi="Verdana"/>
          <w:sz w:val="18"/>
          <w:szCs w:val="18"/>
        </w:rPr>
        <w:t>instantie waaraan vertrouwelijke informatie kan worden verst</w:t>
      </w:r>
      <w:r w:rsidR="00A656BC" w:rsidRPr="00A22E80">
        <w:rPr>
          <w:rFonts w:ascii="Verdana" w:hAnsi="Verdana"/>
          <w:sz w:val="18"/>
          <w:szCs w:val="18"/>
        </w:rPr>
        <w:t>re</w:t>
      </w:r>
      <w:r w:rsidR="00927F32" w:rsidRPr="00A22E80">
        <w:rPr>
          <w:rFonts w:ascii="Verdana" w:hAnsi="Verdana"/>
          <w:sz w:val="18"/>
          <w:szCs w:val="18"/>
        </w:rPr>
        <w:t xml:space="preserve">kt in de wet </w:t>
      </w:r>
      <w:r w:rsidR="00E43EF2" w:rsidRPr="00A22E80">
        <w:rPr>
          <w:rFonts w:ascii="Verdana" w:hAnsi="Verdana"/>
          <w:sz w:val="18"/>
          <w:szCs w:val="18"/>
        </w:rPr>
        <w:t>benoemd. Daarom</w:t>
      </w:r>
      <w:r w:rsidR="00927F32" w:rsidRPr="00A22E80">
        <w:rPr>
          <w:rFonts w:ascii="Verdana" w:hAnsi="Verdana"/>
          <w:sz w:val="18"/>
          <w:szCs w:val="18"/>
        </w:rPr>
        <w:t xml:space="preserve"> wordt voorgesteld om te expliciteren dat </w:t>
      </w:r>
      <w:r w:rsidR="00E43EF2" w:rsidRPr="00A22E80">
        <w:rPr>
          <w:rFonts w:ascii="Verdana" w:hAnsi="Verdana"/>
          <w:sz w:val="18"/>
          <w:szCs w:val="18"/>
        </w:rPr>
        <w:t xml:space="preserve">ook </w:t>
      </w:r>
      <w:r w:rsidR="00927F32" w:rsidRPr="00A22E80">
        <w:rPr>
          <w:rFonts w:ascii="Verdana" w:hAnsi="Verdana"/>
          <w:sz w:val="18"/>
          <w:szCs w:val="18"/>
        </w:rPr>
        <w:t>beide fondsen tot deze kring van instanties behoren.</w:t>
      </w:r>
    </w:p>
    <w:p w:rsidR="00E77ACE" w:rsidRPr="00A22E80" w:rsidRDefault="00E77ACE" w:rsidP="00A22E80">
      <w:pPr>
        <w:widowControl w:val="0"/>
        <w:tabs>
          <w:tab w:val="num" w:pos="720"/>
        </w:tabs>
        <w:spacing w:line="260" w:lineRule="exact"/>
        <w:rPr>
          <w:rFonts w:ascii="Verdana" w:hAnsi="Verdana" w:cs="Arial"/>
          <w:sz w:val="18"/>
          <w:szCs w:val="18"/>
        </w:rPr>
      </w:pPr>
    </w:p>
    <w:p w:rsidR="00E77ACE" w:rsidRPr="00A22E80" w:rsidRDefault="00E77A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Het tweede subonderdeel voorziet in herstel van een dubbele nummering </w:t>
      </w:r>
      <w:r w:rsidR="003C7710" w:rsidRPr="00A22E80">
        <w:rPr>
          <w:rFonts w:ascii="Verdana" w:hAnsi="Verdana" w:cs="Arial"/>
          <w:sz w:val="18"/>
          <w:szCs w:val="18"/>
        </w:rPr>
        <w:t xml:space="preserve">van leden van artikel 1:90 </w:t>
      </w:r>
      <w:r w:rsidRPr="00A22E80">
        <w:rPr>
          <w:rFonts w:ascii="Verdana" w:hAnsi="Verdana" w:cs="Arial"/>
          <w:sz w:val="18"/>
          <w:szCs w:val="18"/>
        </w:rPr>
        <w:t xml:space="preserve">als achtste lid, dat is opgetreden </w:t>
      </w:r>
      <w:r w:rsidR="00C5723D" w:rsidRPr="00A22E80">
        <w:rPr>
          <w:rFonts w:ascii="Verdana" w:hAnsi="Verdana" w:cs="Arial"/>
          <w:sz w:val="18"/>
          <w:szCs w:val="18"/>
        </w:rPr>
        <w:t xml:space="preserve">als gevolg van de inwerkingtreding van de </w:t>
      </w:r>
      <w:r w:rsidRPr="00A22E80">
        <w:rPr>
          <w:rFonts w:ascii="Verdana" w:hAnsi="Verdana" w:cs="Arial"/>
          <w:sz w:val="18"/>
          <w:szCs w:val="18"/>
        </w:rPr>
        <w:t>Implementatiewet Omnibus II.</w:t>
      </w:r>
    </w:p>
    <w:p w:rsidR="00AC2BDB" w:rsidRPr="00A22E80" w:rsidRDefault="00AC2BDB" w:rsidP="00A22E80">
      <w:pPr>
        <w:widowControl w:val="0"/>
        <w:spacing w:line="260" w:lineRule="exact"/>
        <w:rPr>
          <w:rFonts w:ascii="Verdana" w:hAnsi="Verdana"/>
          <w:sz w:val="18"/>
          <w:szCs w:val="18"/>
        </w:rPr>
      </w:pPr>
    </w:p>
    <w:p w:rsidR="00AC2BDB" w:rsidRPr="00A22E80" w:rsidRDefault="00CA3353" w:rsidP="00A22E80">
      <w:pPr>
        <w:widowControl w:val="0"/>
        <w:spacing w:line="260" w:lineRule="exact"/>
        <w:rPr>
          <w:rFonts w:ascii="Verdana" w:hAnsi="Verdana"/>
          <w:sz w:val="18"/>
          <w:szCs w:val="18"/>
        </w:rPr>
      </w:pPr>
      <w:r w:rsidRPr="00A22E80">
        <w:rPr>
          <w:rFonts w:ascii="Verdana" w:hAnsi="Verdana"/>
          <w:sz w:val="18"/>
          <w:szCs w:val="18"/>
        </w:rPr>
        <w:t>I</w:t>
      </w:r>
    </w:p>
    <w:p w:rsidR="00685C70" w:rsidRPr="00A22E80" w:rsidRDefault="00685C70" w:rsidP="00A22E80">
      <w:pPr>
        <w:widowControl w:val="0"/>
        <w:tabs>
          <w:tab w:val="num" w:pos="720"/>
        </w:tabs>
        <w:spacing w:line="260" w:lineRule="exact"/>
        <w:rPr>
          <w:rFonts w:ascii="Verdana" w:hAnsi="Verdana" w:cs="Arial"/>
          <w:sz w:val="18"/>
          <w:szCs w:val="18"/>
        </w:rPr>
      </w:pPr>
    </w:p>
    <w:p w:rsidR="00012C53" w:rsidRPr="00A22E80" w:rsidRDefault="00012C53"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Met de voorgest</w:t>
      </w:r>
      <w:r w:rsidR="00E77ACE" w:rsidRPr="00A22E80">
        <w:rPr>
          <w:rFonts w:ascii="Verdana" w:hAnsi="Verdana" w:cs="Arial"/>
          <w:sz w:val="18"/>
          <w:szCs w:val="18"/>
        </w:rPr>
        <w:t>elde aanvulling van artikel 1:93</w:t>
      </w:r>
      <w:r w:rsidRPr="00A22E80">
        <w:rPr>
          <w:rFonts w:ascii="Verdana" w:hAnsi="Verdana" w:cs="Arial"/>
          <w:sz w:val="18"/>
          <w:szCs w:val="18"/>
        </w:rPr>
        <w:t xml:space="preserve"> </w:t>
      </w:r>
      <w:proofErr w:type="spellStart"/>
      <w:r w:rsidR="003D6AB0" w:rsidRPr="00A22E80">
        <w:rPr>
          <w:rFonts w:ascii="Verdana" w:hAnsi="Verdana" w:cs="Arial"/>
          <w:sz w:val="18"/>
          <w:szCs w:val="18"/>
        </w:rPr>
        <w:t>Wft</w:t>
      </w:r>
      <w:proofErr w:type="spellEnd"/>
      <w:r w:rsidR="0056431B" w:rsidRPr="00A22E80">
        <w:rPr>
          <w:rFonts w:ascii="Verdana" w:hAnsi="Verdana" w:cs="Arial"/>
          <w:sz w:val="18"/>
          <w:szCs w:val="18"/>
        </w:rPr>
        <w:t>, eerste lid,</w:t>
      </w:r>
      <w:r w:rsidR="003D6AB0" w:rsidRPr="00A22E80">
        <w:rPr>
          <w:rFonts w:ascii="Verdana" w:hAnsi="Verdana" w:cs="Arial"/>
          <w:sz w:val="18"/>
          <w:szCs w:val="18"/>
        </w:rPr>
        <w:t xml:space="preserve"> </w:t>
      </w:r>
      <w:r w:rsidRPr="00A22E80">
        <w:rPr>
          <w:rFonts w:ascii="Verdana" w:hAnsi="Verdana" w:cs="Arial"/>
          <w:sz w:val="18"/>
          <w:szCs w:val="18"/>
        </w:rPr>
        <w:t>met een uitzondering op de geheimhoudingsplicht van de toezichthouders ten behoeve van het informeren van een clearinginstelling of afwikkelonderneming omtrent de toestand van een marktdeelnemer, wordt voorzien in de thans nog ontbrekende implementatie van artikel 61, eerste lid, van de richtlijn kapitaalvereisten.</w:t>
      </w:r>
    </w:p>
    <w:p w:rsidR="00012C53" w:rsidRPr="00A22E80" w:rsidRDefault="00012C53" w:rsidP="00A22E80">
      <w:pPr>
        <w:widowControl w:val="0"/>
        <w:tabs>
          <w:tab w:val="num" w:pos="720"/>
        </w:tabs>
        <w:spacing w:line="260" w:lineRule="exact"/>
        <w:rPr>
          <w:rFonts w:ascii="Verdana" w:hAnsi="Verdana" w:cs="Arial"/>
          <w:sz w:val="18"/>
          <w:szCs w:val="18"/>
        </w:rPr>
      </w:pPr>
    </w:p>
    <w:p w:rsidR="00927F7F" w:rsidRPr="00A22E80" w:rsidRDefault="003B624E" w:rsidP="00A22E80">
      <w:pPr>
        <w:widowControl w:val="0"/>
        <w:spacing w:line="260" w:lineRule="exact"/>
        <w:rPr>
          <w:rFonts w:ascii="Verdana" w:hAnsi="Verdana"/>
          <w:sz w:val="18"/>
          <w:szCs w:val="18"/>
        </w:rPr>
      </w:pPr>
      <w:r w:rsidRPr="00A22E80">
        <w:rPr>
          <w:rFonts w:ascii="Verdana" w:hAnsi="Verdana"/>
          <w:sz w:val="18"/>
          <w:szCs w:val="18"/>
        </w:rPr>
        <w:t>J</w:t>
      </w:r>
    </w:p>
    <w:p w:rsidR="003D6AB0" w:rsidRPr="00A22E80" w:rsidRDefault="003D6AB0" w:rsidP="00A22E80">
      <w:pPr>
        <w:widowControl w:val="0"/>
        <w:spacing w:line="260" w:lineRule="exact"/>
        <w:rPr>
          <w:rFonts w:ascii="Verdana" w:hAnsi="Verdana"/>
          <w:sz w:val="18"/>
          <w:szCs w:val="18"/>
        </w:rPr>
      </w:pPr>
    </w:p>
    <w:p w:rsidR="003D6AB0" w:rsidRPr="00A22E80" w:rsidRDefault="003D6AB0" w:rsidP="00A22E80">
      <w:pPr>
        <w:widowControl w:val="0"/>
        <w:spacing w:line="260" w:lineRule="exact"/>
        <w:rPr>
          <w:rFonts w:ascii="Verdana" w:hAnsi="Verdana"/>
          <w:sz w:val="18"/>
          <w:szCs w:val="18"/>
        </w:rPr>
      </w:pPr>
      <w:r w:rsidRPr="00A22E80">
        <w:rPr>
          <w:rFonts w:ascii="Verdana" w:hAnsi="Verdana"/>
          <w:sz w:val="18"/>
          <w:szCs w:val="18"/>
        </w:rPr>
        <w:t xml:space="preserve">Voorgesteld wordt om onderdeel e van het eerste lid </w:t>
      </w:r>
      <w:r w:rsidR="000A3F9B" w:rsidRPr="00A22E80">
        <w:rPr>
          <w:rFonts w:ascii="Verdana" w:hAnsi="Verdana"/>
          <w:sz w:val="18"/>
          <w:szCs w:val="18"/>
        </w:rPr>
        <w:t xml:space="preserve">van artikel 1:105 </w:t>
      </w:r>
      <w:proofErr w:type="spellStart"/>
      <w:r w:rsidR="000A3F9B" w:rsidRPr="00A22E80">
        <w:rPr>
          <w:rFonts w:ascii="Verdana" w:hAnsi="Verdana"/>
          <w:sz w:val="18"/>
          <w:szCs w:val="18"/>
        </w:rPr>
        <w:t>Wft</w:t>
      </w:r>
      <w:proofErr w:type="spellEnd"/>
      <w:r w:rsidR="000A3F9B" w:rsidRPr="00A22E80">
        <w:rPr>
          <w:rFonts w:ascii="Verdana" w:hAnsi="Verdana"/>
          <w:sz w:val="18"/>
          <w:szCs w:val="18"/>
        </w:rPr>
        <w:t xml:space="preserve"> </w:t>
      </w:r>
      <w:r w:rsidRPr="00A22E80">
        <w:rPr>
          <w:rFonts w:ascii="Verdana" w:hAnsi="Verdana"/>
          <w:sz w:val="18"/>
          <w:szCs w:val="18"/>
        </w:rPr>
        <w:t>te schrappen, aangezien dat ziet op een instemmingvereiste dat was opgenomen in 3:378b, tweede lid. Dat instemmingvereiste is, vanwege opname in de verordening kapitaalvereiste</w:t>
      </w:r>
      <w:r w:rsidR="00B76955" w:rsidRPr="00A22E80">
        <w:rPr>
          <w:rFonts w:ascii="Verdana" w:hAnsi="Verdana"/>
          <w:sz w:val="18"/>
          <w:szCs w:val="18"/>
        </w:rPr>
        <w:t>n</w:t>
      </w:r>
      <w:r w:rsidRPr="00A22E80">
        <w:rPr>
          <w:rFonts w:ascii="Verdana" w:hAnsi="Verdana"/>
          <w:sz w:val="18"/>
          <w:szCs w:val="18"/>
        </w:rPr>
        <w:t>, reeds vervallen bij inwerkingtreding van artikel I, onderdeel III, van de Implementatiewet richtlijn en verordening kapitaalvereisten.</w:t>
      </w:r>
    </w:p>
    <w:p w:rsidR="003D6AB0" w:rsidRPr="00A22E80" w:rsidRDefault="003D6AB0" w:rsidP="00A22E80">
      <w:pPr>
        <w:widowControl w:val="0"/>
        <w:spacing w:line="260" w:lineRule="exact"/>
        <w:rPr>
          <w:rFonts w:ascii="Verdana" w:hAnsi="Verdana"/>
          <w:sz w:val="18"/>
          <w:szCs w:val="18"/>
        </w:rPr>
      </w:pPr>
    </w:p>
    <w:p w:rsidR="00441B30" w:rsidRPr="00A22E80" w:rsidRDefault="003733FE" w:rsidP="00A22E80">
      <w:pPr>
        <w:widowControl w:val="0"/>
        <w:spacing w:line="260" w:lineRule="exact"/>
        <w:rPr>
          <w:rFonts w:ascii="Verdana" w:hAnsi="Verdana"/>
          <w:sz w:val="18"/>
          <w:szCs w:val="18"/>
        </w:rPr>
      </w:pPr>
      <w:r w:rsidRPr="00A22E80">
        <w:rPr>
          <w:rFonts w:ascii="Verdana" w:hAnsi="Verdana"/>
          <w:sz w:val="18"/>
          <w:szCs w:val="18"/>
        </w:rPr>
        <w:t>K</w:t>
      </w:r>
    </w:p>
    <w:p w:rsidR="00441B30" w:rsidRPr="00A22E80" w:rsidRDefault="00441B30" w:rsidP="00A22E80">
      <w:pPr>
        <w:widowControl w:val="0"/>
        <w:spacing w:line="260" w:lineRule="exact"/>
        <w:rPr>
          <w:rFonts w:ascii="Verdana" w:hAnsi="Verdana"/>
          <w:sz w:val="18"/>
          <w:szCs w:val="18"/>
        </w:rPr>
      </w:pPr>
    </w:p>
    <w:p w:rsidR="00164ABF" w:rsidRPr="00A22E80" w:rsidRDefault="00164ABF" w:rsidP="00A22E80">
      <w:pPr>
        <w:spacing w:line="260" w:lineRule="exact"/>
        <w:rPr>
          <w:rFonts w:ascii="Verdana" w:hAnsi="Verdana"/>
          <w:sz w:val="18"/>
          <w:szCs w:val="18"/>
        </w:rPr>
      </w:pPr>
      <w:r w:rsidRPr="00A22E80">
        <w:rPr>
          <w:rFonts w:ascii="Verdana" w:hAnsi="Verdana"/>
          <w:sz w:val="18"/>
          <w:szCs w:val="18"/>
        </w:rPr>
        <w:t xml:space="preserve">De inhoud van artikel 4:37f, tweede lid, </w:t>
      </w:r>
      <w:r w:rsidR="00EA32CE">
        <w:rPr>
          <w:rFonts w:ascii="Verdana" w:hAnsi="Verdana"/>
          <w:sz w:val="18"/>
          <w:szCs w:val="18"/>
        </w:rPr>
        <w:t xml:space="preserve">van de </w:t>
      </w:r>
      <w:proofErr w:type="spellStart"/>
      <w:r w:rsidR="00EA32CE">
        <w:rPr>
          <w:rFonts w:ascii="Verdana" w:hAnsi="Verdana"/>
          <w:sz w:val="18"/>
          <w:szCs w:val="18"/>
        </w:rPr>
        <w:t>Wft</w:t>
      </w:r>
      <w:proofErr w:type="spellEnd"/>
      <w:r w:rsidR="00EA32CE">
        <w:rPr>
          <w:rFonts w:ascii="Verdana" w:hAnsi="Verdana"/>
          <w:sz w:val="18"/>
          <w:szCs w:val="18"/>
        </w:rPr>
        <w:t xml:space="preserve"> </w:t>
      </w:r>
      <w:r w:rsidRPr="00A22E80">
        <w:rPr>
          <w:rFonts w:ascii="Verdana" w:hAnsi="Verdana"/>
          <w:sz w:val="18"/>
          <w:szCs w:val="18"/>
        </w:rPr>
        <w:t xml:space="preserve">is bij de Implementatiewet wijziging richtlijn </w:t>
      </w:r>
      <w:proofErr w:type="spellStart"/>
      <w:r w:rsidRPr="00A22E80">
        <w:rPr>
          <w:rFonts w:ascii="Verdana" w:hAnsi="Verdana"/>
          <w:sz w:val="18"/>
          <w:szCs w:val="18"/>
        </w:rPr>
        <w:t>icbe’s</w:t>
      </w:r>
      <w:proofErr w:type="spellEnd"/>
      <w:r w:rsidRPr="00A22E80">
        <w:rPr>
          <w:rFonts w:ascii="Verdana" w:hAnsi="Verdana"/>
          <w:sz w:val="18"/>
          <w:szCs w:val="18"/>
        </w:rPr>
        <w:t xml:space="preserve"> opgenomen in artikel 4:37m, tweede lid. In voornoemde wet is verzuimd de bestaande verwijzing in artikel 1:107, tweede lid, dienovereenkomstig aan te passen. Met de voorgestelde wijziging wordt dit hersteld.</w:t>
      </w:r>
    </w:p>
    <w:p w:rsidR="00441B30" w:rsidRPr="00A22E80" w:rsidRDefault="00441B30" w:rsidP="00A22E80">
      <w:pPr>
        <w:widowControl w:val="0"/>
        <w:spacing w:line="260" w:lineRule="exact"/>
        <w:rPr>
          <w:rFonts w:ascii="Verdana" w:hAnsi="Verdana"/>
          <w:sz w:val="18"/>
          <w:szCs w:val="18"/>
        </w:rPr>
      </w:pPr>
    </w:p>
    <w:p w:rsidR="003D6AB0" w:rsidRPr="00A22E80" w:rsidRDefault="00665EB4" w:rsidP="00A22E80">
      <w:pPr>
        <w:widowControl w:val="0"/>
        <w:spacing w:line="260" w:lineRule="exact"/>
        <w:rPr>
          <w:rFonts w:ascii="Verdana" w:hAnsi="Verdana"/>
          <w:sz w:val="18"/>
          <w:szCs w:val="18"/>
        </w:rPr>
      </w:pPr>
      <w:r w:rsidRPr="00A22E80">
        <w:rPr>
          <w:rFonts w:ascii="Verdana" w:hAnsi="Verdana"/>
          <w:sz w:val="18"/>
          <w:szCs w:val="18"/>
        </w:rPr>
        <w:t>L</w:t>
      </w:r>
    </w:p>
    <w:p w:rsidR="00927F7F" w:rsidRPr="00A22E80" w:rsidRDefault="00927F7F" w:rsidP="00A22E80">
      <w:pPr>
        <w:widowControl w:val="0"/>
        <w:tabs>
          <w:tab w:val="num" w:pos="720"/>
        </w:tabs>
        <w:spacing w:line="260" w:lineRule="exact"/>
        <w:rPr>
          <w:rFonts w:ascii="Verdana" w:hAnsi="Verdana" w:cs="Arial"/>
          <w:sz w:val="18"/>
          <w:szCs w:val="18"/>
        </w:rPr>
      </w:pPr>
    </w:p>
    <w:p w:rsidR="00927F7F" w:rsidRPr="00A22E80" w:rsidRDefault="00FA0A8E" w:rsidP="00A22E80">
      <w:pPr>
        <w:widowControl w:val="0"/>
        <w:tabs>
          <w:tab w:val="num" w:pos="720"/>
        </w:tabs>
        <w:spacing w:line="260" w:lineRule="exact"/>
        <w:rPr>
          <w:rFonts w:ascii="Verdana" w:hAnsi="Verdana" w:cs="Arial"/>
          <w:sz w:val="18"/>
          <w:szCs w:val="18"/>
        </w:rPr>
      </w:pPr>
      <w:r w:rsidRPr="00A22E80">
        <w:rPr>
          <w:rFonts w:ascii="Verdana" w:hAnsi="Verdana"/>
          <w:sz w:val="18"/>
          <w:szCs w:val="18"/>
        </w:rPr>
        <w:lastRenderedPageBreak/>
        <w:t>Het opschrift van paragraaf 2.2.4.1.</w:t>
      </w:r>
      <w:r w:rsidR="003D6AB0" w:rsidRPr="00A22E80">
        <w:rPr>
          <w:rFonts w:ascii="Verdana" w:hAnsi="Verdana"/>
          <w:sz w:val="18"/>
          <w:szCs w:val="18"/>
        </w:rPr>
        <w:t xml:space="preserve"> </w:t>
      </w:r>
      <w:proofErr w:type="spellStart"/>
      <w:r w:rsidR="003D6AB0" w:rsidRPr="00A22E80">
        <w:rPr>
          <w:rFonts w:ascii="Verdana" w:hAnsi="Verdana"/>
          <w:sz w:val="18"/>
          <w:szCs w:val="18"/>
        </w:rPr>
        <w:t>Wft</w:t>
      </w:r>
      <w:proofErr w:type="spellEnd"/>
      <w:r w:rsidRPr="00A22E80">
        <w:rPr>
          <w:rFonts w:ascii="Verdana" w:hAnsi="Verdana"/>
          <w:sz w:val="18"/>
          <w:szCs w:val="18"/>
        </w:rPr>
        <w:t xml:space="preserve"> is nog niet aangepast aan de door de Wet implementatie Omnibus </w:t>
      </w:r>
      <w:proofErr w:type="spellStart"/>
      <w:r w:rsidRPr="00A22E80">
        <w:rPr>
          <w:rFonts w:ascii="Verdana" w:hAnsi="Verdana"/>
          <w:sz w:val="18"/>
          <w:szCs w:val="18"/>
        </w:rPr>
        <w:t>II-richtlijn</w:t>
      </w:r>
      <w:proofErr w:type="spellEnd"/>
      <w:r w:rsidR="003D6AB0" w:rsidRPr="00A22E80">
        <w:rPr>
          <w:rFonts w:ascii="Verdana" w:hAnsi="Verdana"/>
          <w:sz w:val="18"/>
          <w:szCs w:val="18"/>
        </w:rPr>
        <w:t xml:space="preserve"> </w:t>
      </w:r>
      <w:r w:rsidRPr="00A22E80">
        <w:rPr>
          <w:rFonts w:ascii="Verdana" w:hAnsi="Verdana"/>
          <w:sz w:val="18"/>
          <w:szCs w:val="18"/>
        </w:rPr>
        <w:t>gewijzigde reikwijdte van de</w:t>
      </w:r>
      <w:r w:rsidR="003D6AB0" w:rsidRPr="00A22E80">
        <w:rPr>
          <w:rFonts w:ascii="Verdana" w:hAnsi="Verdana"/>
          <w:sz w:val="18"/>
          <w:szCs w:val="18"/>
        </w:rPr>
        <w:t xml:space="preserve">ze paragraaf, die </w:t>
      </w:r>
      <w:r w:rsidRPr="00A22E80">
        <w:rPr>
          <w:rFonts w:ascii="Verdana" w:hAnsi="Verdana"/>
          <w:sz w:val="18"/>
          <w:szCs w:val="18"/>
        </w:rPr>
        <w:t xml:space="preserve">niet alleen </w:t>
      </w:r>
      <w:r w:rsidR="003D6AB0" w:rsidRPr="00A22E80">
        <w:rPr>
          <w:rFonts w:ascii="Verdana" w:hAnsi="Verdana"/>
          <w:sz w:val="18"/>
          <w:szCs w:val="18"/>
        </w:rPr>
        <w:t xml:space="preserve">meer </w:t>
      </w:r>
      <w:r w:rsidRPr="00A22E80">
        <w:rPr>
          <w:rFonts w:ascii="Verdana" w:hAnsi="Verdana"/>
          <w:sz w:val="18"/>
          <w:szCs w:val="18"/>
        </w:rPr>
        <w:t xml:space="preserve">betrekking </w:t>
      </w:r>
      <w:r w:rsidR="003D6AB0" w:rsidRPr="00A22E80">
        <w:rPr>
          <w:rFonts w:ascii="Verdana" w:hAnsi="Verdana"/>
          <w:sz w:val="18"/>
          <w:szCs w:val="18"/>
        </w:rPr>
        <w:t xml:space="preserve">heeft </w:t>
      </w:r>
      <w:r w:rsidRPr="00A22E80">
        <w:rPr>
          <w:rFonts w:ascii="Verdana" w:hAnsi="Verdana"/>
          <w:sz w:val="18"/>
          <w:szCs w:val="18"/>
        </w:rPr>
        <w:t xml:space="preserve">op </w:t>
      </w:r>
      <w:proofErr w:type="spellStart"/>
      <w:r w:rsidRPr="00A22E80">
        <w:rPr>
          <w:rFonts w:ascii="Verdana" w:hAnsi="Verdana"/>
          <w:sz w:val="18"/>
          <w:szCs w:val="18"/>
        </w:rPr>
        <w:t>nat</w:t>
      </w:r>
      <w:r w:rsidR="003D6AB0" w:rsidRPr="00A22E80">
        <w:rPr>
          <w:rFonts w:ascii="Verdana" w:hAnsi="Verdana"/>
          <w:sz w:val="18"/>
          <w:szCs w:val="18"/>
        </w:rPr>
        <w:t>ura-uitvaartverzekeraars</w:t>
      </w:r>
      <w:proofErr w:type="spellEnd"/>
      <w:r w:rsidRPr="00A22E80">
        <w:rPr>
          <w:rFonts w:ascii="Verdana" w:hAnsi="Verdana"/>
          <w:sz w:val="18"/>
          <w:szCs w:val="18"/>
        </w:rPr>
        <w:t xml:space="preserve"> maar op </w:t>
      </w:r>
      <w:r w:rsidR="00A47F90" w:rsidRPr="00A22E80">
        <w:rPr>
          <w:rFonts w:ascii="Verdana" w:hAnsi="Verdana"/>
          <w:sz w:val="18"/>
          <w:szCs w:val="18"/>
        </w:rPr>
        <w:t xml:space="preserve">alle </w:t>
      </w:r>
      <w:r w:rsidRPr="00A22E80">
        <w:rPr>
          <w:rFonts w:ascii="Verdana" w:hAnsi="Verdana"/>
          <w:sz w:val="18"/>
          <w:szCs w:val="18"/>
        </w:rPr>
        <w:t>verzekeraars met beperkte risico-omvang</w:t>
      </w:r>
      <w:r w:rsidR="00614B1A" w:rsidRPr="00A22E80">
        <w:rPr>
          <w:rFonts w:ascii="Verdana" w:hAnsi="Verdana"/>
          <w:sz w:val="18"/>
          <w:szCs w:val="18"/>
        </w:rPr>
        <w:t>.</w:t>
      </w:r>
    </w:p>
    <w:p w:rsidR="007A1D23" w:rsidRPr="00A22E80" w:rsidRDefault="007A1D23" w:rsidP="00A22E80">
      <w:pPr>
        <w:widowControl w:val="0"/>
        <w:tabs>
          <w:tab w:val="num" w:pos="720"/>
        </w:tabs>
        <w:spacing w:line="260" w:lineRule="exact"/>
        <w:rPr>
          <w:rFonts w:ascii="Verdana" w:hAnsi="Verdana" w:cs="Arial"/>
          <w:sz w:val="18"/>
          <w:szCs w:val="18"/>
        </w:rPr>
      </w:pPr>
    </w:p>
    <w:p w:rsidR="006A721E" w:rsidRPr="00A22E80" w:rsidRDefault="00665EB4"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M</w:t>
      </w:r>
    </w:p>
    <w:p w:rsidR="006A721E" w:rsidRPr="00A22E80" w:rsidRDefault="006A721E" w:rsidP="00A22E80">
      <w:pPr>
        <w:widowControl w:val="0"/>
        <w:tabs>
          <w:tab w:val="num" w:pos="720"/>
        </w:tabs>
        <w:spacing w:line="260" w:lineRule="exact"/>
        <w:rPr>
          <w:rFonts w:ascii="Verdana" w:hAnsi="Verdana" w:cs="Arial"/>
          <w:sz w:val="18"/>
          <w:szCs w:val="18"/>
        </w:rPr>
      </w:pPr>
    </w:p>
    <w:p w:rsidR="00F466CD" w:rsidRPr="00A22E80" w:rsidRDefault="00471E79" w:rsidP="00A22E80">
      <w:pPr>
        <w:spacing w:line="260" w:lineRule="exact"/>
        <w:rPr>
          <w:rFonts w:ascii="Verdana" w:hAnsi="Verdana"/>
          <w:sz w:val="18"/>
          <w:szCs w:val="18"/>
        </w:rPr>
      </w:pPr>
      <w:r w:rsidRPr="00A22E80">
        <w:rPr>
          <w:rFonts w:ascii="Verdana" w:hAnsi="Verdana"/>
          <w:sz w:val="18"/>
          <w:szCs w:val="18"/>
        </w:rPr>
        <w:t xml:space="preserve">Zie de toelichting op </w:t>
      </w:r>
      <w:r w:rsidR="000F5C66">
        <w:rPr>
          <w:rFonts w:ascii="Verdana" w:hAnsi="Verdana"/>
          <w:sz w:val="18"/>
          <w:szCs w:val="18"/>
        </w:rPr>
        <w:t xml:space="preserve">het vijfde </w:t>
      </w:r>
      <w:r w:rsidR="00232A3D" w:rsidRPr="00A22E80">
        <w:rPr>
          <w:rFonts w:ascii="Verdana" w:hAnsi="Verdana"/>
          <w:sz w:val="18"/>
          <w:szCs w:val="18"/>
        </w:rPr>
        <w:t xml:space="preserve">subonderdeel van onderdeel A aangaande </w:t>
      </w:r>
      <w:r w:rsidRPr="00A22E80">
        <w:rPr>
          <w:rFonts w:ascii="Verdana" w:hAnsi="Verdana"/>
          <w:sz w:val="18"/>
          <w:szCs w:val="18"/>
        </w:rPr>
        <w:t xml:space="preserve">de </w:t>
      </w:r>
      <w:r w:rsidR="00E37CEA" w:rsidRPr="00A22E80">
        <w:rPr>
          <w:rFonts w:ascii="Verdana" w:hAnsi="Verdana"/>
          <w:sz w:val="18"/>
          <w:szCs w:val="18"/>
        </w:rPr>
        <w:t xml:space="preserve">aanpassing </w:t>
      </w:r>
      <w:r w:rsidRPr="00A22E80">
        <w:rPr>
          <w:rFonts w:ascii="Verdana" w:hAnsi="Verdana"/>
          <w:sz w:val="18"/>
          <w:szCs w:val="18"/>
        </w:rPr>
        <w:t>van de definitie van “verbonden agent” in artikel 1:1.</w:t>
      </w:r>
    </w:p>
    <w:p w:rsidR="00232A3D" w:rsidRPr="00A22E80" w:rsidRDefault="00232A3D" w:rsidP="00A22E80">
      <w:pPr>
        <w:widowControl w:val="0"/>
        <w:tabs>
          <w:tab w:val="num" w:pos="720"/>
        </w:tabs>
        <w:spacing w:line="260" w:lineRule="exact"/>
        <w:rPr>
          <w:rFonts w:ascii="Verdana" w:hAnsi="Verdana" w:cs="Arial"/>
          <w:sz w:val="18"/>
          <w:szCs w:val="18"/>
        </w:rPr>
      </w:pPr>
    </w:p>
    <w:p w:rsidR="002B104B" w:rsidRPr="00A22E80" w:rsidRDefault="002B104B"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N</w:t>
      </w:r>
    </w:p>
    <w:p w:rsidR="002B104B" w:rsidRPr="00A22E80" w:rsidRDefault="002B104B" w:rsidP="00A22E80">
      <w:pPr>
        <w:widowControl w:val="0"/>
        <w:tabs>
          <w:tab w:val="num" w:pos="720"/>
        </w:tabs>
        <w:spacing w:line="260" w:lineRule="exact"/>
        <w:rPr>
          <w:rFonts w:ascii="Verdana" w:hAnsi="Verdana" w:cs="Arial"/>
          <w:sz w:val="18"/>
          <w:szCs w:val="18"/>
        </w:rPr>
      </w:pPr>
    </w:p>
    <w:p w:rsidR="00872328" w:rsidRPr="00A22E80" w:rsidRDefault="00872328"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Met de voorgestelde r</w:t>
      </w:r>
      <w:r w:rsidR="00E266B9" w:rsidRPr="00A22E80">
        <w:rPr>
          <w:rFonts w:ascii="Verdana" w:hAnsi="Verdana" w:cs="Arial"/>
          <w:sz w:val="18"/>
          <w:szCs w:val="18"/>
        </w:rPr>
        <w:t xml:space="preserve">edactionele aanpassing sluit artikel 3:18a, eerste lid, onderdeel a, </w:t>
      </w:r>
      <w:r w:rsidR="00B76955" w:rsidRPr="00A22E80">
        <w:rPr>
          <w:rFonts w:ascii="Verdana" w:hAnsi="Verdana" w:cs="Arial"/>
          <w:sz w:val="18"/>
          <w:szCs w:val="18"/>
        </w:rPr>
        <w:t xml:space="preserve">van de </w:t>
      </w:r>
      <w:proofErr w:type="spellStart"/>
      <w:r w:rsidR="00B76955" w:rsidRPr="00A22E80">
        <w:rPr>
          <w:rFonts w:ascii="Verdana" w:hAnsi="Verdana" w:cs="Arial"/>
          <w:sz w:val="18"/>
          <w:szCs w:val="18"/>
        </w:rPr>
        <w:t>Wft</w:t>
      </w:r>
      <w:proofErr w:type="spellEnd"/>
      <w:r w:rsidR="00B76955" w:rsidRPr="00A22E80">
        <w:rPr>
          <w:rFonts w:ascii="Verdana" w:hAnsi="Verdana" w:cs="Arial"/>
          <w:sz w:val="18"/>
          <w:szCs w:val="18"/>
        </w:rPr>
        <w:t xml:space="preserve"> </w:t>
      </w:r>
      <w:r w:rsidRPr="00A22E80">
        <w:rPr>
          <w:rFonts w:ascii="Verdana" w:hAnsi="Verdana" w:cs="Arial"/>
          <w:sz w:val="18"/>
          <w:szCs w:val="18"/>
        </w:rPr>
        <w:t>beter aan bij artikel</w:t>
      </w:r>
      <w:r w:rsidR="00E266B9" w:rsidRPr="00A22E80">
        <w:rPr>
          <w:rFonts w:ascii="Verdana" w:hAnsi="Verdana" w:cs="Arial"/>
          <w:sz w:val="18"/>
          <w:szCs w:val="18"/>
        </w:rPr>
        <w:t xml:space="preserve"> 97, eerste lid, onderdeel a,</w:t>
      </w:r>
      <w:r w:rsidRPr="00A22E80">
        <w:rPr>
          <w:rFonts w:ascii="Verdana" w:hAnsi="Verdana" w:cs="Arial"/>
          <w:sz w:val="18"/>
          <w:szCs w:val="18"/>
        </w:rPr>
        <w:t xml:space="preserve"> van de richtlijn</w:t>
      </w:r>
      <w:r w:rsidR="00E266B9" w:rsidRPr="00A22E80">
        <w:rPr>
          <w:rFonts w:ascii="Verdana" w:hAnsi="Verdana" w:cs="Arial"/>
          <w:sz w:val="18"/>
          <w:szCs w:val="18"/>
        </w:rPr>
        <w:t xml:space="preserve"> kapitaalvereisten.</w:t>
      </w:r>
      <w:r w:rsidRPr="00A22E80">
        <w:rPr>
          <w:rFonts w:ascii="Verdana" w:hAnsi="Verdana" w:cs="Arial"/>
          <w:sz w:val="18"/>
          <w:szCs w:val="18"/>
        </w:rPr>
        <w:t xml:space="preserve">  </w:t>
      </w:r>
    </w:p>
    <w:p w:rsidR="002B104B" w:rsidRPr="00A22E80" w:rsidRDefault="002B104B" w:rsidP="00A22E80">
      <w:pPr>
        <w:widowControl w:val="0"/>
        <w:tabs>
          <w:tab w:val="num" w:pos="720"/>
        </w:tabs>
        <w:spacing w:line="260" w:lineRule="exact"/>
        <w:rPr>
          <w:rFonts w:ascii="Verdana" w:hAnsi="Verdana" w:cs="Arial"/>
          <w:sz w:val="18"/>
          <w:szCs w:val="18"/>
        </w:rPr>
      </w:pPr>
    </w:p>
    <w:p w:rsidR="005A7E7F" w:rsidRPr="00A22E80" w:rsidRDefault="00665EB4"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O</w:t>
      </w:r>
    </w:p>
    <w:p w:rsidR="007E5A1B" w:rsidRPr="00A22E80" w:rsidRDefault="007E5A1B" w:rsidP="00A22E80">
      <w:pPr>
        <w:widowControl w:val="0"/>
        <w:tabs>
          <w:tab w:val="num" w:pos="720"/>
        </w:tabs>
        <w:spacing w:line="260" w:lineRule="exact"/>
        <w:rPr>
          <w:rFonts w:ascii="Verdana" w:hAnsi="Verdana" w:cs="Arial"/>
          <w:sz w:val="18"/>
          <w:szCs w:val="18"/>
        </w:rPr>
      </w:pPr>
    </w:p>
    <w:p w:rsidR="00E37CEA" w:rsidRPr="00A22E80" w:rsidRDefault="00E37CEA" w:rsidP="00A22E80">
      <w:pPr>
        <w:widowControl w:val="0"/>
        <w:tabs>
          <w:tab w:val="num" w:pos="720"/>
        </w:tabs>
        <w:spacing w:line="260" w:lineRule="exact"/>
        <w:rPr>
          <w:rFonts w:ascii="Verdana" w:hAnsi="Verdana"/>
          <w:sz w:val="18"/>
          <w:szCs w:val="18"/>
        </w:rPr>
      </w:pPr>
      <w:r w:rsidRPr="00A22E80">
        <w:rPr>
          <w:rFonts w:ascii="Verdana" w:hAnsi="Verdana"/>
          <w:sz w:val="18"/>
          <w:szCs w:val="18"/>
        </w:rPr>
        <w:t xml:space="preserve">De voorgestelde wijziging van artikel 3:57 </w:t>
      </w:r>
      <w:proofErr w:type="spellStart"/>
      <w:r w:rsidR="007E6EB5">
        <w:rPr>
          <w:rFonts w:ascii="Verdana" w:hAnsi="Verdana"/>
          <w:sz w:val="18"/>
          <w:szCs w:val="18"/>
        </w:rPr>
        <w:t>Wft</w:t>
      </w:r>
      <w:proofErr w:type="spellEnd"/>
      <w:r w:rsidR="007E6EB5">
        <w:rPr>
          <w:rFonts w:ascii="Verdana" w:hAnsi="Verdana"/>
          <w:sz w:val="18"/>
          <w:szCs w:val="18"/>
        </w:rPr>
        <w:t xml:space="preserve"> </w:t>
      </w:r>
      <w:r w:rsidRPr="00A22E80">
        <w:rPr>
          <w:rFonts w:ascii="Verdana" w:hAnsi="Verdana"/>
          <w:sz w:val="18"/>
          <w:szCs w:val="18"/>
        </w:rPr>
        <w:t xml:space="preserve">was eerder opgenomen in artikel I, onderdeel NN, derde subonderdeel, van de Implementatiewet richtlijn en verordening kapitaalvereisten, maar </w:t>
      </w:r>
      <w:r w:rsidR="001E1E57" w:rsidRPr="00A22E80">
        <w:rPr>
          <w:rFonts w:ascii="Verdana" w:hAnsi="Verdana"/>
          <w:sz w:val="18"/>
          <w:szCs w:val="18"/>
        </w:rPr>
        <w:t xml:space="preserve">die wijziging </w:t>
      </w:r>
      <w:r w:rsidRPr="00A22E80">
        <w:rPr>
          <w:rFonts w:ascii="Verdana" w:hAnsi="Verdana"/>
          <w:sz w:val="18"/>
          <w:szCs w:val="18"/>
        </w:rPr>
        <w:t>kon door samenloop met een ander wijzigingswet geen doorgang vinden.</w:t>
      </w:r>
    </w:p>
    <w:p w:rsidR="00E37CEA" w:rsidRPr="00A22E80" w:rsidRDefault="00E37CEA" w:rsidP="00A22E80">
      <w:pPr>
        <w:widowControl w:val="0"/>
        <w:tabs>
          <w:tab w:val="num" w:pos="720"/>
        </w:tabs>
        <w:spacing w:line="260" w:lineRule="exact"/>
        <w:rPr>
          <w:rFonts w:ascii="Verdana" w:hAnsi="Verdana" w:cs="Arial"/>
          <w:sz w:val="18"/>
          <w:szCs w:val="18"/>
        </w:rPr>
      </w:pPr>
    </w:p>
    <w:p w:rsidR="007E0A6A" w:rsidRPr="00A22E80" w:rsidRDefault="00190B95"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P</w:t>
      </w:r>
      <w:r w:rsidR="007E5A1B" w:rsidRPr="00A22E80">
        <w:rPr>
          <w:rFonts w:ascii="Verdana" w:hAnsi="Verdana" w:cs="Arial"/>
          <w:sz w:val="18"/>
          <w:szCs w:val="18"/>
        </w:rPr>
        <w:t xml:space="preserve"> en </w:t>
      </w:r>
      <w:r w:rsidRPr="00A22E80">
        <w:rPr>
          <w:rFonts w:ascii="Verdana" w:hAnsi="Verdana" w:cs="Arial"/>
          <w:sz w:val="18"/>
          <w:szCs w:val="18"/>
        </w:rPr>
        <w:t>Q</w:t>
      </w:r>
    </w:p>
    <w:p w:rsidR="007E0A6A" w:rsidRPr="00A22E80" w:rsidRDefault="007E0A6A" w:rsidP="00A22E80">
      <w:pPr>
        <w:widowControl w:val="0"/>
        <w:tabs>
          <w:tab w:val="num" w:pos="720"/>
        </w:tabs>
        <w:spacing w:line="260" w:lineRule="exact"/>
        <w:rPr>
          <w:rFonts w:ascii="Verdana" w:hAnsi="Verdana" w:cs="Arial"/>
          <w:sz w:val="18"/>
          <w:szCs w:val="18"/>
        </w:rPr>
      </w:pPr>
    </w:p>
    <w:p w:rsidR="007E0A6A" w:rsidRPr="00A22E80" w:rsidRDefault="007E668C"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De voorgestelde wijziging</w:t>
      </w:r>
      <w:r w:rsidR="00410759" w:rsidRPr="00A22E80">
        <w:rPr>
          <w:rFonts w:ascii="Verdana" w:hAnsi="Verdana" w:cs="Arial"/>
          <w:sz w:val="18"/>
          <w:szCs w:val="18"/>
        </w:rPr>
        <w:t>en van de artikel</w:t>
      </w:r>
      <w:r w:rsidR="001B3F6F" w:rsidRPr="00A22E80">
        <w:rPr>
          <w:rFonts w:ascii="Verdana" w:hAnsi="Verdana" w:cs="Arial"/>
          <w:sz w:val="18"/>
          <w:szCs w:val="18"/>
        </w:rPr>
        <w:t>en</w:t>
      </w:r>
      <w:r w:rsidR="00410759" w:rsidRPr="00A22E80">
        <w:rPr>
          <w:rFonts w:ascii="Verdana" w:hAnsi="Verdana" w:cs="Arial"/>
          <w:sz w:val="18"/>
          <w:szCs w:val="18"/>
        </w:rPr>
        <w:t xml:space="preserve"> 3:75 en 3:77</w:t>
      </w:r>
      <w:r w:rsidR="006C60E0">
        <w:rPr>
          <w:rFonts w:ascii="Verdana" w:hAnsi="Verdana" w:cs="Arial"/>
          <w:sz w:val="18"/>
          <w:szCs w:val="18"/>
        </w:rPr>
        <w:t xml:space="preserve"> </w:t>
      </w:r>
      <w:proofErr w:type="spellStart"/>
      <w:r w:rsidR="006C60E0">
        <w:rPr>
          <w:rFonts w:ascii="Verdana" w:hAnsi="Verdana" w:cs="Arial"/>
          <w:sz w:val="18"/>
          <w:szCs w:val="18"/>
        </w:rPr>
        <w:t>Wft</w:t>
      </w:r>
      <w:proofErr w:type="spellEnd"/>
      <w:r w:rsidR="00410759" w:rsidRPr="00A22E80">
        <w:rPr>
          <w:rFonts w:ascii="Verdana" w:hAnsi="Verdana" w:cs="Arial"/>
          <w:sz w:val="18"/>
          <w:szCs w:val="18"/>
        </w:rPr>
        <w:t xml:space="preserve"> houden</w:t>
      </w:r>
      <w:r w:rsidRPr="00A22E80">
        <w:rPr>
          <w:rFonts w:ascii="Verdana" w:hAnsi="Verdana" w:cs="Arial"/>
          <w:sz w:val="18"/>
          <w:szCs w:val="18"/>
        </w:rPr>
        <w:t xml:space="preserve"> verband met de reeds vervallen bevoegdheid tot toezicht op </w:t>
      </w:r>
      <w:r w:rsidR="00B80406" w:rsidRPr="00A22E80">
        <w:rPr>
          <w:rFonts w:ascii="Verdana" w:hAnsi="Verdana" w:cs="Arial"/>
          <w:sz w:val="18"/>
          <w:szCs w:val="18"/>
        </w:rPr>
        <w:t xml:space="preserve">bijkantoren van banken met zetel in een andere lidstaat. Zie de toelichting bij </w:t>
      </w:r>
      <w:r w:rsidR="00750975" w:rsidRPr="00A22E80">
        <w:rPr>
          <w:rFonts w:ascii="Verdana" w:hAnsi="Verdana" w:cs="Arial"/>
          <w:sz w:val="18"/>
          <w:szCs w:val="18"/>
        </w:rPr>
        <w:t xml:space="preserve">onderdeel C aangaande </w:t>
      </w:r>
      <w:r w:rsidR="00B80406" w:rsidRPr="00A22E80">
        <w:rPr>
          <w:rFonts w:ascii="Verdana" w:hAnsi="Verdana" w:cs="Arial"/>
          <w:sz w:val="18"/>
          <w:szCs w:val="18"/>
        </w:rPr>
        <w:t>de voorgestelde wijziging van artikel 1:51c, eerste lid.</w:t>
      </w:r>
      <w:r w:rsidR="00410759" w:rsidRPr="00A22E80">
        <w:rPr>
          <w:rFonts w:ascii="Verdana" w:hAnsi="Verdana" w:cs="Arial"/>
          <w:sz w:val="18"/>
          <w:szCs w:val="18"/>
        </w:rPr>
        <w:t xml:space="preserve"> Op grond van artikel 40 van de richtlijn kapitaalvere</w:t>
      </w:r>
      <w:r w:rsidR="00194D91" w:rsidRPr="00A22E80">
        <w:rPr>
          <w:rFonts w:ascii="Verdana" w:hAnsi="Verdana" w:cs="Arial"/>
          <w:sz w:val="18"/>
          <w:szCs w:val="18"/>
        </w:rPr>
        <w:t xml:space="preserve">isten behoudt de toezichthouder </w:t>
      </w:r>
      <w:r w:rsidR="00410759" w:rsidRPr="00A22E80">
        <w:rPr>
          <w:rFonts w:ascii="Verdana" w:hAnsi="Verdana" w:cs="Arial"/>
          <w:sz w:val="18"/>
          <w:szCs w:val="18"/>
        </w:rPr>
        <w:t>van de lidstaat van ontvangst (</w:t>
      </w:r>
      <w:r w:rsidR="00410759" w:rsidRPr="00A22E80">
        <w:rPr>
          <w:rFonts w:ascii="Verdana" w:hAnsi="Verdana" w:cs="Arial"/>
          <w:i/>
          <w:sz w:val="18"/>
          <w:szCs w:val="18"/>
        </w:rPr>
        <w:t>host country)</w:t>
      </w:r>
      <w:r w:rsidR="00410759" w:rsidRPr="00A22E80">
        <w:rPr>
          <w:rFonts w:ascii="Verdana" w:hAnsi="Verdana" w:cs="Arial"/>
          <w:sz w:val="18"/>
          <w:szCs w:val="18"/>
        </w:rPr>
        <w:t xml:space="preserve">, in dit geval DNB, </w:t>
      </w:r>
      <w:r w:rsidR="00511B7D" w:rsidRPr="00A22E80">
        <w:rPr>
          <w:rFonts w:ascii="Verdana" w:hAnsi="Verdana" w:cs="Arial"/>
          <w:sz w:val="18"/>
          <w:szCs w:val="18"/>
        </w:rPr>
        <w:t xml:space="preserve">evenwel </w:t>
      </w:r>
      <w:r w:rsidR="00410759" w:rsidRPr="00A22E80">
        <w:rPr>
          <w:rFonts w:ascii="Verdana" w:hAnsi="Verdana" w:cs="Arial"/>
          <w:sz w:val="18"/>
          <w:szCs w:val="18"/>
        </w:rPr>
        <w:t>de bevoegdheid om informatie in de vorm van rapportages te verlangen</w:t>
      </w:r>
      <w:r w:rsidR="0091108E" w:rsidRPr="00A22E80">
        <w:rPr>
          <w:rFonts w:ascii="Verdana" w:hAnsi="Verdana" w:cs="Arial"/>
          <w:sz w:val="18"/>
          <w:szCs w:val="18"/>
        </w:rPr>
        <w:t>, het</w:t>
      </w:r>
      <w:r w:rsidR="00410759" w:rsidRPr="00A22E80">
        <w:rPr>
          <w:rFonts w:ascii="Verdana" w:hAnsi="Verdana" w:cs="Arial"/>
          <w:sz w:val="18"/>
          <w:szCs w:val="18"/>
        </w:rPr>
        <w:t xml:space="preserve">geen </w:t>
      </w:r>
      <w:r w:rsidR="004145E1" w:rsidRPr="00A22E80">
        <w:rPr>
          <w:rFonts w:ascii="Verdana" w:hAnsi="Verdana" w:cs="Arial"/>
          <w:sz w:val="18"/>
          <w:szCs w:val="18"/>
        </w:rPr>
        <w:t xml:space="preserve">is geregeld </w:t>
      </w:r>
      <w:r w:rsidR="00410759" w:rsidRPr="00A22E80">
        <w:rPr>
          <w:rFonts w:ascii="Verdana" w:hAnsi="Verdana" w:cs="Arial"/>
          <w:sz w:val="18"/>
          <w:szCs w:val="18"/>
        </w:rPr>
        <w:t>in artikel 3:77.</w:t>
      </w:r>
      <w:r w:rsidR="004145E1" w:rsidRPr="00A22E80">
        <w:rPr>
          <w:rFonts w:ascii="Verdana" w:hAnsi="Verdana" w:cs="Arial"/>
          <w:sz w:val="18"/>
          <w:szCs w:val="18"/>
        </w:rPr>
        <w:t xml:space="preserve"> Om die reden wordt alleen de verwijzing naar de toezichtstaak in dat artikel geschrapt. </w:t>
      </w:r>
      <w:r w:rsidR="00410759" w:rsidRPr="00A22E80">
        <w:rPr>
          <w:rFonts w:ascii="Verdana" w:hAnsi="Verdana" w:cs="Arial"/>
          <w:sz w:val="18"/>
          <w:szCs w:val="18"/>
        </w:rPr>
        <w:t xml:space="preserve">De verplichting </w:t>
      </w:r>
      <w:r w:rsidR="00194D91" w:rsidRPr="00A22E80">
        <w:rPr>
          <w:rFonts w:ascii="Verdana" w:hAnsi="Verdana" w:cs="Arial"/>
          <w:sz w:val="18"/>
          <w:szCs w:val="18"/>
        </w:rPr>
        <w:t xml:space="preserve">in artikel 3:75 </w:t>
      </w:r>
      <w:proofErr w:type="spellStart"/>
      <w:r w:rsidR="00194D91" w:rsidRPr="00A22E80">
        <w:rPr>
          <w:rFonts w:ascii="Verdana" w:hAnsi="Verdana" w:cs="Arial"/>
          <w:sz w:val="18"/>
          <w:szCs w:val="18"/>
        </w:rPr>
        <w:t>Wft</w:t>
      </w:r>
      <w:proofErr w:type="spellEnd"/>
      <w:r w:rsidR="00194D91" w:rsidRPr="00A22E80">
        <w:rPr>
          <w:rFonts w:ascii="Verdana" w:hAnsi="Verdana" w:cs="Arial"/>
          <w:sz w:val="18"/>
          <w:szCs w:val="18"/>
        </w:rPr>
        <w:t xml:space="preserve"> </w:t>
      </w:r>
      <w:r w:rsidR="00410759" w:rsidRPr="00A22E80">
        <w:rPr>
          <w:rFonts w:ascii="Verdana" w:hAnsi="Verdana" w:cs="Arial"/>
          <w:sz w:val="18"/>
          <w:szCs w:val="18"/>
        </w:rPr>
        <w:t xml:space="preserve">tot </w:t>
      </w:r>
      <w:r w:rsidR="00194D91" w:rsidRPr="00A22E80">
        <w:rPr>
          <w:rFonts w:ascii="Verdana" w:hAnsi="Verdana" w:cs="Arial"/>
          <w:sz w:val="18"/>
          <w:szCs w:val="18"/>
        </w:rPr>
        <w:t xml:space="preserve">het voeren van </w:t>
      </w:r>
      <w:r w:rsidR="00410759" w:rsidRPr="00A22E80">
        <w:rPr>
          <w:rFonts w:ascii="Verdana" w:hAnsi="Verdana" w:cs="Arial"/>
          <w:sz w:val="18"/>
          <w:szCs w:val="18"/>
        </w:rPr>
        <w:t>een afzonderlijke boekhouding voor het bijkantoor</w:t>
      </w:r>
      <w:r w:rsidR="00194D91" w:rsidRPr="00A22E80">
        <w:rPr>
          <w:rFonts w:ascii="Verdana" w:hAnsi="Verdana" w:cs="Arial"/>
          <w:sz w:val="18"/>
          <w:szCs w:val="18"/>
        </w:rPr>
        <w:t>,</w:t>
      </w:r>
      <w:r w:rsidR="00410759" w:rsidRPr="00A22E80">
        <w:rPr>
          <w:rFonts w:ascii="Verdana" w:hAnsi="Verdana" w:cs="Arial"/>
          <w:sz w:val="18"/>
          <w:szCs w:val="18"/>
        </w:rPr>
        <w:t xml:space="preserve"> blijft in dat verband eveneens in </w:t>
      </w:r>
      <w:r w:rsidR="00194D91" w:rsidRPr="00A22E80">
        <w:rPr>
          <w:rFonts w:ascii="Verdana" w:hAnsi="Verdana" w:cs="Arial"/>
          <w:sz w:val="18"/>
          <w:szCs w:val="18"/>
        </w:rPr>
        <w:t>aangepaste</w:t>
      </w:r>
      <w:r w:rsidR="00410759" w:rsidRPr="00A22E80">
        <w:rPr>
          <w:rFonts w:ascii="Verdana" w:hAnsi="Verdana" w:cs="Arial"/>
          <w:sz w:val="18"/>
          <w:szCs w:val="18"/>
        </w:rPr>
        <w:t xml:space="preserve"> vorm behouden. </w:t>
      </w:r>
    </w:p>
    <w:p w:rsidR="007E668C" w:rsidRPr="00A22E80" w:rsidRDefault="007E668C" w:rsidP="00A22E80">
      <w:pPr>
        <w:widowControl w:val="0"/>
        <w:tabs>
          <w:tab w:val="num" w:pos="720"/>
        </w:tabs>
        <w:spacing w:line="260" w:lineRule="exact"/>
        <w:rPr>
          <w:rFonts w:ascii="Verdana" w:hAnsi="Verdana" w:cs="Arial"/>
          <w:sz w:val="18"/>
          <w:szCs w:val="18"/>
        </w:rPr>
      </w:pPr>
    </w:p>
    <w:p w:rsidR="003F03B5" w:rsidRPr="00A22E80" w:rsidRDefault="00961CC2"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R</w:t>
      </w:r>
    </w:p>
    <w:p w:rsidR="003F03B5" w:rsidRPr="00A22E80" w:rsidRDefault="003F03B5" w:rsidP="00A22E80">
      <w:pPr>
        <w:widowControl w:val="0"/>
        <w:tabs>
          <w:tab w:val="num" w:pos="720"/>
        </w:tabs>
        <w:spacing w:line="260" w:lineRule="exact"/>
        <w:rPr>
          <w:rFonts w:ascii="Verdana" w:hAnsi="Verdana" w:cs="Arial"/>
          <w:sz w:val="18"/>
          <w:szCs w:val="18"/>
        </w:rPr>
      </w:pPr>
    </w:p>
    <w:p w:rsidR="003F03B5" w:rsidRPr="00A22E80" w:rsidRDefault="00C9396E" w:rsidP="00A22E80">
      <w:pPr>
        <w:spacing w:line="260" w:lineRule="exact"/>
        <w:rPr>
          <w:rFonts w:ascii="Verdana" w:hAnsi="Verdana"/>
          <w:sz w:val="18"/>
          <w:szCs w:val="18"/>
        </w:rPr>
      </w:pPr>
      <w:r w:rsidRPr="00A22E80">
        <w:rPr>
          <w:rFonts w:ascii="Verdana" w:hAnsi="Verdana"/>
          <w:sz w:val="18"/>
          <w:szCs w:val="18"/>
        </w:rPr>
        <w:t xml:space="preserve">Artikel 3:95 </w:t>
      </w:r>
      <w:proofErr w:type="spellStart"/>
      <w:r w:rsidRPr="00A22E80">
        <w:rPr>
          <w:rFonts w:ascii="Verdana" w:hAnsi="Verdana"/>
          <w:sz w:val="18"/>
          <w:szCs w:val="18"/>
        </w:rPr>
        <w:t>Wft</w:t>
      </w:r>
      <w:proofErr w:type="spellEnd"/>
      <w:r w:rsidRPr="00A22E80">
        <w:rPr>
          <w:rFonts w:ascii="Verdana" w:hAnsi="Verdana"/>
          <w:sz w:val="18"/>
          <w:szCs w:val="18"/>
        </w:rPr>
        <w:t xml:space="preserve"> </w:t>
      </w:r>
      <w:r w:rsidR="00A47F90" w:rsidRPr="00A22E80">
        <w:rPr>
          <w:rFonts w:ascii="Verdana" w:hAnsi="Verdana"/>
          <w:sz w:val="18"/>
          <w:szCs w:val="18"/>
        </w:rPr>
        <w:t>heeft</w:t>
      </w:r>
      <w:r w:rsidR="003F03B5" w:rsidRPr="00A22E80">
        <w:rPr>
          <w:rFonts w:ascii="Verdana" w:hAnsi="Verdana"/>
          <w:sz w:val="18"/>
          <w:szCs w:val="18"/>
        </w:rPr>
        <w:t xml:space="preserve"> betrekking op de aanvraag van een verklaring van geen bezwaar voor het verwerven of vergroten van een gekwalificeerde deelneming in een bank. Bij de </w:t>
      </w:r>
      <w:r w:rsidRPr="00A22E80">
        <w:rPr>
          <w:rFonts w:ascii="Verdana" w:hAnsi="Verdana"/>
          <w:sz w:val="18"/>
          <w:szCs w:val="18"/>
        </w:rPr>
        <w:t xml:space="preserve">implementatie </w:t>
      </w:r>
      <w:r w:rsidR="003F03B5" w:rsidRPr="00A22E80">
        <w:rPr>
          <w:rFonts w:ascii="Verdana" w:hAnsi="Verdana"/>
          <w:sz w:val="18"/>
          <w:szCs w:val="18"/>
        </w:rPr>
        <w:t>van de verordening bankentoezicht</w:t>
      </w:r>
      <w:r w:rsidR="003F03B5" w:rsidRPr="00A22E80">
        <w:rPr>
          <w:rStyle w:val="Voetnootmarkering"/>
          <w:rFonts w:ascii="Verdana" w:hAnsi="Verdana"/>
          <w:sz w:val="18"/>
          <w:szCs w:val="18"/>
        </w:rPr>
        <w:footnoteReference w:id="2"/>
      </w:r>
      <w:r w:rsidR="003F03B5" w:rsidRPr="00A22E80">
        <w:rPr>
          <w:rFonts w:ascii="Verdana" w:hAnsi="Verdana"/>
          <w:sz w:val="18"/>
          <w:szCs w:val="18"/>
        </w:rPr>
        <w:t xml:space="preserve"> en de richtlijn herstel en afwikkeling van banken en beleggingsondernemingen is ervan uitgegaan dat de bevoegdheid tot het beslissen </w:t>
      </w:r>
      <w:r w:rsidR="006677C7" w:rsidRPr="00A22E80">
        <w:rPr>
          <w:rFonts w:ascii="Verdana" w:hAnsi="Verdana"/>
          <w:sz w:val="18"/>
          <w:szCs w:val="18"/>
        </w:rPr>
        <w:t xml:space="preserve">op </w:t>
      </w:r>
      <w:r w:rsidR="003F03B5" w:rsidRPr="00A22E80">
        <w:rPr>
          <w:rFonts w:ascii="Verdana" w:hAnsi="Verdana"/>
          <w:sz w:val="18"/>
          <w:szCs w:val="18"/>
        </w:rPr>
        <w:t xml:space="preserve">een dergelijke aanvraag ingevolge de verordening bankentoezicht in alle gevallen aan de Europese Centrale Bank (ECB) toekwam. </w:t>
      </w:r>
    </w:p>
    <w:p w:rsidR="00B76955" w:rsidRPr="00A22E80" w:rsidRDefault="00B76955" w:rsidP="00A22E80">
      <w:pPr>
        <w:spacing w:line="260" w:lineRule="exact"/>
        <w:rPr>
          <w:rFonts w:ascii="Verdana" w:hAnsi="Verdana"/>
          <w:sz w:val="18"/>
          <w:szCs w:val="18"/>
        </w:rPr>
      </w:pPr>
    </w:p>
    <w:p w:rsidR="003F03B5" w:rsidRPr="00A22E80" w:rsidRDefault="003F03B5" w:rsidP="00A22E80">
      <w:pPr>
        <w:spacing w:line="260" w:lineRule="exact"/>
        <w:rPr>
          <w:rFonts w:ascii="Verdana" w:hAnsi="Verdana"/>
          <w:sz w:val="18"/>
          <w:szCs w:val="18"/>
        </w:rPr>
      </w:pPr>
      <w:r w:rsidRPr="00A22E80">
        <w:rPr>
          <w:rFonts w:ascii="Verdana" w:hAnsi="Verdana"/>
          <w:sz w:val="18"/>
          <w:szCs w:val="18"/>
        </w:rPr>
        <w:t xml:space="preserve">Uit artikel 4, onderdeel c, van de verordening bankentoezicht volgt echter dat de ECB niet bevoegd is indien de aanvraag betrekking heeft op een bank in afwikkeling. Afwikkeling dient daarbij </w:t>
      </w:r>
      <w:r w:rsidR="00B76955" w:rsidRPr="00A22E80">
        <w:rPr>
          <w:rFonts w:ascii="Verdana" w:hAnsi="Verdana"/>
          <w:sz w:val="18"/>
          <w:szCs w:val="18"/>
        </w:rPr>
        <w:t xml:space="preserve">in </w:t>
      </w:r>
      <w:r w:rsidRPr="00A22E80">
        <w:rPr>
          <w:rFonts w:ascii="Verdana" w:hAnsi="Verdana"/>
          <w:sz w:val="18"/>
          <w:szCs w:val="18"/>
        </w:rPr>
        <w:t>ruim</w:t>
      </w:r>
      <w:r w:rsidR="00B76955" w:rsidRPr="00A22E80">
        <w:rPr>
          <w:rFonts w:ascii="Verdana" w:hAnsi="Verdana"/>
          <w:sz w:val="18"/>
          <w:szCs w:val="18"/>
        </w:rPr>
        <w:t>e betekenis</w:t>
      </w:r>
      <w:r w:rsidRPr="00A22E80">
        <w:rPr>
          <w:rFonts w:ascii="Verdana" w:hAnsi="Verdana"/>
          <w:sz w:val="18"/>
          <w:szCs w:val="18"/>
        </w:rPr>
        <w:t xml:space="preserve"> te worden opgevat, </w:t>
      </w:r>
      <w:r w:rsidRPr="00A22E80">
        <w:rPr>
          <w:rFonts w:ascii="Verdana" w:hAnsi="Verdana"/>
          <w:sz w:val="18"/>
          <w:szCs w:val="18"/>
        </w:rPr>
        <w:lastRenderedPageBreak/>
        <w:t xml:space="preserve">het betreft elke situatie waarin </w:t>
      </w:r>
      <w:r w:rsidR="00C9396E" w:rsidRPr="00A22E80">
        <w:rPr>
          <w:rFonts w:ascii="Verdana" w:hAnsi="Verdana"/>
          <w:sz w:val="18"/>
          <w:szCs w:val="18"/>
        </w:rPr>
        <w:t xml:space="preserve">de onderneming </w:t>
      </w:r>
      <w:r w:rsidRPr="00A22E80">
        <w:rPr>
          <w:rFonts w:ascii="Verdana" w:hAnsi="Verdana"/>
          <w:sz w:val="18"/>
          <w:szCs w:val="18"/>
        </w:rPr>
        <w:t xml:space="preserve">niet langer </w:t>
      </w:r>
      <w:r w:rsidR="00C9396E" w:rsidRPr="00A22E80">
        <w:rPr>
          <w:rFonts w:ascii="Verdana" w:hAnsi="Verdana"/>
          <w:sz w:val="18"/>
          <w:szCs w:val="18"/>
        </w:rPr>
        <w:t xml:space="preserve">levensvatbaar is en niet </w:t>
      </w:r>
      <w:r w:rsidR="00973B73" w:rsidRPr="00A22E80">
        <w:rPr>
          <w:rFonts w:ascii="Verdana" w:hAnsi="Verdana"/>
          <w:sz w:val="18"/>
          <w:szCs w:val="18"/>
        </w:rPr>
        <w:t xml:space="preserve">meer </w:t>
      </w:r>
      <w:r w:rsidR="00C9396E" w:rsidRPr="00A22E80">
        <w:rPr>
          <w:rFonts w:ascii="Verdana" w:hAnsi="Verdana"/>
          <w:sz w:val="18"/>
          <w:szCs w:val="18"/>
        </w:rPr>
        <w:t>op normale voet wordt voortgezet (</w:t>
      </w:r>
      <w:proofErr w:type="spellStart"/>
      <w:r w:rsidR="00C9396E" w:rsidRPr="00A22E80">
        <w:rPr>
          <w:rFonts w:ascii="Verdana" w:hAnsi="Verdana"/>
          <w:i/>
          <w:sz w:val="18"/>
          <w:szCs w:val="18"/>
        </w:rPr>
        <w:t>gone</w:t>
      </w:r>
      <w:proofErr w:type="spellEnd"/>
      <w:r w:rsidR="00C9396E" w:rsidRPr="00A22E80">
        <w:rPr>
          <w:rFonts w:ascii="Verdana" w:hAnsi="Verdana"/>
          <w:i/>
          <w:sz w:val="18"/>
          <w:szCs w:val="18"/>
        </w:rPr>
        <w:t xml:space="preserve"> </w:t>
      </w:r>
      <w:r w:rsidRPr="00A22E80">
        <w:rPr>
          <w:rFonts w:ascii="Verdana" w:hAnsi="Verdana"/>
          <w:i/>
          <w:sz w:val="18"/>
          <w:szCs w:val="18"/>
        </w:rPr>
        <w:t>concern</w:t>
      </w:r>
      <w:r w:rsidR="00C9396E" w:rsidRPr="00A22E80">
        <w:rPr>
          <w:rFonts w:ascii="Verdana" w:hAnsi="Verdana"/>
          <w:sz w:val="18"/>
          <w:szCs w:val="18"/>
        </w:rPr>
        <w:t>), maar op enigerlei wijze wordt afgewikkeld</w:t>
      </w:r>
      <w:r w:rsidRPr="00A22E80">
        <w:rPr>
          <w:rFonts w:ascii="Verdana" w:hAnsi="Verdana"/>
          <w:sz w:val="18"/>
          <w:szCs w:val="18"/>
        </w:rPr>
        <w:t xml:space="preserve">. Voor Nederland is hiervan sprake wanneer de bank in staat van faillissement is verklaard </w:t>
      </w:r>
      <w:r w:rsidR="00C9396E" w:rsidRPr="00A22E80">
        <w:rPr>
          <w:rFonts w:ascii="Verdana" w:hAnsi="Verdana"/>
          <w:sz w:val="18"/>
          <w:szCs w:val="18"/>
        </w:rPr>
        <w:t>of</w:t>
      </w:r>
      <w:r w:rsidR="00973B73" w:rsidRPr="00A22E80">
        <w:rPr>
          <w:rFonts w:ascii="Verdana" w:hAnsi="Verdana"/>
          <w:sz w:val="18"/>
          <w:szCs w:val="18"/>
        </w:rPr>
        <w:t>wel</w:t>
      </w:r>
      <w:r w:rsidR="00C9396E" w:rsidRPr="00A22E80">
        <w:rPr>
          <w:rFonts w:ascii="Verdana" w:hAnsi="Verdana"/>
          <w:sz w:val="18"/>
          <w:szCs w:val="18"/>
        </w:rPr>
        <w:t xml:space="preserve"> </w:t>
      </w:r>
      <w:r w:rsidRPr="00A22E80">
        <w:rPr>
          <w:rFonts w:ascii="Verdana" w:hAnsi="Verdana"/>
          <w:sz w:val="18"/>
          <w:szCs w:val="18"/>
        </w:rPr>
        <w:t xml:space="preserve">met toepassing van </w:t>
      </w:r>
      <w:r w:rsidR="00C9396E" w:rsidRPr="00A22E80">
        <w:rPr>
          <w:rFonts w:ascii="Verdana" w:hAnsi="Verdana"/>
          <w:sz w:val="18"/>
          <w:szCs w:val="18"/>
        </w:rPr>
        <w:t xml:space="preserve">het afwikkelingsinstrumentarium in </w:t>
      </w:r>
      <w:r w:rsidRPr="00A22E80">
        <w:rPr>
          <w:rFonts w:ascii="Verdana" w:hAnsi="Verdana"/>
          <w:sz w:val="18"/>
          <w:szCs w:val="18"/>
        </w:rPr>
        <w:t>deel 3A wordt afgewikkeld. In die gevallen is niet de ECB maar DNB bevoegd om te besluiten over de aanvraag van een verklaring van geen bezwaar.</w:t>
      </w:r>
    </w:p>
    <w:p w:rsidR="003F03B5" w:rsidRPr="00A22E80" w:rsidRDefault="003F03B5" w:rsidP="00A22E80">
      <w:pPr>
        <w:widowControl w:val="0"/>
        <w:tabs>
          <w:tab w:val="num" w:pos="720"/>
        </w:tabs>
        <w:spacing w:line="260" w:lineRule="exact"/>
        <w:rPr>
          <w:rFonts w:ascii="Verdana" w:hAnsi="Verdana" w:cs="Arial"/>
          <w:sz w:val="18"/>
          <w:szCs w:val="18"/>
        </w:rPr>
      </w:pPr>
    </w:p>
    <w:p w:rsidR="006D1EEB" w:rsidRPr="00A22E80" w:rsidRDefault="00815019"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S</w:t>
      </w:r>
    </w:p>
    <w:p w:rsidR="006D1EEB" w:rsidRPr="00A22E80" w:rsidRDefault="006D1EEB" w:rsidP="00A22E80">
      <w:pPr>
        <w:widowControl w:val="0"/>
        <w:tabs>
          <w:tab w:val="num" w:pos="720"/>
        </w:tabs>
        <w:spacing w:line="260" w:lineRule="exact"/>
        <w:rPr>
          <w:rFonts w:ascii="Verdana" w:hAnsi="Verdana" w:cs="Arial"/>
          <w:sz w:val="18"/>
          <w:szCs w:val="18"/>
        </w:rPr>
      </w:pPr>
    </w:p>
    <w:p w:rsidR="006D1EEB" w:rsidRPr="00A22E80" w:rsidRDefault="004B7D6A"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De wijziging in het eerste subonderdeel bevat een terminologische correctie. Met </w:t>
      </w:r>
      <w:r w:rsidR="0070779F" w:rsidRPr="00A22E80">
        <w:rPr>
          <w:rFonts w:ascii="Verdana" w:hAnsi="Verdana" w:cs="Arial"/>
          <w:sz w:val="18"/>
          <w:szCs w:val="18"/>
        </w:rPr>
        <w:t xml:space="preserve">het </w:t>
      </w:r>
      <w:r w:rsidRPr="00A22E80">
        <w:rPr>
          <w:rFonts w:ascii="Verdana" w:hAnsi="Verdana" w:cs="Arial"/>
          <w:sz w:val="18"/>
          <w:szCs w:val="18"/>
        </w:rPr>
        <w:t xml:space="preserve">in het tweede subonderdeel voorgestelde nieuwe negende lid van artikel 3:110 </w:t>
      </w:r>
      <w:proofErr w:type="spellStart"/>
      <w:r w:rsidRPr="00A22E80">
        <w:rPr>
          <w:rFonts w:ascii="Verdana" w:hAnsi="Verdana" w:cs="Arial"/>
          <w:sz w:val="18"/>
          <w:szCs w:val="18"/>
        </w:rPr>
        <w:t>Wft</w:t>
      </w:r>
      <w:proofErr w:type="spellEnd"/>
      <w:r w:rsidRPr="00A22E80">
        <w:rPr>
          <w:rFonts w:ascii="Verdana" w:hAnsi="Verdana" w:cs="Arial"/>
          <w:sz w:val="18"/>
          <w:szCs w:val="18"/>
        </w:rPr>
        <w:t xml:space="preserve">, </w:t>
      </w:r>
      <w:r w:rsidR="0048063D" w:rsidRPr="00A22E80">
        <w:rPr>
          <w:rFonts w:ascii="Verdana" w:hAnsi="Verdana" w:cs="Arial"/>
          <w:sz w:val="18"/>
          <w:szCs w:val="18"/>
        </w:rPr>
        <w:t>wordt een omissie hersteld en de gelijkluidende bepaling van artikel 34, derde lid, van de richtlijn kapitaalvereisten geïmplementeerd.</w:t>
      </w:r>
    </w:p>
    <w:p w:rsidR="00D751FA" w:rsidRPr="00A22E80" w:rsidRDefault="00D751FA" w:rsidP="00A22E80">
      <w:pPr>
        <w:widowControl w:val="0"/>
        <w:tabs>
          <w:tab w:val="num" w:pos="720"/>
        </w:tabs>
        <w:spacing w:line="260" w:lineRule="exact"/>
        <w:rPr>
          <w:rFonts w:ascii="Verdana" w:hAnsi="Verdana" w:cs="Arial"/>
          <w:sz w:val="18"/>
          <w:szCs w:val="18"/>
        </w:rPr>
      </w:pPr>
    </w:p>
    <w:p w:rsidR="00D751FA" w:rsidRPr="00A22E80" w:rsidRDefault="00815019" w:rsidP="00A22E80">
      <w:pPr>
        <w:tabs>
          <w:tab w:val="left" w:pos="3375"/>
        </w:tabs>
        <w:spacing w:line="260" w:lineRule="exact"/>
        <w:rPr>
          <w:rFonts w:ascii="Verdana" w:hAnsi="Verdana"/>
          <w:sz w:val="18"/>
          <w:szCs w:val="18"/>
        </w:rPr>
      </w:pPr>
      <w:r w:rsidRPr="00A22E80">
        <w:rPr>
          <w:rFonts w:ascii="Verdana" w:hAnsi="Verdana"/>
          <w:sz w:val="18"/>
          <w:szCs w:val="18"/>
        </w:rPr>
        <w:t>T</w:t>
      </w:r>
    </w:p>
    <w:p w:rsidR="00D751FA" w:rsidRPr="00A22E80" w:rsidRDefault="00D751FA" w:rsidP="00A22E80">
      <w:pPr>
        <w:widowControl w:val="0"/>
        <w:tabs>
          <w:tab w:val="num" w:pos="720"/>
        </w:tabs>
        <w:spacing w:line="260" w:lineRule="exact"/>
        <w:rPr>
          <w:rFonts w:ascii="Verdana" w:hAnsi="Verdana" w:cs="Arial"/>
          <w:sz w:val="18"/>
          <w:szCs w:val="18"/>
        </w:rPr>
      </w:pPr>
    </w:p>
    <w:p w:rsidR="00AB2987" w:rsidRPr="00A22E80" w:rsidRDefault="00AB2987" w:rsidP="00A22E80">
      <w:pPr>
        <w:spacing w:line="260" w:lineRule="exact"/>
        <w:rPr>
          <w:rFonts w:ascii="Verdana" w:hAnsi="Verdana"/>
          <w:sz w:val="18"/>
          <w:szCs w:val="18"/>
        </w:rPr>
      </w:pPr>
      <w:r w:rsidRPr="00A22E80">
        <w:rPr>
          <w:rFonts w:ascii="Verdana" w:hAnsi="Verdana"/>
          <w:sz w:val="18"/>
          <w:szCs w:val="18"/>
        </w:rPr>
        <w:t xml:space="preserve">De </w:t>
      </w:r>
      <w:r w:rsidR="009679D4" w:rsidRPr="00A22E80">
        <w:rPr>
          <w:rFonts w:ascii="Verdana" w:hAnsi="Verdana"/>
          <w:sz w:val="18"/>
          <w:szCs w:val="18"/>
        </w:rPr>
        <w:t xml:space="preserve">formulering van </w:t>
      </w:r>
      <w:r w:rsidRPr="00A22E80">
        <w:rPr>
          <w:rFonts w:ascii="Verdana" w:hAnsi="Verdana"/>
          <w:sz w:val="18"/>
          <w:szCs w:val="18"/>
        </w:rPr>
        <w:t xml:space="preserve">artikel 3:111a, eerste lid, </w:t>
      </w:r>
      <w:r w:rsidR="009679D4" w:rsidRPr="00A22E80">
        <w:rPr>
          <w:rFonts w:ascii="Verdana" w:hAnsi="Verdana"/>
          <w:sz w:val="18"/>
          <w:szCs w:val="18"/>
        </w:rPr>
        <w:t xml:space="preserve">van de </w:t>
      </w:r>
      <w:proofErr w:type="spellStart"/>
      <w:r w:rsidRPr="00A22E80">
        <w:rPr>
          <w:rFonts w:ascii="Verdana" w:hAnsi="Verdana"/>
          <w:sz w:val="18"/>
          <w:szCs w:val="18"/>
        </w:rPr>
        <w:t>Wft</w:t>
      </w:r>
      <w:proofErr w:type="spellEnd"/>
      <w:r w:rsidR="009679D4" w:rsidRPr="00A22E80">
        <w:rPr>
          <w:rFonts w:ascii="Verdana" w:hAnsi="Verdana"/>
          <w:sz w:val="18"/>
          <w:szCs w:val="18"/>
        </w:rPr>
        <w:t>,</w:t>
      </w:r>
      <w:r w:rsidRPr="00A22E80">
        <w:rPr>
          <w:rFonts w:ascii="Verdana" w:hAnsi="Verdana"/>
          <w:sz w:val="18"/>
          <w:szCs w:val="18"/>
        </w:rPr>
        <w:t xml:space="preserve"> </w:t>
      </w:r>
      <w:r w:rsidR="00A47F90" w:rsidRPr="00A22E80">
        <w:rPr>
          <w:rFonts w:ascii="Verdana" w:hAnsi="Verdana"/>
          <w:sz w:val="18"/>
          <w:szCs w:val="18"/>
        </w:rPr>
        <w:t xml:space="preserve">op basis waarvan DNB </w:t>
      </w:r>
      <w:r w:rsidR="007B2BC8" w:rsidRPr="00A22E80">
        <w:rPr>
          <w:rFonts w:ascii="Verdana" w:hAnsi="Verdana"/>
          <w:sz w:val="18"/>
          <w:szCs w:val="18"/>
        </w:rPr>
        <w:t xml:space="preserve">specifieke </w:t>
      </w:r>
      <w:proofErr w:type="spellStart"/>
      <w:r w:rsidR="009679D4" w:rsidRPr="00A22E80">
        <w:rPr>
          <w:rFonts w:ascii="Verdana" w:hAnsi="Verdana"/>
          <w:sz w:val="18"/>
          <w:szCs w:val="18"/>
        </w:rPr>
        <w:t>prudentiële</w:t>
      </w:r>
      <w:proofErr w:type="spellEnd"/>
      <w:r w:rsidR="009679D4" w:rsidRPr="00A22E80">
        <w:rPr>
          <w:rFonts w:ascii="Verdana" w:hAnsi="Verdana"/>
          <w:sz w:val="18"/>
          <w:szCs w:val="18"/>
        </w:rPr>
        <w:t xml:space="preserve"> </w:t>
      </w:r>
      <w:r w:rsidR="00A47F90" w:rsidRPr="00A22E80">
        <w:rPr>
          <w:rFonts w:ascii="Verdana" w:hAnsi="Verdana"/>
          <w:sz w:val="18"/>
          <w:szCs w:val="18"/>
        </w:rPr>
        <w:t>maatregel</w:t>
      </w:r>
      <w:r w:rsidR="009679D4" w:rsidRPr="00A22E80">
        <w:rPr>
          <w:rFonts w:ascii="Verdana" w:hAnsi="Verdana"/>
          <w:sz w:val="18"/>
          <w:szCs w:val="18"/>
        </w:rPr>
        <w:t>en</w:t>
      </w:r>
      <w:r w:rsidR="00A47F90" w:rsidRPr="00A22E80">
        <w:rPr>
          <w:rFonts w:ascii="Verdana" w:hAnsi="Verdana"/>
          <w:sz w:val="18"/>
          <w:szCs w:val="18"/>
        </w:rPr>
        <w:t xml:space="preserve"> kan</w:t>
      </w:r>
      <w:r w:rsidR="009679D4" w:rsidRPr="00A22E80">
        <w:rPr>
          <w:rFonts w:ascii="Verdana" w:hAnsi="Verdana"/>
          <w:sz w:val="18"/>
          <w:szCs w:val="18"/>
        </w:rPr>
        <w:t xml:space="preserve"> opleggen</w:t>
      </w:r>
      <w:r w:rsidR="00A47F90" w:rsidRPr="00A22E80">
        <w:rPr>
          <w:rFonts w:ascii="Verdana" w:hAnsi="Verdana"/>
          <w:sz w:val="18"/>
          <w:szCs w:val="18"/>
        </w:rPr>
        <w:t xml:space="preserve">, </w:t>
      </w:r>
      <w:r w:rsidRPr="00A22E80">
        <w:rPr>
          <w:rFonts w:ascii="Verdana" w:hAnsi="Verdana"/>
          <w:sz w:val="18"/>
          <w:szCs w:val="18"/>
        </w:rPr>
        <w:t xml:space="preserve">wijkt af van zowel de tekst van artikel 102 van de richtlijn kapitaalvereisten als de formulering van </w:t>
      </w:r>
      <w:r w:rsidR="00412C4D" w:rsidRPr="00A22E80">
        <w:rPr>
          <w:rFonts w:ascii="Verdana" w:hAnsi="Verdana"/>
          <w:sz w:val="18"/>
          <w:szCs w:val="18"/>
        </w:rPr>
        <w:t xml:space="preserve">de </w:t>
      </w:r>
      <w:r w:rsidRPr="00A22E80">
        <w:rPr>
          <w:rFonts w:ascii="Verdana" w:hAnsi="Verdana"/>
          <w:sz w:val="18"/>
          <w:szCs w:val="18"/>
        </w:rPr>
        <w:t xml:space="preserve">parallelle bevoegdheid van de ECB in artikel 16 van de verordening bankentoezicht. Met de voorgestelde wijziging wordt dit hersteld en sluit de tekst </w:t>
      </w:r>
      <w:r w:rsidR="007B2BC8" w:rsidRPr="00A22E80">
        <w:rPr>
          <w:rFonts w:ascii="Verdana" w:hAnsi="Verdana"/>
          <w:sz w:val="18"/>
          <w:szCs w:val="18"/>
        </w:rPr>
        <w:t>beter</w:t>
      </w:r>
      <w:r w:rsidRPr="00A22E80">
        <w:rPr>
          <w:rFonts w:ascii="Verdana" w:hAnsi="Verdana"/>
          <w:sz w:val="18"/>
          <w:szCs w:val="18"/>
        </w:rPr>
        <w:t xml:space="preserve"> aan bij beide voornoemde Europese bepalingen. Dit houdt in dat het criterium van “t</w:t>
      </w:r>
      <w:r w:rsidR="00412C4D" w:rsidRPr="00A22E80">
        <w:rPr>
          <w:rFonts w:ascii="Verdana" w:hAnsi="Verdana"/>
          <w:sz w:val="18"/>
          <w:szCs w:val="18"/>
        </w:rPr>
        <w:t>ekenen van een ontwikkeling”, da</w:t>
      </w:r>
      <w:r w:rsidRPr="00A22E80">
        <w:rPr>
          <w:rFonts w:ascii="Verdana" w:hAnsi="Verdana"/>
          <w:sz w:val="18"/>
          <w:szCs w:val="18"/>
        </w:rPr>
        <w:t xml:space="preserve">t is ontleend aan het </w:t>
      </w:r>
      <w:proofErr w:type="spellStart"/>
      <w:r w:rsidRPr="00A22E80">
        <w:rPr>
          <w:rFonts w:ascii="Verdana" w:hAnsi="Verdana"/>
          <w:sz w:val="18"/>
          <w:szCs w:val="18"/>
        </w:rPr>
        <w:t>prudentiële</w:t>
      </w:r>
      <w:proofErr w:type="spellEnd"/>
      <w:r w:rsidRPr="00A22E80">
        <w:rPr>
          <w:rFonts w:ascii="Verdana" w:hAnsi="Verdana"/>
          <w:sz w:val="18"/>
          <w:szCs w:val="18"/>
        </w:rPr>
        <w:t xml:space="preserve"> criterium voor toepassing van de aanwijzingsbevoegdheid in artikel 1:75, tweede lid, wordt vervangen door het criterium van een waarschijnlijke overtreding binnen 12 maanden uit artikel 102 van de richtlijn kapitaalvereisten</w:t>
      </w:r>
      <w:r w:rsidR="002A4930" w:rsidRPr="00A22E80">
        <w:rPr>
          <w:rFonts w:ascii="Verdana" w:hAnsi="Verdana"/>
          <w:sz w:val="18"/>
          <w:szCs w:val="18"/>
        </w:rPr>
        <w:t xml:space="preserve"> en artikel 16, eerste lid, onderdeel b, van de verordening bankentoezicht</w:t>
      </w:r>
      <w:r w:rsidRPr="00A22E80">
        <w:rPr>
          <w:rFonts w:ascii="Verdana" w:hAnsi="Verdana"/>
          <w:sz w:val="18"/>
          <w:szCs w:val="18"/>
        </w:rPr>
        <w:t xml:space="preserve">. Voorts wordt in aansluiting op artikel 16 van de voornoemde verordening als criterium toegevoegd een negatieve uitkomst van </w:t>
      </w:r>
      <w:r w:rsidR="00A47F90" w:rsidRPr="00A22E80">
        <w:rPr>
          <w:rFonts w:ascii="Verdana" w:hAnsi="Verdana"/>
          <w:sz w:val="18"/>
          <w:szCs w:val="18"/>
        </w:rPr>
        <w:t xml:space="preserve">het </w:t>
      </w:r>
      <w:r w:rsidRPr="00A22E80">
        <w:rPr>
          <w:rFonts w:ascii="Verdana" w:hAnsi="Verdana"/>
          <w:sz w:val="18"/>
          <w:szCs w:val="18"/>
        </w:rPr>
        <w:t>evaluatieproces op grond van artikel 3:18a</w:t>
      </w:r>
      <w:r w:rsidR="00685C8C" w:rsidRPr="00A22E80">
        <w:rPr>
          <w:rFonts w:ascii="Verdana" w:hAnsi="Verdana"/>
          <w:sz w:val="18"/>
          <w:szCs w:val="18"/>
        </w:rPr>
        <w:t xml:space="preserve"> </w:t>
      </w:r>
      <w:proofErr w:type="spellStart"/>
      <w:r w:rsidR="00685C8C" w:rsidRPr="00A22E80">
        <w:rPr>
          <w:rFonts w:ascii="Verdana" w:hAnsi="Verdana"/>
          <w:sz w:val="18"/>
          <w:szCs w:val="18"/>
        </w:rPr>
        <w:t>Wft</w:t>
      </w:r>
      <w:proofErr w:type="spellEnd"/>
      <w:r w:rsidRPr="00A22E80">
        <w:rPr>
          <w:rFonts w:ascii="Verdana" w:hAnsi="Verdana"/>
          <w:sz w:val="18"/>
          <w:szCs w:val="18"/>
        </w:rPr>
        <w:t xml:space="preserve">, </w:t>
      </w:r>
      <w:r w:rsidR="00685C8C" w:rsidRPr="00A22E80">
        <w:rPr>
          <w:rFonts w:ascii="Verdana" w:hAnsi="Verdana"/>
          <w:sz w:val="18"/>
          <w:szCs w:val="18"/>
        </w:rPr>
        <w:t xml:space="preserve">het proces </w:t>
      </w:r>
      <w:r w:rsidRPr="00A22E80">
        <w:rPr>
          <w:rFonts w:ascii="Verdana" w:hAnsi="Verdana"/>
          <w:sz w:val="18"/>
          <w:szCs w:val="18"/>
        </w:rPr>
        <w:t xml:space="preserve">dat ook wel bekend staat als het </w:t>
      </w:r>
      <w:proofErr w:type="spellStart"/>
      <w:r w:rsidRPr="00A22E80">
        <w:rPr>
          <w:rFonts w:ascii="Verdana" w:hAnsi="Verdana"/>
          <w:i/>
          <w:sz w:val="18"/>
          <w:szCs w:val="18"/>
        </w:rPr>
        <w:t>Supervisory</w:t>
      </w:r>
      <w:proofErr w:type="spellEnd"/>
      <w:r w:rsidRPr="00A22E80">
        <w:rPr>
          <w:rFonts w:ascii="Verdana" w:hAnsi="Verdana"/>
          <w:i/>
          <w:sz w:val="18"/>
          <w:szCs w:val="18"/>
        </w:rPr>
        <w:t xml:space="preserve"> </w:t>
      </w:r>
      <w:proofErr w:type="spellStart"/>
      <w:r w:rsidRPr="00A22E80">
        <w:rPr>
          <w:rFonts w:ascii="Verdana" w:hAnsi="Verdana"/>
          <w:i/>
          <w:sz w:val="18"/>
          <w:szCs w:val="18"/>
        </w:rPr>
        <w:t>Review</w:t>
      </w:r>
      <w:proofErr w:type="spellEnd"/>
      <w:r w:rsidRPr="00A22E80">
        <w:rPr>
          <w:rFonts w:ascii="Verdana" w:hAnsi="Verdana"/>
          <w:i/>
          <w:sz w:val="18"/>
          <w:szCs w:val="18"/>
        </w:rPr>
        <w:t xml:space="preserve"> and </w:t>
      </w:r>
      <w:proofErr w:type="spellStart"/>
      <w:r w:rsidRPr="00A22E80">
        <w:rPr>
          <w:rFonts w:ascii="Verdana" w:hAnsi="Verdana"/>
          <w:i/>
          <w:sz w:val="18"/>
          <w:szCs w:val="18"/>
        </w:rPr>
        <w:t>Evaluation</w:t>
      </w:r>
      <w:proofErr w:type="spellEnd"/>
      <w:r w:rsidRPr="00A22E80">
        <w:rPr>
          <w:rFonts w:ascii="Verdana" w:hAnsi="Verdana"/>
          <w:i/>
          <w:sz w:val="18"/>
          <w:szCs w:val="18"/>
        </w:rPr>
        <w:t xml:space="preserve"> </w:t>
      </w:r>
      <w:proofErr w:type="spellStart"/>
      <w:r w:rsidRPr="00A22E80">
        <w:rPr>
          <w:rFonts w:ascii="Verdana" w:hAnsi="Verdana"/>
          <w:i/>
          <w:sz w:val="18"/>
          <w:szCs w:val="18"/>
        </w:rPr>
        <w:t>Process</w:t>
      </w:r>
      <w:proofErr w:type="spellEnd"/>
      <w:r w:rsidRPr="00A22E80">
        <w:rPr>
          <w:rFonts w:ascii="Verdana" w:hAnsi="Verdana"/>
          <w:sz w:val="18"/>
          <w:szCs w:val="18"/>
        </w:rPr>
        <w:t xml:space="preserve"> (SREP).</w:t>
      </w:r>
      <w:r w:rsidR="00685C8C" w:rsidRPr="00A22E80">
        <w:rPr>
          <w:rFonts w:ascii="Verdana" w:hAnsi="Verdana"/>
          <w:sz w:val="18"/>
          <w:szCs w:val="18"/>
        </w:rPr>
        <w:t xml:space="preserve"> Ten slotte wordt </w:t>
      </w:r>
      <w:r w:rsidR="00A505E2" w:rsidRPr="00A22E80">
        <w:rPr>
          <w:rFonts w:ascii="Verdana" w:hAnsi="Verdana"/>
          <w:sz w:val="18"/>
          <w:szCs w:val="18"/>
        </w:rPr>
        <w:t xml:space="preserve">in navolging van </w:t>
      </w:r>
      <w:r w:rsidR="00685C8C" w:rsidRPr="00A22E80">
        <w:rPr>
          <w:rFonts w:ascii="Verdana" w:hAnsi="Verdana"/>
          <w:sz w:val="18"/>
          <w:szCs w:val="18"/>
        </w:rPr>
        <w:t xml:space="preserve">artikel 16 van de verordening in het voorgestelde nieuwe vijfde lid </w:t>
      </w:r>
      <w:r w:rsidR="00A505E2" w:rsidRPr="00A22E80">
        <w:rPr>
          <w:rFonts w:ascii="Verdana" w:hAnsi="Verdana"/>
          <w:sz w:val="18"/>
          <w:szCs w:val="18"/>
        </w:rPr>
        <w:t xml:space="preserve">van artikel 3:111a </w:t>
      </w:r>
      <w:proofErr w:type="spellStart"/>
      <w:r w:rsidR="00A505E2" w:rsidRPr="00A22E80">
        <w:rPr>
          <w:rFonts w:ascii="Verdana" w:hAnsi="Verdana"/>
          <w:sz w:val="18"/>
          <w:szCs w:val="18"/>
        </w:rPr>
        <w:t>Wft</w:t>
      </w:r>
      <w:proofErr w:type="spellEnd"/>
      <w:r w:rsidR="00A505E2" w:rsidRPr="00A22E80">
        <w:rPr>
          <w:rFonts w:ascii="Verdana" w:hAnsi="Verdana"/>
          <w:sz w:val="18"/>
          <w:szCs w:val="18"/>
        </w:rPr>
        <w:t xml:space="preserve"> </w:t>
      </w:r>
      <w:r w:rsidR="00685C8C" w:rsidRPr="00A22E80">
        <w:rPr>
          <w:rFonts w:ascii="Verdana" w:hAnsi="Verdana"/>
          <w:sz w:val="18"/>
          <w:szCs w:val="18"/>
        </w:rPr>
        <w:t>tot uitdrukking gebracht dat de maatregelen ook aan een financiële of gemengde financi</w:t>
      </w:r>
      <w:r w:rsidR="00A505E2" w:rsidRPr="00A22E80">
        <w:rPr>
          <w:rFonts w:ascii="Verdana" w:hAnsi="Verdana"/>
          <w:sz w:val="18"/>
          <w:szCs w:val="18"/>
        </w:rPr>
        <w:t xml:space="preserve">ële holding kunnen </w:t>
      </w:r>
      <w:r w:rsidR="00685C8C" w:rsidRPr="00A22E80">
        <w:rPr>
          <w:rFonts w:ascii="Verdana" w:hAnsi="Verdana"/>
          <w:sz w:val="18"/>
          <w:szCs w:val="18"/>
        </w:rPr>
        <w:t xml:space="preserve">worden opgelegd. </w:t>
      </w:r>
    </w:p>
    <w:p w:rsidR="00D751FA" w:rsidRPr="00A22E80" w:rsidRDefault="00D751FA" w:rsidP="00A22E80">
      <w:pPr>
        <w:widowControl w:val="0"/>
        <w:tabs>
          <w:tab w:val="num" w:pos="720"/>
        </w:tabs>
        <w:spacing w:line="260" w:lineRule="exact"/>
        <w:rPr>
          <w:rFonts w:ascii="Verdana" w:hAnsi="Verdana" w:cs="Arial"/>
          <w:sz w:val="18"/>
          <w:szCs w:val="18"/>
        </w:rPr>
      </w:pPr>
    </w:p>
    <w:p w:rsidR="00EF5EEA" w:rsidRPr="00A22E80" w:rsidRDefault="004F15A3" w:rsidP="00A22E80">
      <w:pPr>
        <w:widowControl w:val="0"/>
        <w:spacing w:line="260" w:lineRule="exact"/>
        <w:rPr>
          <w:rFonts w:ascii="Verdana" w:hAnsi="Verdana"/>
          <w:sz w:val="18"/>
          <w:szCs w:val="18"/>
        </w:rPr>
      </w:pPr>
      <w:r w:rsidRPr="00A22E80">
        <w:rPr>
          <w:rFonts w:ascii="Verdana" w:hAnsi="Verdana"/>
          <w:sz w:val="18"/>
          <w:szCs w:val="18"/>
        </w:rPr>
        <w:t>U</w:t>
      </w:r>
      <w:r w:rsidR="00EF5EEA" w:rsidRPr="00A22E80">
        <w:rPr>
          <w:rFonts w:ascii="Verdana" w:hAnsi="Verdana"/>
          <w:sz w:val="18"/>
          <w:szCs w:val="18"/>
        </w:rPr>
        <w:t xml:space="preserve">, </w:t>
      </w:r>
      <w:r w:rsidRPr="00A22E80">
        <w:rPr>
          <w:rFonts w:ascii="Verdana" w:hAnsi="Verdana"/>
          <w:sz w:val="18"/>
          <w:szCs w:val="18"/>
        </w:rPr>
        <w:t>V</w:t>
      </w:r>
      <w:r w:rsidR="00EF5EEA" w:rsidRPr="00A22E80">
        <w:rPr>
          <w:rFonts w:ascii="Verdana" w:hAnsi="Verdana"/>
          <w:sz w:val="18"/>
          <w:szCs w:val="18"/>
        </w:rPr>
        <w:t xml:space="preserve"> en </w:t>
      </w:r>
      <w:r w:rsidRPr="00A22E80">
        <w:rPr>
          <w:rFonts w:ascii="Verdana" w:hAnsi="Verdana"/>
          <w:sz w:val="18"/>
          <w:szCs w:val="18"/>
        </w:rPr>
        <w:t>W</w:t>
      </w:r>
    </w:p>
    <w:p w:rsidR="00EF5EEA" w:rsidRPr="00A22E80" w:rsidRDefault="00EF5EEA" w:rsidP="00A22E80">
      <w:pPr>
        <w:widowControl w:val="0"/>
        <w:spacing w:line="260" w:lineRule="exact"/>
        <w:rPr>
          <w:rFonts w:ascii="Verdana" w:hAnsi="Verdana"/>
          <w:sz w:val="18"/>
          <w:szCs w:val="18"/>
        </w:rPr>
      </w:pPr>
    </w:p>
    <w:p w:rsidR="00EF5EEA" w:rsidRPr="00A22E80" w:rsidRDefault="00EF5EEA" w:rsidP="00A22E80">
      <w:pPr>
        <w:widowControl w:val="0"/>
        <w:spacing w:line="260" w:lineRule="exact"/>
        <w:rPr>
          <w:rFonts w:ascii="Verdana" w:hAnsi="Verdana"/>
          <w:sz w:val="18"/>
          <w:szCs w:val="18"/>
        </w:rPr>
      </w:pPr>
      <w:r w:rsidRPr="00A22E80">
        <w:rPr>
          <w:rFonts w:ascii="Verdana" w:hAnsi="Verdana"/>
          <w:sz w:val="18"/>
          <w:szCs w:val="18"/>
        </w:rPr>
        <w:t xml:space="preserve">Het betreft redactionele wijzigingen. De wijzigingsonderdelen </w:t>
      </w:r>
      <w:r w:rsidR="007300CD" w:rsidRPr="00A22E80">
        <w:rPr>
          <w:rFonts w:ascii="Verdana" w:hAnsi="Verdana"/>
          <w:sz w:val="18"/>
          <w:szCs w:val="18"/>
        </w:rPr>
        <w:t>V</w:t>
      </w:r>
      <w:r w:rsidRPr="00A22E80">
        <w:rPr>
          <w:rFonts w:ascii="Verdana" w:hAnsi="Verdana"/>
          <w:sz w:val="18"/>
          <w:szCs w:val="18"/>
        </w:rPr>
        <w:t xml:space="preserve"> en </w:t>
      </w:r>
      <w:r w:rsidR="007300CD" w:rsidRPr="00A22E80">
        <w:rPr>
          <w:rFonts w:ascii="Verdana" w:hAnsi="Verdana"/>
          <w:sz w:val="18"/>
          <w:szCs w:val="18"/>
        </w:rPr>
        <w:t>X</w:t>
      </w:r>
      <w:r w:rsidRPr="00A22E80">
        <w:rPr>
          <w:rFonts w:ascii="Verdana" w:hAnsi="Verdana"/>
          <w:sz w:val="18"/>
          <w:szCs w:val="18"/>
        </w:rPr>
        <w:t xml:space="preserve"> herstellen een verkeerde verwijzing. </w:t>
      </w:r>
      <w:r w:rsidR="00443DC5" w:rsidRPr="00A22E80">
        <w:rPr>
          <w:rFonts w:ascii="Verdana" w:hAnsi="Verdana"/>
          <w:sz w:val="18"/>
          <w:szCs w:val="18"/>
        </w:rPr>
        <w:t>O</w:t>
      </w:r>
      <w:r w:rsidR="00724E08" w:rsidRPr="00A22E80">
        <w:rPr>
          <w:rFonts w:ascii="Verdana" w:hAnsi="Verdana"/>
          <w:sz w:val="18"/>
          <w:szCs w:val="18"/>
        </w:rPr>
        <w:t xml:space="preserve">nderdeel </w:t>
      </w:r>
      <w:r w:rsidR="00A0574C" w:rsidRPr="00A22E80">
        <w:rPr>
          <w:rFonts w:ascii="Verdana" w:hAnsi="Verdana"/>
          <w:sz w:val="18"/>
          <w:szCs w:val="18"/>
        </w:rPr>
        <w:t>V</w:t>
      </w:r>
      <w:r w:rsidR="00724E08" w:rsidRPr="00A22E80">
        <w:rPr>
          <w:rFonts w:ascii="Verdana" w:hAnsi="Verdana"/>
          <w:sz w:val="18"/>
          <w:szCs w:val="18"/>
        </w:rPr>
        <w:t xml:space="preserve"> </w:t>
      </w:r>
      <w:r w:rsidR="00375604" w:rsidRPr="00A22E80">
        <w:rPr>
          <w:rFonts w:ascii="Verdana" w:hAnsi="Verdana"/>
          <w:sz w:val="18"/>
          <w:szCs w:val="18"/>
        </w:rPr>
        <w:t xml:space="preserve">voorziet in de correctie van de </w:t>
      </w:r>
      <w:r w:rsidR="00294FC9" w:rsidRPr="00A22E80">
        <w:rPr>
          <w:rFonts w:ascii="Verdana" w:hAnsi="Verdana"/>
          <w:sz w:val="18"/>
          <w:szCs w:val="18"/>
        </w:rPr>
        <w:t>(eigen)</w:t>
      </w:r>
      <w:r w:rsidR="00375604" w:rsidRPr="00A22E80">
        <w:rPr>
          <w:rFonts w:ascii="Verdana" w:hAnsi="Verdana"/>
          <w:sz w:val="18"/>
          <w:szCs w:val="18"/>
        </w:rPr>
        <w:t xml:space="preserve">naam van het Depositogarantiefonds, een publiekrechtelijke rechtspersoon met een wettelijke taak, </w:t>
      </w:r>
      <w:r w:rsidR="008508AE" w:rsidRPr="00A22E80">
        <w:rPr>
          <w:rFonts w:ascii="Verdana" w:hAnsi="Verdana"/>
          <w:sz w:val="18"/>
          <w:szCs w:val="18"/>
        </w:rPr>
        <w:t>die</w:t>
      </w:r>
      <w:r w:rsidR="00375604" w:rsidRPr="00A22E80">
        <w:rPr>
          <w:rFonts w:ascii="Verdana" w:hAnsi="Verdana"/>
          <w:sz w:val="18"/>
          <w:szCs w:val="18"/>
        </w:rPr>
        <w:t xml:space="preserve"> met een hoofdletter behoort te worden geschreven. </w:t>
      </w:r>
    </w:p>
    <w:p w:rsidR="00D609E6" w:rsidRPr="00A22E80" w:rsidRDefault="00D609E6" w:rsidP="00A22E80">
      <w:pPr>
        <w:widowControl w:val="0"/>
        <w:tabs>
          <w:tab w:val="num" w:pos="720"/>
        </w:tabs>
        <w:spacing w:line="260" w:lineRule="exact"/>
        <w:rPr>
          <w:rFonts w:ascii="Verdana" w:hAnsi="Verdana" w:cs="Arial"/>
          <w:sz w:val="18"/>
          <w:szCs w:val="18"/>
        </w:rPr>
      </w:pPr>
    </w:p>
    <w:p w:rsidR="00D609E6" w:rsidRPr="00A22E80" w:rsidRDefault="00191AF6" w:rsidP="00A22E80">
      <w:pPr>
        <w:widowControl w:val="0"/>
        <w:spacing w:line="260" w:lineRule="exact"/>
        <w:rPr>
          <w:rFonts w:ascii="Verdana" w:hAnsi="Verdana" w:cs="Arial"/>
          <w:sz w:val="18"/>
          <w:szCs w:val="18"/>
        </w:rPr>
      </w:pPr>
      <w:r w:rsidRPr="00A22E80">
        <w:rPr>
          <w:rFonts w:ascii="Verdana" w:hAnsi="Verdana" w:cs="Arial"/>
          <w:sz w:val="18"/>
          <w:szCs w:val="18"/>
        </w:rPr>
        <w:t>X</w:t>
      </w:r>
    </w:p>
    <w:p w:rsidR="00484A9A" w:rsidRPr="00A22E80" w:rsidRDefault="00484A9A" w:rsidP="00A22E80">
      <w:pPr>
        <w:widowControl w:val="0"/>
        <w:spacing w:line="260" w:lineRule="exact"/>
        <w:rPr>
          <w:rFonts w:ascii="Verdana" w:hAnsi="Verdana" w:cs="Arial"/>
          <w:sz w:val="18"/>
          <w:szCs w:val="18"/>
        </w:rPr>
      </w:pPr>
    </w:p>
    <w:p w:rsidR="00335021" w:rsidRPr="00A22E80" w:rsidRDefault="00335021" w:rsidP="00A22E80">
      <w:pPr>
        <w:widowControl w:val="0"/>
        <w:spacing w:line="260" w:lineRule="exact"/>
        <w:rPr>
          <w:rFonts w:ascii="Verdana" w:hAnsi="Verdana"/>
          <w:sz w:val="18"/>
          <w:szCs w:val="18"/>
        </w:rPr>
      </w:pPr>
      <w:r w:rsidRPr="00A22E80">
        <w:rPr>
          <w:rFonts w:ascii="Verdana" w:hAnsi="Verdana"/>
          <w:sz w:val="18"/>
          <w:szCs w:val="18"/>
        </w:rPr>
        <w:t xml:space="preserve">De wijziging van het eerste lid behelst een redactionele wijziging, waarmee de aansluiting tussen artikel 3:261 </w:t>
      </w:r>
      <w:proofErr w:type="spellStart"/>
      <w:r w:rsidRPr="00A22E80">
        <w:rPr>
          <w:rFonts w:ascii="Verdana" w:hAnsi="Verdana"/>
          <w:sz w:val="18"/>
          <w:szCs w:val="18"/>
        </w:rPr>
        <w:t>Wft</w:t>
      </w:r>
      <w:proofErr w:type="spellEnd"/>
      <w:r w:rsidRPr="00A22E80">
        <w:rPr>
          <w:rFonts w:ascii="Verdana" w:hAnsi="Verdana"/>
          <w:sz w:val="18"/>
          <w:szCs w:val="18"/>
        </w:rPr>
        <w:t xml:space="preserve"> en onder andere de artikelen 29.05 en 29.06 </w:t>
      </w:r>
      <w:r w:rsidR="009B6204" w:rsidRPr="00A22E80">
        <w:rPr>
          <w:rFonts w:ascii="Verdana" w:hAnsi="Verdana"/>
          <w:sz w:val="18"/>
          <w:szCs w:val="18"/>
        </w:rPr>
        <w:t xml:space="preserve">van het Besluit bijzondere </w:t>
      </w:r>
      <w:proofErr w:type="spellStart"/>
      <w:r w:rsidR="009B6204" w:rsidRPr="00A22E80">
        <w:rPr>
          <w:rFonts w:ascii="Verdana" w:hAnsi="Verdana"/>
          <w:sz w:val="18"/>
          <w:szCs w:val="18"/>
        </w:rPr>
        <w:t>prudentiële</w:t>
      </w:r>
      <w:proofErr w:type="spellEnd"/>
      <w:r w:rsidR="009B6204" w:rsidRPr="00A22E80">
        <w:rPr>
          <w:rFonts w:ascii="Verdana" w:hAnsi="Verdana"/>
          <w:sz w:val="18"/>
          <w:szCs w:val="18"/>
        </w:rPr>
        <w:t xml:space="preserve"> maatregelen, </w:t>
      </w:r>
      <w:proofErr w:type="spellStart"/>
      <w:r w:rsidR="009B6204" w:rsidRPr="00A22E80">
        <w:rPr>
          <w:rFonts w:ascii="Verdana" w:hAnsi="Verdana"/>
          <w:sz w:val="18"/>
          <w:szCs w:val="18"/>
        </w:rPr>
        <w:t>beleggerscompensatie</w:t>
      </w:r>
      <w:proofErr w:type="spellEnd"/>
      <w:r w:rsidR="009B6204" w:rsidRPr="00A22E80">
        <w:rPr>
          <w:rFonts w:ascii="Verdana" w:hAnsi="Verdana"/>
          <w:sz w:val="18"/>
          <w:szCs w:val="18"/>
        </w:rPr>
        <w:t xml:space="preserve"> en depositogarantie </w:t>
      </w:r>
      <w:proofErr w:type="spellStart"/>
      <w:r w:rsidR="009B6204" w:rsidRPr="00A22E80">
        <w:rPr>
          <w:rFonts w:ascii="Verdana" w:hAnsi="Verdana"/>
          <w:sz w:val="18"/>
          <w:szCs w:val="18"/>
        </w:rPr>
        <w:t>Wft</w:t>
      </w:r>
      <w:proofErr w:type="spellEnd"/>
      <w:r w:rsidR="009B6204" w:rsidRPr="00A22E80">
        <w:rPr>
          <w:rFonts w:ascii="Verdana" w:hAnsi="Verdana"/>
          <w:sz w:val="18"/>
          <w:szCs w:val="18"/>
        </w:rPr>
        <w:t xml:space="preserve"> (</w:t>
      </w:r>
      <w:proofErr w:type="spellStart"/>
      <w:r w:rsidR="009B6204" w:rsidRPr="00A22E80">
        <w:rPr>
          <w:rFonts w:ascii="Verdana" w:hAnsi="Verdana"/>
          <w:sz w:val="18"/>
          <w:szCs w:val="18"/>
        </w:rPr>
        <w:t>Bbpm</w:t>
      </w:r>
      <w:proofErr w:type="spellEnd"/>
      <w:r w:rsidR="009B6204" w:rsidRPr="00A22E80">
        <w:rPr>
          <w:rFonts w:ascii="Verdana" w:hAnsi="Verdana"/>
          <w:sz w:val="18"/>
          <w:szCs w:val="18"/>
        </w:rPr>
        <w:t xml:space="preserve">) </w:t>
      </w:r>
      <w:r w:rsidRPr="00A22E80">
        <w:rPr>
          <w:rFonts w:ascii="Verdana" w:hAnsi="Verdana"/>
          <w:sz w:val="18"/>
          <w:szCs w:val="18"/>
        </w:rPr>
        <w:t xml:space="preserve">wordt verbeterd. </w:t>
      </w:r>
    </w:p>
    <w:p w:rsidR="00DE5C70" w:rsidRPr="00A22E80" w:rsidRDefault="008E1AB7" w:rsidP="00A22E80">
      <w:pPr>
        <w:widowControl w:val="0"/>
        <w:tabs>
          <w:tab w:val="left" w:pos="3402"/>
        </w:tabs>
        <w:spacing w:line="260" w:lineRule="exact"/>
        <w:rPr>
          <w:rFonts w:ascii="Verdana" w:hAnsi="Verdana"/>
          <w:sz w:val="18"/>
          <w:szCs w:val="18"/>
        </w:rPr>
      </w:pPr>
      <w:r w:rsidRPr="00A22E80">
        <w:rPr>
          <w:rFonts w:ascii="Verdana" w:hAnsi="Verdana"/>
          <w:sz w:val="18"/>
          <w:szCs w:val="18"/>
        </w:rPr>
        <w:t>D</w:t>
      </w:r>
      <w:r w:rsidR="00DE5C70" w:rsidRPr="00A22E80">
        <w:rPr>
          <w:rFonts w:ascii="Verdana" w:hAnsi="Verdana"/>
          <w:sz w:val="18"/>
          <w:szCs w:val="18"/>
        </w:rPr>
        <w:t xml:space="preserve">epositohouders </w:t>
      </w:r>
      <w:r w:rsidRPr="00A22E80">
        <w:rPr>
          <w:rFonts w:ascii="Verdana" w:hAnsi="Verdana"/>
          <w:sz w:val="18"/>
          <w:szCs w:val="18"/>
        </w:rPr>
        <w:t xml:space="preserve">moeten </w:t>
      </w:r>
      <w:r w:rsidR="00DE5C70" w:rsidRPr="00A22E80">
        <w:rPr>
          <w:rFonts w:ascii="Verdana" w:hAnsi="Verdana"/>
          <w:sz w:val="18"/>
          <w:szCs w:val="18"/>
        </w:rPr>
        <w:t>binnen een bij algemene maatregel van bestuur te bepalen termijn kunnen beschikken over hun vergoeding uit hoofde v</w:t>
      </w:r>
      <w:r w:rsidR="009B6204" w:rsidRPr="00A22E80">
        <w:rPr>
          <w:rFonts w:ascii="Verdana" w:hAnsi="Verdana"/>
          <w:sz w:val="18"/>
          <w:szCs w:val="18"/>
        </w:rPr>
        <w:t xml:space="preserve">an het </w:t>
      </w:r>
      <w:proofErr w:type="spellStart"/>
      <w:r w:rsidR="009B6204" w:rsidRPr="00A22E80">
        <w:rPr>
          <w:rFonts w:ascii="Verdana" w:hAnsi="Verdana"/>
          <w:sz w:val="18"/>
          <w:szCs w:val="18"/>
        </w:rPr>
        <w:lastRenderedPageBreak/>
        <w:t>depositogarantiestelsel</w:t>
      </w:r>
      <w:proofErr w:type="spellEnd"/>
      <w:r w:rsidR="009B6204" w:rsidRPr="00A22E80">
        <w:rPr>
          <w:rFonts w:ascii="Verdana" w:hAnsi="Verdana"/>
          <w:sz w:val="18"/>
          <w:szCs w:val="18"/>
        </w:rPr>
        <w:t xml:space="preserve">. </w:t>
      </w:r>
      <w:r w:rsidR="00DE5C70" w:rsidRPr="00A22E80">
        <w:rPr>
          <w:rFonts w:ascii="Verdana" w:hAnsi="Verdana"/>
          <w:sz w:val="18"/>
          <w:szCs w:val="18"/>
        </w:rPr>
        <w:t xml:space="preserve">De wijziging </w:t>
      </w:r>
      <w:r w:rsidR="00955DF0" w:rsidRPr="00A22E80">
        <w:rPr>
          <w:rFonts w:ascii="Verdana" w:hAnsi="Verdana"/>
          <w:sz w:val="18"/>
          <w:szCs w:val="18"/>
        </w:rPr>
        <w:t>van het derde lid</w:t>
      </w:r>
      <w:r w:rsidR="00DE5C70" w:rsidRPr="00A22E80">
        <w:rPr>
          <w:rFonts w:ascii="Verdana" w:hAnsi="Verdana"/>
          <w:sz w:val="18"/>
          <w:szCs w:val="18"/>
        </w:rPr>
        <w:t xml:space="preserve"> </w:t>
      </w:r>
      <w:r w:rsidR="00955DF0" w:rsidRPr="00A22E80">
        <w:rPr>
          <w:rFonts w:ascii="Verdana" w:hAnsi="Verdana"/>
          <w:sz w:val="18"/>
          <w:szCs w:val="18"/>
        </w:rPr>
        <w:t xml:space="preserve">van artikel 3:261 </w:t>
      </w:r>
      <w:r w:rsidR="00DE5C70" w:rsidRPr="00A22E80">
        <w:rPr>
          <w:rFonts w:ascii="Verdana" w:hAnsi="Verdana"/>
          <w:sz w:val="18"/>
          <w:szCs w:val="18"/>
        </w:rPr>
        <w:t>verduidelijk</w:t>
      </w:r>
      <w:r w:rsidR="00955DF0" w:rsidRPr="00A22E80">
        <w:rPr>
          <w:rFonts w:ascii="Verdana" w:hAnsi="Verdana"/>
          <w:sz w:val="18"/>
          <w:szCs w:val="18"/>
        </w:rPr>
        <w:t>t</w:t>
      </w:r>
      <w:r w:rsidR="00DE5C70" w:rsidRPr="00A22E80">
        <w:rPr>
          <w:rFonts w:ascii="Verdana" w:hAnsi="Verdana"/>
          <w:sz w:val="18"/>
          <w:szCs w:val="18"/>
        </w:rPr>
        <w:t xml:space="preserve"> dat niet alleen DNB maar ook het Depositogarantiefonds gebonden is aan die termijn. Dit sluit aan bij artikel 29.05 </w:t>
      </w:r>
      <w:proofErr w:type="spellStart"/>
      <w:r w:rsidR="009B6204" w:rsidRPr="00A22E80">
        <w:rPr>
          <w:rFonts w:ascii="Verdana" w:hAnsi="Verdana"/>
          <w:sz w:val="18"/>
          <w:szCs w:val="18"/>
        </w:rPr>
        <w:t>Bbpm</w:t>
      </w:r>
      <w:proofErr w:type="spellEnd"/>
      <w:r w:rsidR="009B6204" w:rsidRPr="00A22E80">
        <w:rPr>
          <w:rFonts w:ascii="Verdana" w:hAnsi="Verdana"/>
          <w:sz w:val="18"/>
          <w:szCs w:val="18"/>
        </w:rPr>
        <w:t xml:space="preserve">, </w:t>
      </w:r>
      <w:r w:rsidR="00DE5C70" w:rsidRPr="00A22E80">
        <w:rPr>
          <w:rFonts w:ascii="Verdana" w:hAnsi="Verdana"/>
          <w:sz w:val="18"/>
          <w:szCs w:val="18"/>
        </w:rPr>
        <w:t xml:space="preserve">waarin is bepaald dat de vergoedingen in beginsel dienen te zijn toegekend en beschikbaar gemaakt voor uitkering binnen de daarin neergelegde termijnen. </w:t>
      </w:r>
    </w:p>
    <w:p w:rsidR="00DE5C70" w:rsidRPr="00A22E80" w:rsidRDefault="00DE5C70" w:rsidP="00A22E80">
      <w:pPr>
        <w:widowControl w:val="0"/>
        <w:spacing w:line="260" w:lineRule="exact"/>
        <w:rPr>
          <w:rFonts w:ascii="Verdana" w:hAnsi="Verdana"/>
          <w:sz w:val="18"/>
          <w:szCs w:val="18"/>
        </w:rPr>
      </w:pPr>
    </w:p>
    <w:p w:rsidR="00DE5C70" w:rsidRPr="00A22E80" w:rsidRDefault="00224FDF" w:rsidP="00A22E80">
      <w:pPr>
        <w:widowControl w:val="0"/>
        <w:spacing w:line="260" w:lineRule="exact"/>
        <w:rPr>
          <w:rFonts w:ascii="Verdana" w:hAnsi="Verdana"/>
          <w:sz w:val="18"/>
          <w:szCs w:val="18"/>
        </w:rPr>
      </w:pPr>
      <w:r w:rsidRPr="00A22E80">
        <w:rPr>
          <w:rFonts w:ascii="Verdana" w:hAnsi="Verdana"/>
          <w:sz w:val="18"/>
          <w:szCs w:val="18"/>
        </w:rPr>
        <w:t xml:space="preserve">Er wordt voorzien in opsplitsing van </w:t>
      </w:r>
      <w:r w:rsidR="009B6204" w:rsidRPr="00A22E80">
        <w:rPr>
          <w:rFonts w:ascii="Verdana" w:hAnsi="Verdana"/>
          <w:sz w:val="18"/>
          <w:szCs w:val="18"/>
        </w:rPr>
        <w:t>het huidige vierde lid in een vierde en vijfde lid, in</w:t>
      </w:r>
      <w:r w:rsidR="00DE5C70" w:rsidRPr="00A22E80">
        <w:rPr>
          <w:rFonts w:ascii="Verdana" w:hAnsi="Verdana"/>
          <w:sz w:val="18"/>
          <w:szCs w:val="18"/>
        </w:rPr>
        <w:t xml:space="preserve"> verband met artikel 9, tweede lid, van de richtlijn </w:t>
      </w:r>
      <w:proofErr w:type="spellStart"/>
      <w:r w:rsidR="00DE5C70" w:rsidRPr="00A22E80">
        <w:rPr>
          <w:rFonts w:ascii="Verdana" w:hAnsi="Verdana"/>
          <w:sz w:val="18"/>
          <w:szCs w:val="18"/>
        </w:rPr>
        <w:t>depositogarantiestelsels</w:t>
      </w:r>
      <w:proofErr w:type="spellEnd"/>
      <w:r w:rsidR="00DE5C70" w:rsidRPr="00A22E80">
        <w:rPr>
          <w:rFonts w:ascii="Verdana" w:hAnsi="Verdana"/>
          <w:sz w:val="18"/>
          <w:szCs w:val="18"/>
        </w:rPr>
        <w:t xml:space="preserve">. Hieruit volgt – evenals uit artikel 79, eerste lid, van de verordening gemeenschappelijk afwikkelingsmechanisme - dat het </w:t>
      </w:r>
      <w:proofErr w:type="spellStart"/>
      <w:r w:rsidR="00DE5C70" w:rsidRPr="00A22E80">
        <w:rPr>
          <w:rFonts w:ascii="Verdana" w:hAnsi="Verdana"/>
          <w:sz w:val="18"/>
          <w:szCs w:val="18"/>
        </w:rPr>
        <w:t>depositogarantiestelsel</w:t>
      </w:r>
      <w:proofErr w:type="spellEnd"/>
      <w:r w:rsidR="00DE5C70" w:rsidRPr="00A22E80">
        <w:rPr>
          <w:rFonts w:ascii="Verdana" w:hAnsi="Verdana"/>
          <w:sz w:val="18"/>
          <w:szCs w:val="18"/>
        </w:rPr>
        <w:t xml:space="preserve"> naar nationaal recht in de rechten dient te treden van depositohouders aan wie het </w:t>
      </w:r>
      <w:proofErr w:type="spellStart"/>
      <w:r w:rsidR="00DE5C70" w:rsidRPr="00A22E80">
        <w:rPr>
          <w:rFonts w:ascii="Verdana" w:hAnsi="Verdana"/>
          <w:sz w:val="18"/>
          <w:szCs w:val="18"/>
        </w:rPr>
        <w:t>depositogarantiestelsel</w:t>
      </w:r>
      <w:proofErr w:type="spellEnd"/>
      <w:r w:rsidR="00DE5C70" w:rsidRPr="00A22E80">
        <w:rPr>
          <w:rFonts w:ascii="Verdana" w:hAnsi="Verdana"/>
          <w:sz w:val="18"/>
          <w:szCs w:val="18"/>
        </w:rPr>
        <w:t xml:space="preserve"> een vergoeding heeft uitgekeerd.</w:t>
      </w:r>
      <w:r w:rsidR="009B6204" w:rsidRPr="00A22E80">
        <w:rPr>
          <w:rFonts w:ascii="Verdana" w:hAnsi="Verdana"/>
          <w:sz w:val="18"/>
          <w:szCs w:val="18"/>
        </w:rPr>
        <w:t xml:space="preserve"> Ditzelfde geldt voor het </w:t>
      </w:r>
      <w:proofErr w:type="spellStart"/>
      <w:r w:rsidR="009B6204" w:rsidRPr="00A22E80">
        <w:rPr>
          <w:rFonts w:ascii="Verdana" w:hAnsi="Verdana"/>
          <w:sz w:val="18"/>
          <w:szCs w:val="18"/>
        </w:rPr>
        <w:t>beleggerscompensatiestelsel</w:t>
      </w:r>
      <w:proofErr w:type="spellEnd"/>
      <w:r w:rsidR="009B6204" w:rsidRPr="00A22E80">
        <w:rPr>
          <w:rFonts w:ascii="Verdana" w:hAnsi="Verdana"/>
          <w:sz w:val="18"/>
          <w:szCs w:val="18"/>
        </w:rPr>
        <w:t xml:space="preserve">. Op </w:t>
      </w:r>
      <w:r w:rsidRPr="00A22E80">
        <w:rPr>
          <w:rFonts w:ascii="Verdana" w:hAnsi="Verdana"/>
          <w:sz w:val="18"/>
          <w:szCs w:val="18"/>
        </w:rPr>
        <w:t xml:space="preserve">grond van het huidige vierde lid </w:t>
      </w:r>
      <w:r w:rsidR="009B6204" w:rsidRPr="00A22E80">
        <w:rPr>
          <w:rFonts w:ascii="Verdana" w:hAnsi="Verdana"/>
          <w:sz w:val="18"/>
          <w:szCs w:val="18"/>
        </w:rPr>
        <w:t xml:space="preserve">treedt DNB in </w:t>
      </w:r>
      <w:r w:rsidRPr="00A22E80">
        <w:rPr>
          <w:rFonts w:ascii="Verdana" w:hAnsi="Verdana"/>
          <w:sz w:val="18"/>
          <w:szCs w:val="18"/>
        </w:rPr>
        <w:t xml:space="preserve">geval van </w:t>
      </w:r>
      <w:r w:rsidR="009B6204" w:rsidRPr="00A22E80">
        <w:rPr>
          <w:rFonts w:ascii="Verdana" w:hAnsi="Verdana"/>
          <w:sz w:val="18"/>
          <w:szCs w:val="18"/>
        </w:rPr>
        <w:t xml:space="preserve">beide </w:t>
      </w:r>
      <w:r w:rsidR="00CE2135" w:rsidRPr="00A22E80">
        <w:rPr>
          <w:rFonts w:ascii="Verdana" w:hAnsi="Verdana"/>
          <w:sz w:val="18"/>
          <w:szCs w:val="18"/>
        </w:rPr>
        <w:t xml:space="preserve">stelsels </w:t>
      </w:r>
      <w:r w:rsidR="009B6204" w:rsidRPr="00A22E80">
        <w:rPr>
          <w:rFonts w:ascii="Verdana" w:hAnsi="Verdana"/>
          <w:sz w:val="18"/>
          <w:szCs w:val="18"/>
        </w:rPr>
        <w:t xml:space="preserve">in de rechten van depositohouders </w:t>
      </w:r>
      <w:r w:rsidR="00CE2135" w:rsidRPr="00A22E80">
        <w:rPr>
          <w:rFonts w:ascii="Verdana" w:hAnsi="Verdana"/>
          <w:sz w:val="18"/>
          <w:szCs w:val="18"/>
        </w:rPr>
        <w:t xml:space="preserve">of </w:t>
      </w:r>
      <w:r w:rsidR="009B6204" w:rsidRPr="00A22E80">
        <w:rPr>
          <w:rFonts w:ascii="Verdana" w:hAnsi="Verdana"/>
          <w:sz w:val="18"/>
          <w:szCs w:val="18"/>
        </w:rPr>
        <w:t xml:space="preserve">beleggers als </w:t>
      </w:r>
      <w:r w:rsidR="00CE2135" w:rsidRPr="00A22E80">
        <w:rPr>
          <w:rFonts w:ascii="Verdana" w:hAnsi="Verdana"/>
          <w:sz w:val="18"/>
          <w:szCs w:val="18"/>
        </w:rPr>
        <w:t xml:space="preserve">aan hen een </w:t>
      </w:r>
      <w:r w:rsidR="009B6204" w:rsidRPr="00A22E80">
        <w:rPr>
          <w:rFonts w:ascii="Verdana" w:hAnsi="Verdana"/>
          <w:sz w:val="18"/>
          <w:szCs w:val="18"/>
        </w:rPr>
        <w:t>vergoeding wordt</w:t>
      </w:r>
      <w:r w:rsidR="00CE2135" w:rsidRPr="00A22E80">
        <w:rPr>
          <w:rFonts w:ascii="Verdana" w:hAnsi="Verdana"/>
          <w:sz w:val="18"/>
          <w:szCs w:val="18"/>
        </w:rPr>
        <w:t xml:space="preserve"> uitgekeerd</w:t>
      </w:r>
      <w:r w:rsidR="002940DE" w:rsidRPr="00A22E80">
        <w:rPr>
          <w:rFonts w:ascii="Verdana" w:hAnsi="Verdana"/>
          <w:sz w:val="18"/>
          <w:szCs w:val="18"/>
        </w:rPr>
        <w:t xml:space="preserve"> (subrogatie)</w:t>
      </w:r>
      <w:r w:rsidR="009B6204" w:rsidRPr="00A22E80">
        <w:rPr>
          <w:rFonts w:ascii="Verdana" w:hAnsi="Verdana"/>
          <w:sz w:val="18"/>
          <w:szCs w:val="18"/>
        </w:rPr>
        <w:t xml:space="preserve">. </w:t>
      </w:r>
      <w:r w:rsidR="00CE2135" w:rsidRPr="00A22E80">
        <w:rPr>
          <w:rFonts w:ascii="Verdana" w:hAnsi="Verdana"/>
          <w:sz w:val="18"/>
          <w:szCs w:val="18"/>
        </w:rPr>
        <w:t xml:space="preserve">Voor het </w:t>
      </w:r>
      <w:proofErr w:type="spellStart"/>
      <w:r w:rsidR="00CE2135" w:rsidRPr="00A22E80">
        <w:rPr>
          <w:rFonts w:ascii="Verdana" w:hAnsi="Verdana"/>
          <w:sz w:val="18"/>
          <w:szCs w:val="18"/>
        </w:rPr>
        <w:t>depositogarantiestelsel</w:t>
      </w:r>
      <w:proofErr w:type="spellEnd"/>
      <w:r w:rsidR="00CE2135" w:rsidRPr="00A22E80">
        <w:rPr>
          <w:rFonts w:ascii="Verdana" w:hAnsi="Verdana"/>
          <w:sz w:val="18"/>
          <w:szCs w:val="18"/>
        </w:rPr>
        <w:t xml:space="preserve"> geldt sinds de implementatie van de richtlijn </w:t>
      </w:r>
      <w:proofErr w:type="spellStart"/>
      <w:r w:rsidR="00CE2135" w:rsidRPr="00A22E80">
        <w:rPr>
          <w:rFonts w:ascii="Verdana" w:hAnsi="Verdana"/>
          <w:sz w:val="18"/>
          <w:szCs w:val="18"/>
        </w:rPr>
        <w:t>depositogarantiestelsels</w:t>
      </w:r>
      <w:proofErr w:type="spellEnd"/>
      <w:r w:rsidR="00CE2135" w:rsidRPr="00A22E80">
        <w:rPr>
          <w:rFonts w:ascii="Verdana" w:hAnsi="Verdana"/>
          <w:sz w:val="18"/>
          <w:szCs w:val="18"/>
        </w:rPr>
        <w:t xml:space="preserve"> echter dat niet langer DNB maar het Depositogarantiefonds de daadwerkelijke uitkeringen verricht die ten laste van het door het fonds beheerde vermogen komen. Om </w:t>
      </w:r>
      <w:r w:rsidR="00AB6743" w:rsidRPr="00A22E80">
        <w:rPr>
          <w:rFonts w:ascii="Verdana" w:hAnsi="Verdana"/>
          <w:sz w:val="18"/>
          <w:szCs w:val="18"/>
        </w:rPr>
        <w:t xml:space="preserve">deze inconsistentie weg te nemen </w:t>
      </w:r>
      <w:r w:rsidR="00CE2135" w:rsidRPr="00A22E80">
        <w:rPr>
          <w:rFonts w:ascii="Verdana" w:hAnsi="Verdana"/>
          <w:sz w:val="18"/>
          <w:szCs w:val="18"/>
        </w:rPr>
        <w:t xml:space="preserve">voorziet het voorgestelde vijfde lid erin dat dan ook </w:t>
      </w:r>
      <w:r w:rsidR="00DE5C70" w:rsidRPr="00A22E80">
        <w:rPr>
          <w:rFonts w:ascii="Verdana" w:hAnsi="Verdana"/>
          <w:sz w:val="18"/>
          <w:szCs w:val="18"/>
        </w:rPr>
        <w:t xml:space="preserve">het Depositogarantiefonds in de rechten treedt van </w:t>
      </w:r>
      <w:r w:rsidR="00CE2135" w:rsidRPr="00A22E80">
        <w:rPr>
          <w:rFonts w:ascii="Verdana" w:hAnsi="Verdana"/>
          <w:sz w:val="18"/>
          <w:szCs w:val="18"/>
        </w:rPr>
        <w:t xml:space="preserve">de </w:t>
      </w:r>
      <w:r w:rsidR="00DE5C70" w:rsidRPr="00A22E80">
        <w:rPr>
          <w:rFonts w:ascii="Verdana" w:hAnsi="Verdana"/>
          <w:sz w:val="18"/>
          <w:szCs w:val="18"/>
        </w:rPr>
        <w:t>depositohouders</w:t>
      </w:r>
      <w:r w:rsidR="00CE2135" w:rsidRPr="00A22E80">
        <w:rPr>
          <w:rFonts w:ascii="Verdana" w:hAnsi="Verdana"/>
          <w:sz w:val="18"/>
          <w:szCs w:val="18"/>
        </w:rPr>
        <w:t>, en niet langer DNB.</w:t>
      </w:r>
    </w:p>
    <w:p w:rsidR="00DE5C70" w:rsidRPr="00A22E80" w:rsidRDefault="00DE5C70" w:rsidP="00A22E80">
      <w:pPr>
        <w:widowControl w:val="0"/>
        <w:tabs>
          <w:tab w:val="num" w:pos="720"/>
        </w:tabs>
        <w:spacing w:line="260" w:lineRule="exact"/>
        <w:rPr>
          <w:rFonts w:ascii="Verdana" w:hAnsi="Verdana" w:cs="Arial"/>
          <w:sz w:val="18"/>
          <w:szCs w:val="18"/>
        </w:rPr>
      </w:pPr>
    </w:p>
    <w:p w:rsidR="00EB792E" w:rsidRPr="00A22E80" w:rsidRDefault="00A13F87" w:rsidP="00A22E80">
      <w:pPr>
        <w:widowControl w:val="0"/>
        <w:spacing w:line="260" w:lineRule="exact"/>
        <w:rPr>
          <w:rFonts w:ascii="Verdana" w:hAnsi="Verdana" w:cs="Arial"/>
          <w:sz w:val="18"/>
          <w:szCs w:val="18"/>
        </w:rPr>
      </w:pPr>
      <w:r w:rsidRPr="00A22E80">
        <w:rPr>
          <w:rFonts w:ascii="Verdana" w:hAnsi="Verdana" w:cs="Arial"/>
          <w:sz w:val="18"/>
          <w:szCs w:val="18"/>
        </w:rPr>
        <w:t>Y</w:t>
      </w:r>
    </w:p>
    <w:p w:rsidR="00972E75" w:rsidRPr="00A22E80" w:rsidRDefault="00972E75" w:rsidP="00A22E80">
      <w:pPr>
        <w:widowControl w:val="0"/>
        <w:spacing w:line="260" w:lineRule="exact"/>
        <w:rPr>
          <w:rFonts w:ascii="Verdana" w:hAnsi="Verdana" w:cs="Arial"/>
          <w:sz w:val="18"/>
          <w:szCs w:val="18"/>
          <w:highlight w:val="yellow"/>
        </w:rPr>
      </w:pPr>
    </w:p>
    <w:p w:rsidR="00AA4C7D" w:rsidRPr="00A22E80" w:rsidRDefault="00AA4C7D" w:rsidP="00A22E80">
      <w:pPr>
        <w:widowControl w:val="0"/>
        <w:spacing w:line="260" w:lineRule="exact"/>
        <w:rPr>
          <w:rFonts w:ascii="Verdana" w:hAnsi="Verdana"/>
          <w:sz w:val="18"/>
          <w:szCs w:val="18"/>
        </w:rPr>
      </w:pPr>
      <w:r w:rsidRPr="00A22E80">
        <w:rPr>
          <w:rFonts w:ascii="Verdana" w:hAnsi="Verdana"/>
          <w:sz w:val="18"/>
          <w:szCs w:val="18"/>
        </w:rPr>
        <w:t xml:space="preserve">Bij toekenning van een vergoeding </w:t>
      </w:r>
      <w:r w:rsidR="00C83C35" w:rsidRPr="00A22E80">
        <w:rPr>
          <w:rFonts w:ascii="Verdana" w:hAnsi="Verdana"/>
          <w:sz w:val="18"/>
          <w:szCs w:val="18"/>
        </w:rPr>
        <w:t xml:space="preserve">uit hoofde van het </w:t>
      </w:r>
      <w:proofErr w:type="spellStart"/>
      <w:r w:rsidR="00C83C35" w:rsidRPr="00A22E80">
        <w:rPr>
          <w:rFonts w:ascii="Verdana" w:hAnsi="Verdana"/>
          <w:sz w:val="18"/>
          <w:szCs w:val="18"/>
        </w:rPr>
        <w:t>depositogarantiestelsel</w:t>
      </w:r>
      <w:proofErr w:type="spellEnd"/>
      <w:r w:rsidR="00C83C35" w:rsidRPr="00A22E80">
        <w:rPr>
          <w:rFonts w:ascii="Verdana" w:hAnsi="Verdana"/>
          <w:sz w:val="18"/>
          <w:szCs w:val="18"/>
        </w:rPr>
        <w:t xml:space="preserve"> </w:t>
      </w:r>
      <w:r w:rsidRPr="00A22E80">
        <w:rPr>
          <w:rFonts w:ascii="Verdana" w:hAnsi="Verdana"/>
          <w:sz w:val="18"/>
          <w:szCs w:val="18"/>
        </w:rPr>
        <w:t>aan e</w:t>
      </w:r>
      <w:r w:rsidR="00C83C35" w:rsidRPr="00A22E80">
        <w:rPr>
          <w:rFonts w:ascii="Verdana" w:hAnsi="Verdana"/>
          <w:sz w:val="18"/>
          <w:szCs w:val="18"/>
        </w:rPr>
        <w:t xml:space="preserve">en depositohouder, verkrijgt deze </w:t>
      </w:r>
      <w:r w:rsidRPr="00A22E80">
        <w:rPr>
          <w:rFonts w:ascii="Verdana" w:hAnsi="Verdana"/>
          <w:sz w:val="18"/>
          <w:szCs w:val="18"/>
        </w:rPr>
        <w:t>een aanspraak op het Depositogarantiefonds</w:t>
      </w:r>
      <w:r w:rsidR="003816FB">
        <w:rPr>
          <w:rFonts w:ascii="Verdana" w:hAnsi="Verdana"/>
          <w:sz w:val="18"/>
          <w:szCs w:val="18"/>
        </w:rPr>
        <w:t xml:space="preserve"> in plaats van op </w:t>
      </w:r>
      <w:r w:rsidR="00302EF3">
        <w:rPr>
          <w:rFonts w:ascii="Verdana" w:hAnsi="Verdana"/>
          <w:sz w:val="18"/>
          <w:szCs w:val="18"/>
        </w:rPr>
        <w:t>d</w:t>
      </w:r>
      <w:r w:rsidR="003816FB">
        <w:rPr>
          <w:rFonts w:ascii="Verdana" w:hAnsi="Verdana"/>
          <w:sz w:val="18"/>
          <w:szCs w:val="18"/>
        </w:rPr>
        <w:t xml:space="preserve">e </w:t>
      </w:r>
      <w:proofErr w:type="spellStart"/>
      <w:r w:rsidR="003816FB">
        <w:rPr>
          <w:rFonts w:ascii="Verdana" w:hAnsi="Verdana"/>
          <w:sz w:val="18"/>
          <w:szCs w:val="18"/>
        </w:rPr>
        <w:t>Nederlandsche</w:t>
      </w:r>
      <w:proofErr w:type="spellEnd"/>
      <w:r w:rsidR="003816FB">
        <w:rPr>
          <w:rFonts w:ascii="Verdana" w:hAnsi="Verdana"/>
          <w:sz w:val="18"/>
          <w:szCs w:val="18"/>
        </w:rPr>
        <w:t xml:space="preserve"> Bank</w:t>
      </w:r>
      <w:r w:rsidR="00C83C35" w:rsidRPr="00A22E80">
        <w:rPr>
          <w:rFonts w:ascii="Verdana" w:hAnsi="Verdana"/>
          <w:sz w:val="18"/>
          <w:szCs w:val="18"/>
        </w:rPr>
        <w:t xml:space="preserve">, zoals dat voorheen het geval </w:t>
      </w:r>
      <w:r w:rsidR="007F26E2" w:rsidRPr="00A22E80">
        <w:rPr>
          <w:rFonts w:ascii="Verdana" w:hAnsi="Verdana"/>
          <w:sz w:val="18"/>
          <w:szCs w:val="18"/>
        </w:rPr>
        <w:t xml:space="preserve">was. De voorgestelde aanpassing van </w:t>
      </w:r>
      <w:r w:rsidR="00AC5FE8" w:rsidRPr="00A22E80">
        <w:rPr>
          <w:rFonts w:ascii="Verdana" w:hAnsi="Verdana"/>
          <w:sz w:val="18"/>
          <w:szCs w:val="18"/>
        </w:rPr>
        <w:t xml:space="preserve">artikel 3:261a, tweede lid, </w:t>
      </w:r>
      <w:r w:rsidR="00965D50" w:rsidRPr="00A22E80">
        <w:rPr>
          <w:rFonts w:ascii="Verdana" w:hAnsi="Verdana"/>
          <w:sz w:val="18"/>
          <w:szCs w:val="18"/>
        </w:rPr>
        <w:t xml:space="preserve">van de </w:t>
      </w:r>
      <w:proofErr w:type="spellStart"/>
      <w:r w:rsidR="00965D50" w:rsidRPr="00A22E80">
        <w:rPr>
          <w:rFonts w:ascii="Verdana" w:hAnsi="Verdana"/>
          <w:sz w:val="18"/>
          <w:szCs w:val="18"/>
        </w:rPr>
        <w:t>Wft</w:t>
      </w:r>
      <w:proofErr w:type="spellEnd"/>
      <w:r w:rsidR="00965D50" w:rsidRPr="00A22E80">
        <w:rPr>
          <w:rFonts w:ascii="Verdana" w:hAnsi="Verdana"/>
          <w:sz w:val="18"/>
          <w:szCs w:val="18"/>
        </w:rPr>
        <w:t xml:space="preserve"> </w:t>
      </w:r>
      <w:r w:rsidR="00EE5345" w:rsidRPr="00A22E80">
        <w:rPr>
          <w:rFonts w:ascii="Verdana" w:hAnsi="Verdana"/>
          <w:sz w:val="18"/>
          <w:szCs w:val="18"/>
        </w:rPr>
        <w:t>zorgt ervoor</w:t>
      </w:r>
      <w:r w:rsidRPr="00A22E80">
        <w:rPr>
          <w:rFonts w:ascii="Verdana" w:hAnsi="Verdana"/>
          <w:sz w:val="18"/>
          <w:szCs w:val="18"/>
        </w:rPr>
        <w:t xml:space="preserve"> dat de eventuele samenloop van vorderingen van depositohouders op (de boedel van) </w:t>
      </w:r>
      <w:r w:rsidR="006C0E8E" w:rsidRPr="00A22E80">
        <w:rPr>
          <w:rFonts w:ascii="Verdana" w:hAnsi="Verdana"/>
          <w:sz w:val="18"/>
          <w:szCs w:val="18"/>
        </w:rPr>
        <w:t xml:space="preserve">de betrokken bank </w:t>
      </w:r>
      <w:r w:rsidRPr="00A22E80">
        <w:rPr>
          <w:rFonts w:ascii="Verdana" w:hAnsi="Verdana"/>
          <w:sz w:val="18"/>
          <w:szCs w:val="18"/>
        </w:rPr>
        <w:t xml:space="preserve">met rechten op vergoeding uit hoofde van het </w:t>
      </w:r>
      <w:proofErr w:type="spellStart"/>
      <w:r w:rsidRPr="00A22E80">
        <w:rPr>
          <w:rFonts w:ascii="Verdana" w:hAnsi="Verdana"/>
          <w:sz w:val="18"/>
          <w:szCs w:val="18"/>
        </w:rPr>
        <w:t>depositogarantiestelsel</w:t>
      </w:r>
      <w:proofErr w:type="spellEnd"/>
      <w:r w:rsidR="006C0E8E" w:rsidRPr="00A22E80">
        <w:rPr>
          <w:rFonts w:ascii="Verdana" w:hAnsi="Verdana"/>
          <w:sz w:val="18"/>
          <w:szCs w:val="18"/>
        </w:rPr>
        <w:t>,</w:t>
      </w:r>
      <w:r w:rsidRPr="00A22E80">
        <w:rPr>
          <w:rFonts w:ascii="Verdana" w:hAnsi="Verdana"/>
          <w:sz w:val="18"/>
          <w:szCs w:val="18"/>
        </w:rPr>
        <w:t xml:space="preserve"> er </w:t>
      </w:r>
      <w:r w:rsidR="006C0E8E" w:rsidRPr="00A22E80">
        <w:rPr>
          <w:rFonts w:ascii="Verdana" w:hAnsi="Verdana"/>
          <w:sz w:val="18"/>
          <w:szCs w:val="18"/>
        </w:rPr>
        <w:t xml:space="preserve">niet </w:t>
      </w:r>
      <w:r w:rsidRPr="00A22E80">
        <w:rPr>
          <w:rFonts w:ascii="Verdana" w:hAnsi="Verdana"/>
          <w:sz w:val="18"/>
          <w:szCs w:val="18"/>
        </w:rPr>
        <w:t xml:space="preserve">toe leidt dat </w:t>
      </w:r>
      <w:r w:rsidR="00302EF3">
        <w:rPr>
          <w:rFonts w:ascii="Verdana" w:hAnsi="Verdana"/>
          <w:sz w:val="18"/>
          <w:szCs w:val="18"/>
        </w:rPr>
        <w:t>d</w:t>
      </w:r>
      <w:r w:rsidR="003816FB">
        <w:rPr>
          <w:rFonts w:ascii="Verdana" w:hAnsi="Verdana"/>
          <w:sz w:val="18"/>
          <w:szCs w:val="18"/>
        </w:rPr>
        <w:t xml:space="preserve">e </w:t>
      </w:r>
      <w:proofErr w:type="spellStart"/>
      <w:r w:rsidR="003816FB">
        <w:rPr>
          <w:rFonts w:ascii="Verdana" w:hAnsi="Verdana"/>
          <w:sz w:val="18"/>
          <w:szCs w:val="18"/>
        </w:rPr>
        <w:t>Nederlandsche</w:t>
      </w:r>
      <w:proofErr w:type="spellEnd"/>
      <w:r w:rsidR="003816FB">
        <w:rPr>
          <w:rFonts w:ascii="Verdana" w:hAnsi="Verdana"/>
          <w:sz w:val="18"/>
          <w:szCs w:val="18"/>
        </w:rPr>
        <w:t xml:space="preserve"> Bank</w:t>
      </w:r>
      <w:r w:rsidRPr="00A22E80">
        <w:rPr>
          <w:rFonts w:ascii="Verdana" w:hAnsi="Verdana"/>
          <w:sz w:val="18"/>
          <w:szCs w:val="18"/>
        </w:rPr>
        <w:t xml:space="preserve"> en de boedel of de bank hoofdelijk zijn verbonden. Echter, nu een depositohouder in voorkomend geval een aanspraak op het Depositogarantiefonds en niet op </w:t>
      </w:r>
      <w:r w:rsidR="00302EF3">
        <w:rPr>
          <w:rFonts w:ascii="Verdana" w:hAnsi="Verdana"/>
          <w:sz w:val="18"/>
          <w:szCs w:val="18"/>
        </w:rPr>
        <w:t>d</w:t>
      </w:r>
      <w:r w:rsidR="003816FB">
        <w:rPr>
          <w:rFonts w:ascii="Verdana" w:hAnsi="Verdana"/>
          <w:sz w:val="18"/>
          <w:szCs w:val="18"/>
        </w:rPr>
        <w:t xml:space="preserve">e </w:t>
      </w:r>
      <w:proofErr w:type="spellStart"/>
      <w:r w:rsidR="003816FB">
        <w:rPr>
          <w:rFonts w:ascii="Verdana" w:hAnsi="Verdana"/>
          <w:sz w:val="18"/>
          <w:szCs w:val="18"/>
        </w:rPr>
        <w:t>Nederlandsche</w:t>
      </w:r>
      <w:proofErr w:type="spellEnd"/>
      <w:r w:rsidR="003816FB">
        <w:rPr>
          <w:rFonts w:ascii="Verdana" w:hAnsi="Verdana"/>
          <w:sz w:val="18"/>
          <w:szCs w:val="18"/>
        </w:rPr>
        <w:t xml:space="preserve"> Bank</w:t>
      </w:r>
      <w:r w:rsidRPr="00A22E80">
        <w:rPr>
          <w:rFonts w:ascii="Verdana" w:hAnsi="Verdana"/>
          <w:sz w:val="18"/>
          <w:szCs w:val="18"/>
        </w:rPr>
        <w:t xml:space="preserve"> verkrijgt, dient </w:t>
      </w:r>
      <w:r w:rsidR="006C0E8E" w:rsidRPr="00A22E80">
        <w:rPr>
          <w:rFonts w:ascii="Verdana" w:hAnsi="Verdana"/>
          <w:sz w:val="18"/>
          <w:szCs w:val="18"/>
        </w:rPr>
        <w:t xml:space="preserve">in </w:t>
      </w:r>
      <w:r w:rsidRPr="00A22E80">
        <w:rPr>
          <w:rFonts w:ascii="Verdana" w:hAnsi="Verdana"/>
          <w:sz w:val="18"/>
          <w:szCs w:val="18"/>
        </w:rPr>
        <w:t xml:space="preserve">de bepaling </w:t>
      </w:r>
      <w:r w:rsidR="006C0E8E" w:rsidRPr="00A22E80">
        <w:rPr>
          <w:rFonts w:ascii="Verdana" w:hAnsi="Verdana"/>
          <w:sz w:val="18"/>
          <w:szCs w:val="18"/>
        </w:rPr>
        <w:t xml:space="preserve">het Depositogarantiefonds te worden genoemd in plaats van DNB. </w:t>
      </w:r>
    </w:p>
    <w:p w:rsidR="0035079C" w:rsidRPr="00A22E80" w:rsidRDefault="0035079C" w:rsidP="00A22E80">
      <w:pPr>
        <w:widowControl w:val="0"/>
        <w:tabs>
          <w:tab w:val="num" w:pos="720"/>
        </w:tabs>
        <w:spacing w:line="260" w:lineRule="exact"/>
        <w:rPr>
          <w:rFonts w:ascii="Verdana" w:hAnsi="Verdana" w:cs="Arial"/>
          <w:sz w:val="18"/>
          <w:szCs w:val="18"/>
        </w:rPr>
      </w:pPr>
    </w:p>
    <w:p w:rsidR="0035079C" w:rsidRPr="00A22E80" w:rsidRDefault="00A0141C" w:rsidP="00A22E80">
      <w:pPr>
        <w:widowControl w:val="0"/>
        <w:spacing w:line="260" w:lineRule="exact"/>
        <w:rPr>
          <w:rFonts w:ascii="Verdana" w:hAnsi="Verdana" w:cs="Arial"/>
          <w:sz w:val="18"/>
          <w:szCs w:val="18"/>
        </w:rPr>
      </w:pPr>
      <w:r w:rsidRPr="00A22E80">
        <w:rPr>
          <w:rFonts w:ascii="Verdana" w:hAnsi="Verdana" w:cs="Arial"/>
          <w:sz w:val="18"/>
          <w:szCs w:val="18"/>
        </w:rPr>
        <w:t>Z</w:t>
      </w:r>
    </w:p>
    <w:p w:rsidR="0079598D" w:rsidRPr="00A22E80" w:rsidRDefault="0079598D" w:rsidP="00A22E80">
      <w:pPr>
        <w:widowControl w:val="0"/>
        <w:spacing w:line="260" w:lineRule="exact"/>
        <w:rPr>
          <w:rFonts w:ascii="Verdana" w:hAnsi="Verdana" w:cs="Arial"/>
          <w:sz w:val="18"/>
          <w:szCs w:val="18"/>
          <w:highlight w:val="yellow"/>
        </w:rPr>
      </w:pPr>
    </w:p>
    <w:p w:rsidR="00C05604" w:rsidRPr="00A22E80" w:rsidRDefault="00522B86" w:rsidP="00A22E80">
      <w:pPr>
        <w:widowControl w:val="0"/>
        <w:spacing w:line="260" w:lineRule="exact"/>
        <w:rPr>
          <w:rFonts w:ascii="Verdana" w:hAnsi="Verdana"/>
          <w:sz w:val="18"/>
          <w:szCs w:val="18"/>
        </w:rPr>
      </w:pPr>
      <w:r w:rsidRPr="00A22E80">
        <w:rPr>
          <w:rFonts w:ascii="Verdana" w:hAnsi="Verdana"/>
          <w:sz w:val="18"/>
          <w:szCs w:val="18"/>
        </w:rPr>
        <w:t>V</w:t>
      </w:r>
      <w:r w:rsidR="00C05604" w:rsidRPr="00A22E80">
        <w:rPr>
          <w:rFonts w:ascii="Verdana" w:hAnsi="Verdana"/>
          <w:sz w:val="18"/>
          <w:szCs w:val="18"/>
        </w:rPr>
        <w:t xml:space="preserve">oorgesteld </w:t>
      </w:r>
      <w:r w:rsidRPr="00A22E80">
        <w:rPr>
          <w:rFonts w:ascii="Verdana" w:hAnsi="Verdana"/>
          <w:sz w:val="18"/>
          <w:szCs w:val="18"/>
        </w:rPr>
        <w:t xml:space="preserve">wordt </w:t>
      </w:r>
      <w:r w:rsidR="00C05604" w:rsidRPr="00A22E80">
        <w:rPr>
          <w:rFonts w:ascii="Verdana" w:hAnsi="Verdana"/>
          <w:sz w:val="18"/>
          <w:szCs w:val="18"/>
        </w:rPr>
        <w:t xml:space="preserve">artikel 3:264 </w:t>
      </w:r>
      <w:proofErr w:type="spellStart"/>
      <w:r w:rsidR="00910AE1" w:rsidRPr="00A22E80">
        <w:rPr>
          <w:rFonts w:ascii="Verdana" w:hAnsi="Verdana"/>
          <w:sz w:val="18"/>
          <w:szCs w:val="18"/>
        </w:rPr>
        <w:t>Wft</w:t>
      </w:r>
      <w:proofErr w:type="spellEnd"/>
      <w:r w:rsidR="00910AE1" w:rsidRPr="00A22E80">
        <w:rPr>
          <w:rFonts w:ascii="Verdana" w:hAnsi="Verdana"/>
          <w:sz w:val="18"/>
          <w:szCs w:val="18"/>
        </w:rPr>
        <w:t xml:space="preserve"> </w:t>
      </w:r>
      <w:r w:rsidR="00C05604" w:rsidRPr="00A22E80">
        <w:rPr>
          <w:rFonts w:ascii="Verdana" w:hAnsi="Verdana"/>
          <w:sz w:val="18"/>
          <w:szCs w:val="18"/>
        </w:rPr>
        <w:t>opnieuw vast te stellen. Dit artikel</w:t>
      </w:r>
      <w:r w:rsidR="007D11FD" w:rsidRPr="00A22E80">
        <w:rPr>
          <w:rFonts w:ascii="Verdana" w:hAnsi="Verdana"/>
          <w:sz w:val="18"/>
          <w:szCs w:val="18"/>
        </w:rPr>
        <w:t>, dat thans nog uit twee leden bestaat,</w:t>
      </w:r>
      <w:r w:rsidR="00C05604" w:rsidRPr="00A22E80">
        <w:rPr>
          <w:rFonts w:ascii="Verdana" w:hAnsi="Verdana"/>
          <w:sz w:val="18"/>
          <w:szCs w:val="18"/>
        </w:rPr>
        <w:t xml:space="preserve"> geeft uitvoering aan artikel 16, vijfde lid, van de richtlijn </w:t>
      </w:r>
      <w:proofErr w:type="spellStart"/>
      <w:r w:rsidR="00C05604" w:rsidRPr="00A22E80">
        <w:rPr>
          <w:rFonts w:ascii="Verdana" w:hAnsi="Verdana"/>
          <w:sz w:val="18"/>
          <w:szCs w:val="18"/>
        </w:rPr>
        <w:t>depositogarantiestelsels</w:t>
      </w:r>
      <w:proofErr w:type="spellEnd"/>
      <w:r w:rsidR="00C05604" w:rsidRPr="00A22E80">
        <w:rPr>
          <w:rFonts w:ascii="Verdana" w:hAnsi="Verdana"/>
          <w:sz w:val="18"/>
          <w:szCs w:val="18"/>
        </w:rPr>
        <w:t xml:space="preserve">, alsmede aan artikel 10, derde lid, van de richtlijn </w:t>
      </w:r>
      <w:proofErr w:type="spellStart"/>
      <w:r w:rsidR="00C05604" w:rsidRPr="00A22E80">
        <w:rPr>
          <w:rFonts w:ascii="Verdana" w:hAnsi="Verdana"/>
          <w:sz w:val="18"/>
          <w:szCs w:val="18"/>
        </w:rPr>
        <w:t>beleggerscompensatiestelsels</w:t>
      </w:r>
      <w:proofErr w:type="spellEnd"/>
      <w:r w:rsidR="00C05604" w:rsidRPr="00A22E80">
        <w:rPr>
          <w:rFonts w:ascii="Verdana" w:hAnsi="Verdana"/>
          <w:sz w:val="18"/>
          <w:szCs w:val="18"/>
        </w:rPr>
        <w:t xml:space="preserve">. </w:t>
      </w:r>
      <w:r w:rsidR="00DE1E69" w:rsidRPr="00A22E80">
        <w:rPr>
          <w:rFonts w:ascii="Verdana" w:hAnsi="Verdana"/>
          <w:sz w:val="18"/>
          <w:szCs w:val="18"/>
        </w:rPr>
        <w:t xml:space="preserve">De huidige redactie van het artikel wekt ten onrechte de suggestie dat het in het eerste lid vervatte verbod </w:t>
      </w:r>
      <w:r w:rsidR="003E33CF">
        <w:rPr>
          <w:rFonts w:ascii="Verdana" w:hAnsi="Verdana"/>
          <w:sz w:val="18"/>
          <w:szCs w:val="18"/>
        </w:rPr>
        <w:t xml:space="preserve">om </w:t>
      </w:r>
      <w:r w:rsidR="00DE1E69" w:rsidRPr="00A22E80">
        <w:rPr>
          <w:rFonts w:ascii="Verdana" w:hAnsi="Verdana"/>
          <w:sz w:val="18"/>
          <w:szCs w:val="18"/>
        </w:rPr>
        <w:t>informatie over een vangnetregeling voor reclamedoeleinden te gebruiken op grond van het tweede lid</w:t>
      </w:r>
      <w:r w:rsidR="003E33CF">
        <w:rPr>
          <w:rFonts w:ascii="Verdana" w:hAnsi="Verdana"/>
          <w:sz w:val="18"/>
          <w:szCs w:val="18"/>
        </w:rPr>
        <w:t>,</w:t>
      </w:r>
      <w:r w:rsidR="00DE1E69" w:rsidRPr="00A22E80">
        <w:rPr>
          <w:rFonts w:ascii="Verdana" w:hAnsi="Verdana"/>
          <w:sz w:val="18"/>
          <w:szCs w:val="18"/>
        </w:rPr>
        <w:t xml:space="preserve"> niet van toepassing is op financiële ondernemingen die in een reclame-uiting vermelden dat een vangnetregeling van toepassing is. Bedoeld is evenwel het gebruik van het informatie over de toepasselijke vangnetregeling door financiële ondernemingen te beperken. </w:t>
      </w:r>
      <w:r w:rsidR="00553AC1" w:rsidRPr="00A22E80">
        <w:rPr>
          <w:rFonts w:ascii="Verdana" w:hAnsi="Verdana"/>
          <w:sz w:val="18"/>
          <w:szCs w:val="18"/>
        </w:rPr>
        <w:t xml:space="preserve">Uit de richtlijnbepalingen </w:t>
      </w:r>
      <w:r w:rsidR="00C05604" w:rsidRPr="00A22E80">
        <w:rPr>
          <w:rFonts w:ascii="Verdana" w:hAnsi="Verdana"/>
          <w:sz w:val="18"/>
          <w:szCs w:val="18"/>
        </w:rPr>
        <w:t xml:space="preserve">volgt dat het gebruik van informatie over een vangnetregeling voor reclamedoeleinden beperkt moet worden tot het louter vermelden van de </w:t>
      </w:r>
      <w:r w:rsidR="00FC351F" w:rsidRPr="00A22E80">
        <w:rPr>
          <w:rFonts w:ascii="Verdana" w:hAnsi="Verdana"/>
          <w:sz w:val="18"/>
          <w:szCs w:val="18"/>
        </w:rPr>
        <w:t xml:space="preserve">toepasselijkheid van de </w:t>
      </w:r>
      <w:r w:rsidR="00C05604" w:rsidRPr="00A22E80">
        <w:rPr>
          <w:rFonts w:ascii="Verdana" w:hAnsi="Verdana"/>
          <w:sz w:val="18"/>
          <w:szCs w:val="18"/>
        </w:rPr>
        <w:t xml:space="preserve">vangnetregeling die een garantie </w:t>
      </w:r>
      <w:r w:rsidR="00C05604" w:rsidRPr="00A22E80">
        <w:rPr>
          <w:rFonts w:ascii="Verdana" w:hAnsi="Verdana"/>
          <w:sz w:val="18"/>
          <w:szCs w:val="18"/>
        </w:rPr>
        <w:lastRenderedPageBreak/>
        <w:t xml:space="preserve">biedt voor het product waarop de reclame betrekking heeft. De informatie mag wel worden uitgebreid tot een feitelijke beschrijving van de werking van de vangnetregeling, maar mag </w:t>
      </w:r>
      <w:r w:rsidR="00EE5345" w:rsidRPr="00A22E80">
        <w:rPr>
          <w:rFonts w:ascii="Verdana" w:hAnsi="Verdana"/>
          <w:sz w:val="18"/>
          <w:szCs w:val="18"/>
        </w:rPr>
        <w:t>geen onjuiste informatie bevatten, bijvoorbeeld</w:t>
      </w:r>
      <w:r w:rsidR="00C05604" w:rsidRPr="00A22E80">
        <w:rPr>
          <w:rFonts w:ascii="Verdana" w:hAnsi="Verdana"/>
          <w:sz w:val="18"/>
          <w:szCs w:val="18"/>
        </w:rPr>
        <w:t xml:space="preserve"> dat de desbetreffende financiële producten een ongelimiteerde garantie genieten.</w:t>
      </w:r>
      <w:r w:rsidR="00FC351F" w:rsidRPr="00A22E80">
        <w:rPr>
          <w:rFonts w:ascii="Verdana" w:hAnsi="Verdana"/>
          <w:sz w:val="18"/>
          <w:szCs w:val="18"/>
        </w:rPr>
        <w:t xml:space="preserve"> Dit laatste volgt reeds uit artikel 4:19, tweede lid, </w:t>
      </w:r>
      <w:proofErr w:type="spellStart"/>
      <w:r w:rsidR="00FC351F" w:rsidRPr="00A22E80">
        <w:rPr>
          <w:rFonts w:ascii="Verdana" w:hAnsi="Verdana"/>
          <w:sz w:val="18"/>
          <w:szCs w:val="18"/>
        </w:rPr>
        <w:t>Wft</w:t>
      </w:r>
      <w:proofErr w:type="spellEnd"/>
      <w:r w:rsidR="00FC351F" w:rsidRPr="00A22E80">
        <w:rPr>
          <w:rFonts w:ascii="Verdana" w:hAnsi="Verdana"/>
          <w:sz w:val="18"/>
          <w:szCs w:val="18"/>
        </w:rPr>
        <w:t>.</w:t>
      </w:r>
    </w:p>
    <w:p w:rsidR="0035079C" w:rsidRPr="00A22E80" w:rsidRDefault="0035079C" w:rsidP="00A22E80">
      <w:pPr>
        <w:widowControl w:val="0"/>
        <w:tabs>
          <w:tab w:val="num" w:pos="720"/>
        </w:tabs>
        <w:spacing w:line="260" w:lineRule="exact"/>
        <w:rPr>
          <w:rFonts w:ascii="Verdana" w:hAnsi="Verdana" w:cs="Arial"/>
          <w:sz w:val="18"/>
          <w:szCs w:val="18"/>
        </w:rPr>
      </w:pPr>
    </w:p>
    <w:p w:rsidR="00C122F6" w:rsidRPr="00A22E80" w:rsidRDefault="00496041" w:rsidP="00A22E80">
      <w:pPr>
        <w:widowControl w:val="0"/>
        <w:spacing w:line="260" w:lineRule="exact"/>
        <w:rPr>
          <w:rFonts w:ascii="Verdana" w:hAnsi="Verdana" w:cs="Arial"/>
          <w:sz w:val="18"/>
          <w:szCs w:val="18"/>
        </w:rPr>
      </w:pPr>
      <w:r w:rsidRPr="00A22E80">
        <w:rPr>
          <w:rFonts w:ascii="Verdana" w:hAnsi="Verdana" w:cs="Arial"/>
          <w:sz w:val="18"/>
          <w:szCs w:val="18"/>
        </w:rPr>
        <w:t>AA</w:t>
      </w:r>
    </w:p>
    <w:p w:rsidR="00AE41A0" w:rsidRPr="00A22E80" w:rsidRDefault="00AE41A0" w:rsidP="00A22E80">
      <w:pPr>
        <w:widowControl w:val="0"/>
        <w:spacing w:line="260" w:lineRule="exact"/>
        <w:rPr>
          <w:rFonts w:ascii="Verdana" w:hAnsi="Verdana" w:cs="Arial"/>
          <w:sz w:val="18"/>
          <w:szCs w:val="18"/>
        </w:rPr>
      </w:pPr>
    </w:p>
    <w:p w:rsidR="0093356F" w:rsidRPr="00A22E80" w:rsidRDefault="0093356F" w:rsidP="00A22E80">
      <w:pPr>
        <w:widowControl w:val="0"/>
        <w:spacing w:line="260" w:lineRule="exact"/>
        <w:rPr>
          <w:rFonts w:ascii="Verdana" w:hAnsi="Verdana"/>
          <w:sz w:val="18"/>
          <w:szCs w:val="18"/>
        </w:rPr>
      </w:pPr>
      <w:r w:rsidRPr="00A22E80">
        <w:rPr>
          <w:rFonts w:ascii="Verdana" w:hAnsi="Verdana"/>
          <w:sz w:val="18"/>
          <w:szCs w:val="18"/>
        </w:rPr>
        <w:t xml:space="preserve">Dit wijzigingsonderdeel houdt verband met de implementatie van de richtlijn </w:t>
      </w:r>
      <w:proofErr w:type="spellStart"/>
      <w:r w:rsidRPr="00A22E80">
        <w:rPr>
          <w:rFonts w:ascii="Verdana" w:hAnsi="Verdana"/>
          <w:sz w:val="18"/>
          <w:szCs w:val="18"/>
        </w:rPr>
        <w:t>depositogarantiestelsels</w:t>
      </w:r>
      <w:proofErr w:type="spellEnd"/>
      <w:r w:rsidRPr="00A22E80">
        <w:rPr>
          <w:rFonts w:ascii="Verdana" w:hAnsi="Verdana"/>
          <w:sz w:val="18"/>
          <w:szCs w:val="18"/>
        </w:rPr>
        <w:t xml:space="preserve">. </w:t>
      </w:r>
      <w:r w:rsidR="00CE58AC" w:rsidRPr="00A22E80">
        <w:rPr>
          <w:rFonts w:ascii="Verdana" w:hAnsi="Verdana"/>
          <w:sz w:val="18"/>
          <w:szCs w:val="18"/>
        </w:rPr>
        <w:t xml:space="preserve">Voorgesteld wordt artikel 3:265 </w:t>
      </w:r>
      <w:proofErr w:type="spellStart"/>
      <w:r w:rsidR="008B6636">
        <w:rPr>
          <w:rFonts w:ascii="Verdana" w:hAnsi="Verdana"/>
          <w:sz w:val="18"/>
          <w:szCs w:val="18"/>
        </w:rPr>
        <w:t>Wft</w:t>
      </w:r>
      <w:proofErr w:type="spellEnd"/>
      <w:r w:rsidR="008B6636">
        <w:rPr>
          <w:rFonts w:ascii="Verdana" w:hAnsi="Verdana"/>
          <w:sz w:val="18"/>
          <w:szCs w:val="18"/>
        </w:rPr>
        <w:t xml:space="preserve"> </w:t>
      </w:r>
      <w:r w:rsidR="00CE58AC" w:rsidRPr="00A22E80">
        <w:rPr>
          <w:rFonts w:ascii="Verdana" w:hAnsi="Verdana"/>
          <w:sz w:val="18"/>
          <w:szCs w:val="18"/>
        </w:rPr>
        <w:t xml:space="preserve">te laten vervallen. Het eerste lid regelt de verplichting de vorderingen waarin DNB treedt op grond van </w:t>
      </w:r>
      <w:r w:rsidR="001767A8" w:rsidRPr="00A22E80">
        <w:rPr>
          <w:rFonts w:ascii="Verdana" w:hAnsi="Verdana"/>
          <w:sz w:val="18"/>
          <w:szCs w:val="18"/>
        </w:rPr>
        <w:t>artikel 3:261</w:t>
      </w:r>
      <w:r w:rsidR="00EB4D8F" w:rsidRPr="00A22E80">
        <w:rPr>
          <w:rFonts w:ascii="Verdana" w:hAnsi="Verdana"/>
          <w:sz w:val="18"/>
          <w:szCs w:val="18"/>
        </w:rPr>
        <w:t xml:space="preserve"> (welk artikel door het onderhavige wetsvoorstel wordt gewijzigd)</w:t>
      </w:r>
      <w:r w:rsidR="001767A8" w:rsidRPr="00A22E80">
        <w:rPr>
          <w:rFonts w:ascii="Verdana" w:hAnsi="Verdana"/>
          <w:sz w:val="18"/>
          <w:szCs w:val="18"/>
        </w:rPr>
        <w:t xml:space="preserve"> te verhalen op de betalingsonmachtige financiële onderneming. Deze bepaling kan worden gemist nu deze verplichting </w:t>
      </w:r>
      <w:r w:rsidR="004807AE" w:rsidRPr="00A22E80">
        <w:rPr>
          <w:rFonts w:ascii="Verdana" w:hAnsi="Verdana"/>
          <w:sz w:val="18"/>
          <w:szCs w:val="18"/>
        </w:rPr>
        <w:t xml:space="preserve">met betrekking tot de uitvoering van het </w:t>
      </w:r>
      <w:proofErr w:type="spellStart"/>
      <w:r w:rsidR="004807AE" w:rsidRPr="00A22E80">
        <w:rPr>
          <w:rFonts w:ascii="Verdana" w:hAnsi="Verdana"/>
          <w:sz w:val="18"/>
          <w:szCs w:val="18"/>
        </w:rPr>
        <w:t>beleggerscompensatiestelsel</w:t>
      </w:r>
      <w:proofErr w:type="spellEnd"/>
      <w:r w:rsidR="004807AE" w:rsidRPr="00A22E80">
        <w:rPr>
          <w:rFonts w:ascii="Verdana" w:hAnsi="Verdana"/>
          <w:sz w:val="18"/>
          <w:szCs w:val="18"/>
        </w:rPr>
        <w:t xml:space="preserve"> </w:t>
      </w:r>
      <w:r w:rsidR="001767A8" w:rsidRPr="00A22E80">
        <w:rPr>
          <w:rFonts w:ascii="Verdana" w:hAnsi="Verdana"/>
          <w:sz w:val="18"/>
          <w:szCs w:val="18"/>
        </w:rPr>
        <w:t xml:space="preserve">reeds volgt uit </w:t>
      </w:r>
      <w:r w:rsidR="004807AE" w:rsidRPr="00A22E80">
        <w:rPr>
          <w:rFonts w:ascii="Verdana" w:hAnsi="Verdana"/>
          <w:sz w:val="18"/>
          <w:szCs w:val="18"/>
        </w:rPr>
        <w:t xml:space="preserve">artikel 29, eerste lid, </w:t>
      </w:r>
      <w:proofErr w:type="spellStart"/>
      <w:r w:rsidR="004807AE" w:rsidRPr="00A22E80">
        <w:rPr>
          <w:rFonts w:ascii="Verdana" w:hAnsi="Verdana"/>
          <w:sz w:val="18"/>
          <w:szCs w:val="18"/>
        </w:rPr>
        <w:t>Bbpm</w:t>
      </w:r>
      <w:proofErr w:type="spellEnd"/>
      <w:r w:rsidR="004807AE" w:rsidRPr="00A22E80">
        <w:rPr>
          <w:rFonts w:ascii="Verdana" w:hAnsi="Verdana"/>
          <w:sz w:val="18"/>
          <w:szCs w:val="18"/>
        </w:rPr>
        <w:t xml:space="preserve">. Voor het </w:t>
      </w:r>
      <w:proofErr w:type="spellStart"/>
      <w:r w:rsidR="004807AE" w:rsidRPr="00A22E80">
        <w:rPr>
          <w:rFonts w:ascii="Verdana" w:hAnsi="Verdana"/>
          <w:sz w:val="18"/>
          <w:szCs w:val="18"/>
        </w:rPr>
        <w:t>depositogarantiestelsel</w:t>
      </w:r>
      <w:proofErr w:type="spellEnd"/>
      <w:r w:rsidR="004807AE" w:rsidRPr="00A22E80">
        <w:rPr>
          <w:rFonts w:ascii="Verdana" w:hAnsi="Verdana"/>
          <w:sz w:val="18"/>
          <w:szCs w:val="18"/>
        </w:rPr>
        <w:t xml:space="preserve"> zal artikel 29.15 </w:t>
      </w:r>
      <w:proofErr w:type="spellStart"/>
      <w:r w:rsidR="004807AE" w:rsidRPr="00A22E80">
        <w:rPr>
          <w:rFonts w:ascii="Verdana" w:hAnsi="Verdana"/>
          <w:sz w:val="18"/>
          <w:szCs w:val="18"/>
        </w:rPr>
        <w:t>Bbpm</w:t>
      </w:r>
      <w:proofErr w:type="spellEnd"/>
      <w:r w:rsidR="004807AE" w:rsidRPr="00A22E80">
        <w:rPr>
          <w:rFonts w:ascii="Verdana" w:hAnsi="Verdana"/>
          <w:sz w:val="18"/>
          <w:szCs w:val="18"/>
        </w:rPr>
        <w:t xml:space="preserve"> worden aangepast om dezelfde verplichting voor het Depositogarantiefonds daarin op gelijksoortige wijze tot uitdrukking te brengen. </w:t>
      </w:r>
    </w:p>
    <w:p w:rsidR="0093356F" w:rsidRPr="00A22E80" w:rsidRDefault="0093356F" w:rsidP="00A22E80">
      <w:pPr>
        <w:widowControl w:val="0"/>
        <w:spacing w:line="260" w:lineRule="exact"/>
        <w:rPr>
          <w:rFonts w:ascii="Verdana" w:hAnsi="Verdana"/>
          <w:sz w:val="18"/>
          <w:szCs w:val="18"/>
        </w:rPr>
      </w:pPr>
    </w:p>
    <w:p w:rsidR="00871DB8" w:rsidRPr="00A22E80" w:rsidRDefault="001767A8" w:rsidP="00A22E80">
      <w:pPr>
        <w:widowControl w:val="0"/>
        <w:spacing w:line="260" w:lineRule="exact"/>
        <w:rPr>
          <w:rFonts w:ascii="Verdana" w:hAnsi="Verdana"/>
          <w:sz w:val="18"/>
          <w:szCs w:val="18"/>
        </w:rPr>
      </w:pPr>
      <w:r w:rsidRPr="00A22E80">
        <w:rPr>
          <w:rFonts w:ascii="Verdana" w:hAnsi="Verdana"/>
          <w:sz w:val="18"/>
          <w:szCs w:val="18"/>
        </w:rPr>
        <w:t xml:space="preserve">Het tweede lid bepaalt dat DNB het resterende batig saldo van een vangnetregeling met inachtneming van het ingevolge het Besluit bijzondere </w:t>
      </w:r>
      <w:proofErr w:type="spellStart"/>
      <w:r w:rsidRPr="00A22E80">
        <w:rPr>
          <w:rFonts w:ascii="Verdana" w:hAnsi="Verdana"/>
          <w:sz w:val="18"/>
          <w:szCs w:val="18"/>
        </w:rPr>
        <w:t>prudentiële</w:t>
      </w:r>
      <w:proofErr w:type="spellEnd"/>
      <w:r w:rsidRPr="00A22E80">
        <w:rPr>
          <w:rFonts w:ascii="Verdana" w:hAnsi="Verdana"/>
          <w:sz w:val="18"/>
          <w:szCs w:val="18"/>
        </w:rPr>
        <w:t xml:space="preserve"> maatregelen, </w:t>
      </w:r>
      <w:proofErr w:type="spellStart"/>
      <w:r w:rsidRPr="00A22E80">
        <w:rPr>
          <w:rFonts w:ascii="Verdana" w:hAnsi="Verdana"/>
          <w:sz w:val="18"/>
          <w:szCs w:val="18"/>
        </w:rPr>
        <w:t>beleggerscompensatie</w:t>
      </w:r>
      <w:proofErr w:type="spellEnd"/>
      <w:r w:rsidRPr="00A22E80">
        <w:rPr>
          <w:rFonts w:ascii="Verdana" w:hAnsi="Verdana"/>
          <w:sz w:val="18"/>
          <w:szCs w:val="18"/>
        </w:rPr>
        <w:t xml:space="preserve"> en depositogarantie </w:t>
      </w:r>
      <w:proofErr w:type="spellStart"/>
      <w:r w:rsidRPr="00A22E80">
        <w:rPr>
          <w:rFonts w:ascii="Verdana" w:hAnsi="Verdana"/>
          <w:sz w:val="18"/>
          <w:szCs w:val="18"/>
        </w:rPr>
        <w:t>Wft</w:t>
      </w:r>
      <w:proofErr w:type="spellEnd"/>
      <w:r w:rsidRPr="00A22E80">
        <w:rPr>
          <w:rFonts w:ascii="Verdana" w:hAnsi="Verdana"/>
          <w:sz w:val="18"/>
          <w:szCs w:val="18"/>
        </w:rPr>
        <w:t xml:space="preserve"> (</w:t>
      </w:r>
      <w:proofErr w:type="spellStart"/>
      <w:r w:rsidRPr="00A22E80">
        <w:rPr>
          <w:rFonts w:ascii="Verdana" w:hAnsi="Verdana"/>
          <w:sz w:val="18"/>
          <w:szCs w:val="18"/>
        </w:rPr>
        <w:t>Bbpm</w:t>
      </w:r>
      <w:proofErr w:type="spellEnd"/>
      <w:r w:rsidRPr="00A22E80">
        <w:rPr>
          <w:rFonts w:ascii="Verdana" w:hAnsi="Verdana"/>
          <w:sz w:val="18"/>
          <w:szCs w:val="18"/>
        </w:rPr>
        <w:t xml:space="preserve">) bepaalde, ter beschikking stelt aan de financiële ondernemingen die een bijdrage als bedoeld in artikel 3:262 </w:t>
      </w:r>
      <w:proofErr w:type="spellStart"/>
      <w:r w:rsidR="00965D50" w:rsidRPr="00A22E80">
        <w:rPr>
          <w:rFonts w:ascii="Verdana" w:hAnsi="Verdana"/>
          <w:sz w:val="18"/>
          <w:szCs w:val="18"/>
        </w:rPr>
        <w:t>Wft</w:t>
      </w:r>
      <w:proofErr w:type="spellEnd"/>
      <w:r w:rsidR="00965D50" w:rsidRPr="00A22E80">
        <w:rPr>
          <w:rFonts w:ascii="Verdana" w:hAnsi="Verdana"/>
          <w:sz w:val="18"/>
          <w:szCs w:val="18"/>
        </w:rPr>
        <w:t xml:space="preserve"> </w:t>
      </w:r>
      <w:r w:rsidRPr="00A22E80">
        <w:rPr>
          <w:rFonts w:ascii="Verdana" w:hAnsi="Verdana"/>
          <w:sz w:val="18"/>
          <w:szCs w:val="18"/>
        </w:rPr>
        <w:t xml:space="preserve">hebben gedaan. </w:t>
      </w:r>
      <w:r w:rsidR="00CC3224" w:rsidRPr="00A22E80">
        <w:rPr>
          <w:rFonts w:ascii="Verdana" w:hAnsi="Verdana"/>
          <w:sz w:val="18"/>
          <w:szCs w:val="18"/>
        </w:rPr>
        <w:t xml:space="preserve">Voorgesteld wordt dit in het geheel in het </w:t>
      </w:r>
      <w:proofErr w:type="spellStart"/>
      <w:r w:rsidR="00CC3224" w:rsidRPr="00A22E80">
        <w:rPr>
          <w:rFonts w:ascii="Verdana" w:hAnsi="Verdana"/>
          <w:sz w:val="18"/>
          <w:szCs w:val="18"/>
        </w:rPr>
        <w:t>Bbpm</w:t>
      </w:r>
      <w:proofErr w:type="spellEnd"/>
      <w:r w:rsidR="00CC3224" w:rsidRPr="00A22E80">
        <w:rPr>
          <w:rFonts w:ascii="Verdana" w:hAnsi="Verdana"/>
          <w:sz w:val="18"/>
          <w:szCs w:val="18"/>
        </w:rPr>
        <w:t xml:space="preserve"> te regelen. Met betrekking tot het </w:t>
      </w:r>
      <w:proofErr w:type="spellStart"/>
      <w:r w:rsidR="00CC3224" w:rsidRPr="00A22E80">
        <w:rPr>
          <w:rFonts w:ascii="Verdana" w:hAnsi="Verdana"/>
          <w:sz w:val="18"/>
          <w:szCs w:val="18"/>
        </w:rPr>
        <w:t>beleggerscompensatiestelsel</w:t>
      </w:r>
      <w:proofErr w:type="spellEnd"/>
      <w:r w:rsidR="00CC3224" w:rsidRPr="00A22E80">
        <w:rPr>
          <w:rFonts w:ascii="Verdana" w:hAnsi="Verdana"/>
          <w:sz w:val="18"/>
          <w:szCs w:val="18"/>
        </w:rPr>
        <w:t xml:space="preserve"> is een en ander </w:t>
      </w:r>
      <w:r w:rsidR="00965D50" w:rsidRPr="00A22E80">
        <w:rPr>
          <w:rFonts w:ascii="Verdana" w:hAnsi="Verdana"/>
          <w:sz w:val="18"/>
          <w:szCs w:val="18"/>
        </w:rPr>
        <w:t xml:space="preserve">reeds </w:t>
      </w:r>
      <w:r w:rsidR="00CC3224" w:rsidRPr="00A22E80">
        <w:rPr>
          <w:rFonts w:ascii="Verdana" w:hAnsi="Verdana"/>
          <w:sz w:val="18"/>
          <w:szCs w:val="18"/>
        </w:rPr>
        <w:t xml:space="preserve">geregeld in artikel 29, tweede lid, </w:t>
      </w:r>
      <w:proofErr w:type="spellStart"/>
      <w:r w:rsidR="00CC3224" w:rsidRPr="00A22E80">
        <w:rPr>
          <w:rFonts w:ascii="Verdana" w:hAnsi="Verdana"/>
          <w:sz w:val="18"/>
          <w:szCs w:val="18"/>
        </w:rPr>
        <w:t>Bbpm</w:t>
      </w:r>
      <w:proofErr w:type="spellEnd"/>
      <w:r w:rsidR="00CC3224" w:rsidRPr="00A22E80">
        <w:rPr>
          <w:rFonts w:ascii="Verdana" w:hAnsi="Verdana"/>
          <w:sz w:val="18"/>
          <w:szCs w:val="18"/>
        </w:rPr>
        <w:t xml:space="preserve">. Met betrekking tot het </w:t>
      </w:r>
      <w:proofErr w:type="spellStart"/>
      <w:r w:rsidR="00CC3224" w:rsidRPr="00A22E80">
        <w:rPr>
          <w:rFonts w:ascii="Verdana" w:hAnsi="Verdana"/>
          <w:sz w:val="18"/>
          <w:szCs w:val="18"/>
        </w:rPr>
        <w:t>depositogarantiestelsel</w:t>
      </w:r>
      <w:proofErr w:type="spellEnd"/>
      <w:r w:rsidR="00CC3224" w:rsidRPr="00A22E80">
        <w:rPr>
          <w:rFonts w:ascii="Verdana" w:hAnsi="Verdana"/>
          <w:sz w:val="18"/>
          <w:szCs w:val="18"/>
        </w:rPr>
        <w:t xml:space="preserve"> zal </w:t>
      </w:r>
      <w:r w:rsidR="00965D50" w:rsidRPr="00A22E80">
        <w:rPr>
          <w:rFonts w:ascii="Verdana" w:hAnsi="Verdana"/>
          <w:sz w:val="18"/>
          <w:szCs w:val="18"/>
        </w:rPr>
        <w:t xml:space="preserve">daartoe </w:t>
      </w:r>
      <w:r w:rsidR="00CC3224" w:rsidRPr="00A22E80">
        <w:rPr>
          <w:rFonts w:ascii="Verdana" w:hAnsi="Verdana"/>
          <w:sz w:val="18"/>
          <w:szCs w:val="18"/>
        </w:rPr>
        <w:t xml:space="preserve">artikel 29.15 </w:t>
      </w:r>
      <w:proofErr w:type="spellStart"/>
      <w:r w:rsidR="00CC3224" w:rsidRPr="00A22E80">
        <w:rPr>
          <w:rFonts w:ascii="Verdana" w:hAnsi="Verdana"/>
          <w:sz w:val="18"/>
          <w:szCs w:val="18"/>
        </w:rPr>
        <w:t>Bbpm</w:t>
      </w:r>
      <w:proofErr w:type="spellEnd"/>
      <w:r w:rsidR="00CC3224" w:rsidRPr="00A22E80">
        <w:rPr>
          <w:rFonts w:ascii="Verdana" w:hAnsi="Verdana"/>
          <w:sz w:val="18"/>
          <w:szCs w:val="18"/>
        </w:rPr>
        <w:t xml:space="preserve"> worden gewijzigd, </w:t>
      </w:r>
      <w:r w:rsidR="0093356F" w:rsidRPr="00A22E80">
        <w:rPr>
          <w:rFonts w:ascii="Verdana" w:hAnsi="Verdana"/>
          <w:sz w:val="18"/>
          <w:szCs w:val="18"/>
        </w:rPr>
        <w:t>zodat daaruit volgt</w:t>
      </w:r>
      <w:r w:rsidR="00CC3224" w:rsidRPr="00A22E80">
        <w:rPr>
          <w:rFonts w:ascii="Verdana" w:hAnsi="Verdana"/>
          <w:sz w:val="18"/>
          <w:szCs w:val="18"/>
        </w:rPr>
        <w:t xml:space="preserve"> waar de baten die worden verkregen door het verhaal op (de boedel van) de betalingsonmachtige bank dienen neer te slaan.</w:t>
      </w:r>
    </w:p>
    <w:p w:rsidR="00C122F6" w:rsidRPr="00A22E80" w:rsidRDefault="00C122F6" w:rsidP="00A22E80">
      <w:pPr>
        <w:widowControl w:val="0"/>
        <w:tabs>
          <w:tab w:val="num" w:pos="720"/>
        </w:tabs>
        <w:spacing w:line="260" w:lineRule="exact"/>
        <w:rPr>
          <w:rFonts w:ascii="Verdana" w:hAnsi="Verdana" w:cs="Arial"/>
          <w:sz w:val="18"/>
          <w:szCs w:val="18"/>
        </w:rPr>
      </w:pPr>
    </w:p>
    <w:p w:rsidR="00FD1898" w:rsidRPr="00A22E80" w:rsidRDefault="0096562C" w:rsidP="00A22E80">
      <w:pPr>
        <w:widowControl w:val="0"/>
        <w:spacing w:line="260" w:lineRule="exact"/>
        <w:rPr>
          <w:rFonts w:ascii="Verdana" w:hAnsi="Verdana" w:cs="Arial"/>
          <w:sz w:val="18"/>
          <w:szCs w:val="18"/>
        </w:rPr>
      </w:pPr>
      <w:r w:rsidRPr="00A22E80">
        <w:rPr>
          <w:rFonts w:ascii="Verdana" w:hAnsi="Verdana" w:cs="Arial"/>
          <w:sz w:val="18"/>
          <w:szCs w:val="18"/>
        </w:rPr>
        <w:t>BB</w:t>
      </w:r>
    </w:p>
    <w:p w:rsidR="003E7F8B" w:rsidRPr="00A22E80" w:rsidRDefault="003E7F8B" w:rsidP="00A22E80">
      <w:pPr>
        <w:widowControl w:val="0"/>
        <w:spacing w:line="260" w:lineRule="exact"/>
        <w:rPr>
          <w:rFonts w:ascii="Verdana" w:hAnsi="Verdana" w:cs="Arial"/>
          <w:sz w:val="18"/>
          <w:szCs w:val="18"/>
        </w:rPr>
      </w:pPr>
    </w:p>
    <w:p w:rsidR="00BD65E2" w:rsidRPr="00A22E80" w:rsidRDefault="002146D2" w:rsidP="00A22E80">
      <w:pPr>
        <w:widowControl w:val="0"/>
        <w:spacing w:line="260" w:lineRule="exact"/>
        <w:rPr>
          <w:rFonts w:ascii="Verdana" w:hAnsi="Verdana"/>
          <w:sz w:val="18"/>
          <w:szCs w:val="18"/>
        </w:rPr>
      </w:pPr>
      <w:r w:rsidRPr="00A22E80">
        <w:rPr>
          <w:rFonts w:ascii="Verdana" w:hAnsi="Verdana"/>
          <w:sz w:val="18"/>
          <w:szCs w:val="18"/>
        </w:rPr>
        <w:t xml:space="preserve">Dit onderdeel </w:t>
      </w:r>
      <w:r w:rsidR="00D0723B" w:rsidRPr="00A22E80">
        <w:rPr>
          <w:rFonts w:ascii="Verdana" w:hAnsi="Verdana"/>
          <w:sz w:val="18"/>
          <w:szCs w:val="18"/>
        </w:rPr>
        <w:t xml:space="preserve">bevat een </w:t>
      </w:r>
      <w:r w:rsidR="00BD65E2" w:rsidRPr="00A22E80">
        <w:rPr>
          <w:rFonts w:ascii="Verdana" w:hAnsi="Verdana"/>
          <w:sz w:val="18"/>
          <w:szCs w:val="18"/>
        </w:rPr>
        <w:t xml:space="preserve">aantal </w:t>
      </w:r>
      <w:r w:rsidR="00D0723B" w:rsidRPr="00A22E80">
        <w:rPr>
          <w:rFonts w:ascii="Verdana" w:hAnsi="Verdana"/>
          <w:sz w:val="18"/>
          <w:szCs w:val="18"/>
        </w:rPr>
        <w:t>wijziging</w:t>
      </w:r>
      <w:r w:rsidR="00BD65E2" w:rsidRPr="00A22E80">
        <w:rPr>
          <w:rFonts w:ascii="Verdana" w:hAnsi="Verdana"/>
          <w:sz w:val="18"/>
          <w:szCs w:val="18"/>
        </w:rPr>
        <w:t>en</w:t>
      </w:r>
      <w:r w:rsidR="00D0723B" w:rsidRPr="00A22E80">
        <w:rPr>
          <w:rFonts w:ascii="Verdana" w:hAnsi="Verdana"/>
          <w:sz w:val="18"/>
          <w:szCs w:val="18"/>
        </w:rPr>
        <w:t xml:space="preserve"> van</w:t>
      </w:r>
      <w:r w:rsidR="007A07A9" w:rsidRPr="00A22E80">
        <w:rPr>
          <w:rFonts w:ascii="Verdana" w:hAnsi="Verdana"/>
          <w:sz w:val="18"/>
          <w:szCs w:val="18"/>
        </w:rPr>
        <w:t xml:space="preserve"> artikel 3:265e </w:t>
      </w:r>
      <w:proofErr w:type="spellStart"/>
      <w:r w:rsidR="007A07A9" w:rsidRPr="00A22E80">
        <w:rPr>
          <w:rFonts w:ascii="Verdana" w:hAnsi="Verdana"/>
          <w:sz w:val="18"/>
          <w:szCs w:val="18"/>
        </w:rPr>
        <w:t>Wft</w:t>
      </w:r>
      <w:proofErr w:type="spellEnd"/>
      <w:r w:rsidR="007A07A9" w:rsidRPr="00A22E80">
        <w:rPr>
          <w:rFonts w:ascii="Verdana" w:hAnsi="Verdana"/>
          <w:sz w:val="18"/>
          <w:szCs w:val="18"/>
        </w:rPr>
        <w:t xml:space="preserve">. </w:t>
      </w:r>
      <w:r w:rsidR="00BD65E2" w:rsidRPr="00A22E80">
        <w:rPr>
          <w:rFonts w:ascii="Verdana" w:hAnsi="Verdana"/>
          <w:sz w:val="18"/>
          <w:szCs w:val="18"/>
        </w:rPr>
        <w:t>Voorgesteld wordt</w:t>
      </w:r>
      <w:r w:rsidR="00057C0B" w:rsidRPr="00A22E80">
        <w:rPr>
          <w:rFonts w:ascii="Verdana" w:hAnsi="Verdana"/>
          <w:sz w:val="18"/>
          <w:szCs w:val="18"/>
        </w:rPr>
        <w:t xml:space="preserve"> het </w:t>
      </w:r>
      <w:r w:rsidR="00B81A98" w:rsidRPr="00A22E80">
        <w:rPr>
          <w:rFonts w:ascii="Verdana" w:hAnsi="Verdana"/>
          <w:sz w:val="18"/>
          <w:szCs w:val="18"/>
        </w:rPr>
        <w:t>artikel opnieuw vast te stellen</w:t>
      </w:r>
      <w:r w:rsidR="00950AAD" w:rsidRPr="00A22E80">
        <w:rPr>
          <w:rFonts w:ascii="Verdana" w:hAnsi="Verdana"/>
          <w:sz w:val="18"/>
          <w:szCs w:val="18"/>
        </w:rPr>
        <w:t xml:space="preserve">. </w:t>
      </w:r>
      <w:r w:rsidR="009605AC" w:rsidRPr="00A22E80">
        <w:rPr>
          <w:rFonts w:ascii="Verdana" w:hAnsi="Verdana"/>
          <w:sz w:val="18"/>
          <w:szCs w:val="18"/>
        </w:rPr>
        <w:t>De nieuwe formulering</w:t>
      </w:r>
      <w:r w:rsidR="00057C0B" w:rsidRPr="00A22E80">
        <w:rPr>
          <w:rFonts w:ascii="Verdana" w:hAnsi="Verdana"/>
          <w:sz w:val="18"/>
          <w:szCs w:val="18"/>
        </w:rPr>
        <w:t xml:space="preserve"> </w:t>
      </w:r>
      <w:r w:rsidR="00950AAD" w:rsidRPr="00A22E80">
        <w:rPr>
          <w:rFonts w:ascii="Verdana" w:hAnsi="Verdana"/>
          <w:sz w:val="18"/>
          <w:szCs w:val="18"/>
        </w:rPr>
        <w:t>verduidelijkt</w:t>
      </w:r>
      <w:r w:rsidR="00057C0B" w:rsidRPr="00A22E80">
        <w:rPr>
          <w:rFonts w:ascii="Verdana" w:hAnsi="Verdana"/>
          <w:sz w:val="18"/>
          <w:szCs w:val="18"/>
        </w:rPr>
        <w:t xml:space="preserve"> dat </w:t>
      </w:r>
      <w:r w:rsidR="00BB3FFE" w:rsidRPr="00A22E80">
        <w:rPr>
          <w:rFonts w:ascii="Verdana" w:hAnsi="Verdana"/>
          <w:sz w:val="18"/>
          <w:szCs w:val="18"/>
        </w:rPr>
        <w:t xml:space="preserve">het </w:t>
      </w:r>
      <w:r w:rsidR="002435F6" w:rsidRPr="00A22E80">
        <w:rPr>
          <w:rFonts w:ascii="Verdana" w:hAnsi="Verdana"/>
          <w:sz w:val="18"/>
          <w:szCs w:val="18"/>
        </w:rPr>
        <w:t xml:space="preserve">ten laste van het door het </w:t>
      </w:r>
      <w:proofErr w:type="spellStart"/>
      <w:r w:rsidR="002435F6" w:rsidRPr="00A22E80">
        <w:rPr>
          <w:rFonts w:ascii="Verdana" w:hAnsi="Verdana"/>
          <w:sz w:val="18"/>
          <w:szCs w:val="18"/>
        </w:rPr>
        <w:t>depositogarantiestelsel</w:t>
      </w:r>
      <w:proofErr w:type="spellEnd"/>
      <w:r w:rsidR="002435F6" w:rsidRPr="00A22E80">
        <w:rPr>
          <w:rFonts w:ascii="Verdana" w:hAnsi="Verdana"/>
          <w:sz w:val="18"/>
          <w:szCs w:val="18"/>
        </w:rPr>
        <w:t xml:space="preserve"> </w:t>
      </w:r>
      <w:r w:rsidR="00BB3FFE" w:rsidRPr="00A22E80">
        <w:rPr>
          <w:rFonts w:ascii="Verdana" w:hAnsi="Verdana"/>
          <w:sz w:val="18"/>
          <w:szCs w:val="18"/>
        </w:rPr>
        <w:t xml:space="preserve">beschikbaar te stellen bedrag </w:t>
      </w:r>
      <w:r w:rsidR="002435F6" w:rsidRPr="00A22E80">
        <w:rPr>
          <w:rFonts w:ascii="Verdana" w:hAnsi="Verdana"/>
          <w:sz w:val="18"/>
          <w:szCs w:val="18"/>
        </w:rPr>
        <w:t>voor de financiering</w:t>
      </w:r>
      <w:r w:rsidR="00950AAD" w:rsidRPr="00A22E80">
        <w:rPr>
          <w:rFonts w:ascii="Verdana" w:hAnsi="Verdana"/>
          <w:sz w:val="18"/>
          <w:szCs w:val="18"/>
        </w:rPr>
        <w:t xml:space="preserve"> van</w:t>
      </w:r>
      <w:r w:rsidR="00057C0B" w:rsidRPr="00A22E80">
        <w:rPr>
          <w:rFonts w:ascii="Verdana" w:hAnsi="Verdana"/>
          <w:sz w:val="18"/>
          <w:szCs w:val="18"/>
        </w:rPr>
        <w:t xml:space="preserve"> </w:t>
      </w:r>
      <w:r w:rsidR="002435F6" w:rsidRPr="00A22E80">
        <w:rPr>
          <w:rFonts w:ascii="Verdana" w:hAnsi="Verdana"/>
          <w:sz w:val="18"/>
          <w:szCs w:val="18"/>
        </w:rPr>
        <w:t xml:space="preserve">een </w:t>
      </w:r>
      <w:r w:rsidR="00057C0B" w:rsidRPr="00A22E80">
        <w:rPr>
          <w:rFonts w:ascii="Verdana" w:hAnsi="Verdana"/>
          <w:sz w:val="18"/>
          <w:szCs w:val="18"/>
        </w:rPr>
        <w:t>afwikkeling</w:t>
      </w:r>
      <w:r w:rsidR="002435F6" w:rsidRPr="00A22E80">
        <w:rPr>
          <w:rFonts w:ascii="Verdana" w:hAnsi="Verdana"/>
          <w:sz w:val="18"/>
          <w:szCs w:val="18"/>
        </w:rPr>
        <w:t>sinstrument</w:t>
      </w:r>
      <w:r w:rsidR="00026AF7" w:rsidRPr="00A22E80">
        <w:rPr>
          <w:rFonts w:ascii="Verdana" w:hAnsi="Verdana"/>
          <w:sz w:val="18"/>
          <w:szCs w:val="18"/>
        </w:rPr>
        <w:t xml:space="preserve"> niet noodzakelijkerwijs beperkt is</w:t>
      </w:r>
      <w:r w:rsidR="00057C0B" w:rsidRPr="00A22E80">
        <w:rPr>
          <w:rFonts w:ascii="Verdana" w:hAnsi="Verdana"/>
          <w:sz w:val="18"/>
          <w:szCs w:val="18"/>
        </w:rPr>
        <w:t xml:space="preserve"> tot </w:t>
      </w:r>
      <w:r w:rsidR="00950AAD" w:rsidRPr="00A22E80">
        <w:rPr>
          <w:rFonts w:ascii="Verdana" w:hAnsi="Verdana"/>
          <w:sz w:val="18"/>
          <w:szCs w:val="18"/>
        </w:rPr>
        <w:t xml:space="preserve">de verliezen die gegarandeerde depositohouders zouden hebben geleden indien </w:t>
      </w:r>
      <w:r w:rsidR="002435F6" w:rsidRPr="00A22E80">
        <w:rPr>
          <w:rFonts w:ascii="Verdana" w:hAnsi="Verdana"/>
          <w:sz w:val="18"/>
          <w:szCs w:val="18"/>
        </w:rPr>
        <w:t xml:space="preserve">– ingeval van </w:t>
      </w:r>
      <w:proofErr w:type="spellStart"/>
      <w:r w:rsidR="002435F6" w:rsidRPr="00A22E80">
        <w:rPr>
          <w:rFonts w:ascii="Verdana" w:hAnsi="Verdana"/>
          <w:sz w:val="18"/>
          <w:szCs w:val="18"/>
        </w:rPr>
        <w:t>bail-in</w:t>
      </w:r>
      <w:proofErr w:type="spellEnd"/>
      <w:r w:rsidR="002435F6" w:rsidRPr="00A22E80">
        <w:rPr>
          <w:rFonts w:ascii="Verdana" w:hAnsi="Verdana"/>
          <w:sz w:val="18"/>
          <w:szCs w:val="18"/>
        </w:rPr>
        <w:t xml:space="preserve"> - </w:t>
      </w:r>
      <w:r w:rsidR="00026AF7" w:rsidRPr="00A22E80">
        <w:rPr>
          <w:rFonts w:ascii="Verdana" w:hAnsi="Verdana"/>
          <w:sz w:val="18"/>
          <w:szCs w:val="18"/>
        </w:rPr>
        <w:t xml:space="preserve">hun vorderingen in gelijke mate zouden worden afgeschreven </w:t>
      </w:r>
      <w:r w:rsidR="00BB3FFE" w:rsidRPr="00A22E80">
        <w:rPr>
          <w:rFonts w:ascii="Verdana" w:hAnsi="Verdana"/>
          <w:sz w:val="18"/>
          <w:szCs w:val="18"/>
        </w:rPr>
        <w:t xml:space="preserve">als schuldeisers met vorderingen van gelijke rang </w:t>
      </w:r>
      <w:r w:rsidR="002435F6" w:rsidRPr="00A22E80">
        <w:rPr>
          <w:rFonts w:ascii="Verdana" w:hAnsi="Verdana"/>
          <w:sz w:val="18"/>
          <w:szCs w:val="18"/>
        </w:rPr>
        <w:t xml:space="preserve">dan wel – ingeval van een ander afwikkelingsinstrument - </w:t>
      </w:r>
      <w:r w:rsidR="00950AAD" w:rsidRPr="00A22E80">
        <w:rPr>
          <w:rFonts w:ascii="Verdana" w:hAnsi="Verdana"/>
          <w:sz w:val="18"/>
          <w:szCs w:val="18"/>
        </w:rPr>
        <w:t xml:space="preserve">zij in gelijke mate verliezen zouden lijden als schuldeisers met vorderingen van gelijke rang. Artikel 109 van de richtlijn herstel en afwikkeling van banken en beleggingsondernemingen moet aldus worden begrepen dat het niet uitsluit dat het </w:t>
      </w:r>
      <w:proofErr w:type="spellStart"/>
      <w:r w:rsidR="00950AAD" w:rsidRPr="00A22E80">
        <w:rPr>
          <w:rFonts w:ascii="Verdana" w:hAnsi="Verdana"/>
          <w:sz w:val="18"/>
          <w:szCs w:val="18"/>
        </w:rPr>
        <w:t>depositogarantiestelsel</w:t>
      </w:r>
      <w:proofErr w:type="spellEnd"/>
      <w:r w:rsidR="00151897" w:rsidRPr="00A22E80">
        <w:rPr>
          <w:rFonts w:ascii="Verdana" w:hAnsi="Verdana"/>
          <w:sz w:val="18"/>
          <w:szCs w:val="18"/>
        </w:rPr>
        <w:t>,</w:t>
      </w:r>
      <w:r w:rsidR="00950AAD" w:rsidRPr="00A22E80">
        <w:rPr>
          <w:rFonts w:ascii="Verdana" w:hAnsi="Verdana"/>
          <w:sz w:val="18"/>
          <w:szCs w:val="18"/>
        </w:rPr>
        <w:t xml:space="preserve"> </w:t>
      </w:r>
      <w:r w:rsidR="00C80C8C" w:rsidRPr="00A22E80">
        <w:rPr>
          <w:rFonts w:ascii="Verdana" w:hAnsi="Verdana"/>
          <w:sz w:val="18"/>
          <w:szCs w:val="18"/>
        </w:rPr>
        <w:t>in het belang van de toegang van depositohouders tot hun deposito’s</w:t>
      </w:r>
      <w:r w:rsidR="00151897" w:rsidRPr="00A22E80">
        <w:rPr>
          <w:rFonts w:ascii="Verdana" w:hAnsi="Verdana"/>
          <w:sz w:val="18"/>
          <w:szCs w:val="18"/>
        </w:rPr>
        <w:t>,</w:t>
      </w:r>
      <w:r w:rsidR="00C80C8C" w:rsidRPr="00A22E80">
        <w:rPr>
          <w:rFonts w:ascii="Verdana" w:hAnsi="Verdana"/>
          <w:sz w:val="18"/>
          <w:szCs w:val="18"/>
        </w:rPr>
        <w:t xml:space="preserve"> </w:t>
      </w:r>
      <w:r w:rsidR="00950AAD" w:rsidRPr="00A22E80">
        <w:rPr>
          <w:rFonts w:ascii="Verdana" w:hAnsi="Verdana"/>
          <w:sz w:val="18"/>
          <w:szCs w:val="18"/>
        </w:rPr>
        <w:t>een</w:t>
      </w:r>
      <w:r w:rsidR="00D0723B" w:rsidRPr="00A22E80">
        <w:rPr>
          <w:rFonts w:ascii="Verdana" w:hAnsi="Verdana"/>
          <w:sz w:val="18"/>
          <w:szCs w:val="18"/>
        </w:rPr>
        <w:t xml:space="preserve"> groter bedrag ter financiering van een afwikkelingsmaatregel beschikbaar stelt dan dat het </w:t>
      </w:r>
      <w:r w:rsidR="0019424A">
        <w:rPr>
          <w:rFonts w:ascii="Verdana" w:hAnsi="Verdana"/>
          <w:sz w:val="18"/>
          <w:szCs w:val="18"/>
        </w:rPr>
        <w:t xml:space="preserve">uiteindelijk </w:t>
      </w:r>
      <w:r w:rsidR="00151897" w:rsidRPr="00A22E80">
        <w:rPr>
          <w:rFonts w:ascii="Verdana" w:hAnsi="Verdana"/>
          <w:sz w:val="18"/>
          <w:szCs w:val="18"/>
        </w:rPr>
        <w:t xml:space="preserve">onder de streep </w:t>
      </w:r>
      <w:r w:rsidR="0019424A">
        <w:rPr>
          <w:rFonts w:ascii="Verdana" w:hAnsi="Verdana"/>
          <w:sz w:val="18"/>
          <w:szCs w:val="18"/>
        </w:rPr>
        <w:t xml:space="preserve">zal </w:t>
      </w:r>
      <w:r w:rsidR="00151897" w:rsidRPr="00A22E80">
        <w:rPr>
          <w:rFonts w:ascii="Verdana" w:hAnsi="Verdana"/>
          <w:sz w:val="18"/>
          <w:szCs w:val="18"/>
        </w:rPr>
        <w:t>bijdrag</w:t>
      </w:r>
      <w:r w:rsidR="0019424A">
        <w:rPr>
          <w:rFonts w:ascii="Verdana" w:hAnsi="Verdana"/>
          <w:sz w:val="18"/>
          <w:szCs w:val="18"/>
        </w:rPr>
        <w:t>en</w:t>
      </w:r>
      <w:r w:rsidR="00151897" w:rsidRPr="00A22E80">
        <w:rPr>
          <w:rFonts w:ascii="Verdana" w:hAnsi="Verdana"/>
          <w:sz w:val="18"/>
          <w:szCs w:val="18"/>
        </w:rPr>
        <w:t xml:space="preserve"> nadat de preferente vordering die het </w:t>
      </w:r>
      <w:proofErr w:type="spellStart"/>
      <w:r w:rsidR="00151897" w:rsidRPr="00A22E80">
        <w:rPr>
          <w:rFonts w:ascii="Verdana" w:hAnsi="Verdana"/>
          <w:sz w:val="18"/>
          <w:szCs w:val="18"/>
        </w:rPr>
        <w:t>Depostiogarantiefonds</w:t>
      </w:r>
      <w:proofErr w:type="spellEnd"/>
      <w:r w:rsidR="00151897" w:rsidRPr="00A22E80">
        <w:rPr>
          <w:rFonts w:ascii="Verdana" w:hAnsi="Verdana"/>
          <w:sz w:val="18"/>
          <w:szCs w:val="18"/>
        </w:rPr>
        <w:t xml:space="preserve"> in ruil daarvoor verkrijg</w:t>
      </w:r>
      <w:r w:rsidR="00BD65E2" w:rsidRPr="00A22E80">
        <w:rPr>
          <w:rFonts w:ascii="Verdana" w:hAnsi="Verdana"/>
          <w:sz w:val="18"/>
          <w:szCs w:val="18"/>
        </w:rPr>
        <w:t xml:space="preserve">t, is verhaald </w:t>
      </w:r>
      <w:r w:rsidR="00151897" w:rsidRPr="00A22E80">
        <w:rPr>
          <w:rFonts w:ascii="Verdana" w:hAnsi="Verdana"/>
          <w:sz w:val="18"/>
          <w:szCs w:val="18"/>
        </w:rPr>
        <w:t xml:space="preserve">op </w:t>
      </w:r>
      <w:r w:rsidR="009605AC" w:rsidRPr="00A22E80">
        <w:rPr>
          <w:rFonts w:ascii="Verdana" w:hAnsi="Verdana"/>
          <w:sz w:val="18"/>
          <w:szCs w:val="18"/>
        </w:rPr>
        <w:t xml:space="preserve">(de boedel van) </w:t>
      </w:r>
      <w:r w:rsidR="00151897" w:rsidRPr="00A22E80">
        <w:rPr>
          <w:rFonts w:ascii="Verdana" w:hAnsi="Verdana"/>
          <w:sz w:val="18"/>
          <w:szCs w:val="18"/>
        </w:rPr>
        <w:t>de entiteit in afwikkeling</w:t>
      </w:r>
      <w:r w:rsidR="00BD65E2" w:rsidRPr="00A22E80">
        <w:rPr>
          <w:rFonts w:ascii="Verdana" w:hAnsi="Verdana"/>
          <w:sz w:val="18"/>
          <w:szCs w:val="18"/>
        </w:rPr>
        <w:t xml:space="preserve">. De voorgestelde toevoeging aan het eerste lid van artikel 3:265e beperkt evenwel </w:t>
      </w:r>
      <w:r w:rsidR="009605AC" w:rsidRPr="00A22E80">
        <w:rPr>
          <w:rFonts w:ascii="Verdana" w:hAnsi="Verdana"/>
          <w:sz w:val="18"/>
          <w:szCs w:val="18"/>
        </w:rPr>
        <w:t>het in totaal</w:t>
      </w:r>
      <w:r w:rsidR="00BD65E2" w:rsidRPr="00A22E80">
        <w:rPr>
          <w:rFonts w:ascii="Verdana" w:hAnsi="Verdana"/>
          <w:sz w:val="18"/>
          <w:szCs w:val="18"/>
        </w:rPr>
        <w:t xml:space="preserve"> </w:t>
      </w:r>
      <w:r w:rsidR="009605AC" w:rsidRPr="00A22E80">
        <w:rPr>
          <w:rFonts w:ascii="Verdana" w:hAnsi="Verdana"/>
          <w:sz w:val="18"/>
          <w:szCs w:val="18"/>
        </w:rPr>
        <w:t xml:space="preserve">ten laste van het </w:t>
      </w:r>
      <w:proofErr w:type="spellStart"/>
      <w:r w:rsidR="009605AC" w:rsidRPr="00A22E80">
        <w:rPr>
          <w:rFonts w:ascii="Verdana" w:hAnsi="Verdana"/>
          <w:sz w:val="18"/>
          <w:szCs w:val="18"/>
        </w:rPr>
        <w:t>depositogarantiestelsel</w:t>
      </w:r>
      <w:proofErr w:type="spellEnd"/>
      <w:r w:rsidR="009605AC" w:rsidRPr="00A22E80">
        <w:rPr>
          <w:rFonts w:ascii="Verdana" w:hAnsi="Verdana"/>
          <w:sz w:val="18"/>
          <w:szCs w:val="18"/>
        </w:rPr>
        <w:t xml:space="preserve"> beschikbaar te stellen bedrag tot het bedrag aan </w:t>
      </w:r>
      <w:r w:rsidR="009605AC" w:rsidRPr="00A22E80">
        <w:rPr>
          <w:rFonts w:ascii="Verdana" w:hAnsi="Verdana"/>
          <w:sz w:val="18"/>
          <w:szCs w:val="18"/>
        </w:rPr>
        <w:lastRenderedPageBreak/>
        <w:t xml:space="preserve">gegarandeerde deposito’s dat wordt aangehouden bij de entiteit in afwikkeling. Deze beperking vloeit logischerwijs voort uit het doel en de aard van het </w:t>
      </w:r>
      <w:proofErr w:type="spellStart"/>
      <w:r w:rsidR="009605AC" w:rsidRPr="00A22E80">
        <w:rPr>
          <w:rFonts w:ascii="Verdana" w:hAnsi="Verdana"/>
          <w:sz w:val="18"/>
          <w:szCs w:val="18"/>
        </w:rPr>
        <w:t>depositogarantiestelsel</w:t>
      </w:r>
      <w:proofErr w:type="spellEnd"/>
      <w:r w:rsidR="009605AC" w:rsidRPr="00A22E80">
        <w:rPr>
          <w:rFonts w:ascii="Verdana" w:hAnsi="Verdana"/>
          <w:sz w:val="18"/>
          <w:szCs w:val="18"/>
        </w:rPr>
        <w:t xml:space="preserve">: zou de entiteit in kwestie in faillissement worden geplaatst, dan wordt het </w:t>
      </w:r>
      <w:proofErr w:type="spellStart"/>
      <w:r w:rsidR="009605AC" w:rsidRPr="00A22E80">
        <w:rPr>
          <w:rFonts w:ascii="Verdana" w:hAnsi="Verdana"/>
          <w:sz w:val="18"/>
          <w:szCs w:val="18"/>
        </w:rPr>
        <w:t>depositogarantiestelsel</w:t>
      </w:r>
      <w:proofErr w:type="spellEnd"/>
      <w:r w:rsidR="009605AC" w:rsidRPr="00A22E80">
        <w:rPr>
          <w:rFonts w:ascii="Verdana" w:hAnsi="Verdana"/>
          <w:sz w:val="18"/>
          <w:szCs w:val="18"/>
        </w:rPr>
        <w:t xml:space="preserve"> in werking gesteld en keert het vergoedingen uit </w:t>
      </w:r>
      <w:r w:rsidR="00BD5166" w:rsidRPr="00A22E80">
        <w:rPr>
          <w:rFonts w:ascii="Verdana" w:hAnsi="Verdana"/>
          <w:sz w:val="18"/>
          <w:szCs w:val="18"/>
        </w:rPr>
        <w:t>aan depositohouders ter bedrage</w:t>
      </w:r>
      <w:r w:rsidR="009605AC" w:rsidRPr="00A22E80">
        <w:rPr>
          <w:rFonts w:ascii="Verdana" w:hAnsi="Verdana"/>
          <w:sz w:val="18"/>
          <w:szCs w:val="18"/>
        </w:rPr>
        <w:t xml:space="preserve"> van </w:t>
      </w:r>
      <w:r w:rsidR="00BD5166" w:rsidRPr="00A22E80">
        <w:rPr>
          <w:rFonts w:ascii="Verdana" w:hAnsi="Verdana"/>
          <w:sz w:val="18"/>
          <w:szCs w:val="18"/>
        </w:rPr>
        <w:t xml:space="preserve">hun deposito’s voor zover deze gegarandeerd worden door het </w:t>
      </w:r>
      <w:proofErr w:type="spellStart"/>
      <w:r w:rsidR="00BD5166" w:rsidRPr="00A22E80">
        <w:rPr>
          <w:rFonts w:ascii="Verdana" w:hAnsi="Verdana"/>
          <w:sz w:val="18"/>
          <w:szCs w:val="18"/>
        </w:rPr>
        <w:t>depositogarantiestelsel</w:t>
      </w:r>
      <w:proofErr w:type="spellEnd"/>
      <w:r w:rsidR="00BD5166" w:rsidRPr="00A22E80">
        <w:rPr>
          <w:rFonts w:ascii="Verdana" w:hAnsi="Verdana"/>
          <w:sz w:val="18"/>
          <w:szCs w:val="18"/>
        </w:rPr>
        <w:t>.</w:t>
      </w:r>
      <w:r w:rsidR="009605AC" w:rsidRPr="00A22E80">
        <w:rPr>
          <w:rFonts w:ascii="Verdana" w:hAnsi="Verdana"/>
          <w:sz w:val="18"/>
          <w:szCs w:val="18"/>
        </w:rPr>
        <w:t xml:space="preserve"> In afwikkeling kan het </w:t>
      </w:r>
      <w:proofErr w:type="spellStart"/>
      <w:r w:rsidR="009605AC" w:rsidRPr="00A22E80">
        <w:rPr>
          <w:rFonts w:ascii="Verdana" w:hAnsi="Verdana"/>
          <w:sz w:val="18"/>
          <w:szCs w:val="18"/>
        </w:rPr>
        <w:t>depositogarantiestelsel</w:t>
      </w:r>
      <w:proofErr w:type="spellEnd"/>
      <w:r w:rsidR="009605AC" w:rsidRPr="00A22E80">
        <w:rPr>
          <w:rFonts w:ascii="Verdana" w:hAnsi="Verdana"/>
          <w:sz w:val="18"/>
          <w:szCs w:val="18"/>
        </w:rPr>
        <w:t xml:space="preserve"> </w:t>
      </w:r>
      <w:r w:rsidR="00BD5166" w:rsidRPr="00A22E80">
        <w:rPr>
          <w:rFonts w:ascii="Verdana" w:hAnsi="Verdana"/>
          <w:sz w:val="18"/>
          <w:szCs w:val="18"/>
        </w:rPr>
        <w:t xml:space="preserve">uiteraard </w:t>
      </w:r>
      <w:r w:rsidR="009605AC" w:rsidRPr="00A22E80">
        <w:rPr>
          <w:rFonts w:ascii="Verdana" w:hAnsi="Verdana"/>
          <w:sz w:val="18"/>
          <w:szCs w:val="18"/>
        </w:rPr>
        <w:t xml:space="preserve">niet </w:t>
      </w:r>
      <w:r w:rsidR="00BD5166" w:rsidRPr="00A22E80">
        <w:rPr>
          <w:rFonts w:ascii="Verdana" w:hAnsi="Verdana"/>
          <w:sz w:val="18"/>
          <w:szCs w:val="18"/>
        </w:rPr>
        <w:t>een groter bedrag ter beschikking stellen</w:t>
      </w:r>
      <w:r w:rsidR="009605AC" w:rsidRPr="00A22E80">
        <w:rPr>
          <w:rFonts w:ascii="Verdana" w:hAnsi="Verdana"/>
          <w:sz w:val="18"/>
          <w:szCs w:val="18"/>
        </w:rPr>
        <w:t xml:space="preserve"> dan het in faillissement </w:t>
      </w:r>
      <w:r w:rsidR="00BD5166" w:rsidRPr="00A22E80">
        <w:rPr>
          <w:rFonts w:ascii="Verdana" w:hAnsi="Verdana"/>
          <w:sz w:val="18"/>
          <w:szCs w:val="18"/>
        </w:rPr>
        <w:t>zou moeten uitkeren aan depositohouders</w:t>
      </w:r>
      <w:r w:rsidR="009605AC" w:rsidRPr="00A22E80">
        <w:rPr>
          <w:rFonts w:ascii="Verdana" w:hAnsi="Verdana"/>
          <w:sz w:val="18"/>
          <w:szCs w:val="18"/>
        </w:rPr>
        <w:t xml:space="preserve">. </w:t>
      </w:r>
    </w:p>
    <w:p w:rsidR="009605AC" w:rsidRPr="00A22E80" w:rsidRDefault="009605AC" w:rsidP="00A22E80">
      <w:pPr>
        <w:widowControl w:val="0"/>
        <w:spacing w:line="260" w:lineRule="exact"/>
        <w:rPr>
          <w:rFonts w:ascii="Verdana" w:hAnsi="Verdana"/>
          <w:sz w:val="18"/>
          <w:szCs w:val="18"/>
        </w:rPr>
      </w:pPr>
    </w:p>
    <w:p w:rsidR="00BB3FFE" w:rsidRPr="00A22E80" w:rsidRDefault="00151897" w:rsidP="00A22E80">
      <w:pPr>
        <w:widowControl w:val="0"/>
        <w:spacing w:line="260" w:lineRule="exact"/>
        <w:rPr>
          <w:rFonts w:ascii="Verdana" w:hAnsi="Verdana"/>
          <w:sz w:val="18"/>
          <w:szCs w:val="18"/>
        </w:rPr>
      </w:pPr>
      <w:r w:rsidRPr="00A22E80">
        <w:rPr>
          <w:rFonts w:ascii="Verdana" w:hAnsi="Verdana"/>
          <w:sz w:val="18"/>
          <w:szCs w:val="18"/>
        </w:rPr>
        <w:t>Het nieuwe vierde lid</w:t>
      </w:r>
      <w:r w:rsidR="00BD65E2" w:rsidRPr="00A22E80">
        <w:rPr>
          <w:rFonts w:ascii="Verdana" w:hAnsi="Verdana"/>
          <w:sz w:val="18"/>
          <w:szCs w:val="18"/>
        </w:rPr>
        <w:t xml:space="preserve"> voorziet er </w:t>
      </w:r>
      <w:r w:rsidR="009605AC" w:rsidRPr="00A22E80">
        <w:rPr>
          <w:rFonts w:ascii="Verdana" w:hAnsi="Verdana"/>
          <w:sz w:val="18"/>
          <w:szCs w:val="18"/>
        </w:rPr>
        <w:t xml:space="preserve">tot slot </w:t>
      </w:r>
      <w:r w:rsidR="00BD65E2" w:rsidRPr="00A22E80">
        <w:rPr>
          <w:rFonts w:ascii="Verdana" w:hAnsi="Verdana"/>
          <w:sz w:val="18"/>
          <w:szCs w:val="18"/>
        </w:rPr>
        <w:t xml:space="preserve">in dat het Depositogarantiefonds </w:t>
      </w:r>
      <w:r w:rsidR="009605AC" w:rsidRPr="00A22E80">
        <w:rPr>
          <w:rFonts w:ascii="Verdana" w:hAnsi="Verdana"/>
          <w:sz w:val="18"/>
          <w:szCs w:val="18"/>
        </w:rPr>
        <w:t xml:space="preserve">een vordering verkrijgt op de entiteit in afwikkeling. Hiermee wordt uitvoering gegeven aan zowel het hierboven vermelde artikel uit de richtlijn herstel en afwikkeling van banken en beleggingsondernemingen, als aan artikel 9, tweede lid, tweede volzin, van de herziene richtlijn </w:t>
      </w:r>
      <w:proofErr w:type="spellStart"/>
      <w:r w:rsidR="009605AC" w:rsidRPr="00A22E80">
        <w:rPr>
          <w:rFonts w:ascii="Verdana" w:hAnsi="Verdana"/>
          <w:sz w:val="18"/>
          <w:szCs w:val="18"/>
        </w:rPr>
        <w:t>depositogarantiestelsels</w:t>
      </w:r>
      <w:proofErr w:type="spellEnd"/>
      <w:r w:rsidR="009605AC" w:rsidRPr="00A22E80">
        <w:rPr>
          <w:rFonts w:ascii="Verdana" w:hAnsi="Verdana"/>
          <w:sz w:val="18"/>
          <w:szCs w:val="18"/>
        </w:rPr>
        <w:t>,</w:t>
      </w:r>
      <w:r w:rsidRPr="00A22E80">
        <w:rPr>
          <w:rFonts w:ascii="Verdana" w:hAnsi="Verdana"/>
          <w:sz w:val="18"/>
          <w:szCs w:val="18"/>
        </w:rPr>
        <w:t xml:space="preserve"> hetgeen abusievelijk was nagelaten</w:t>
      </w:r>
      <w:r w:rsidR="009605AC" w:rsidRPr="00A22E80">
        <w:rPr>
          <w:rFonts w:ascii="Verdana" w:hAnsi="Verdana"/>
          <w:sz w:val="18"/>
          <w:szCs w:val="18"/>
        </w:rPr>
        <w:t>.</w:t>
      </w:r>
      <w:r w:rsidR="00BD65E2" w:rsidRPr="00A22E80">
        <w:rPr>
          <w:rFonts w:ascii="Verdana" w:hAnsi="Verdana"/>
          <w:sz w:val="18"/>
          <w:szCs w:val="18"/>
        </w:rPr>
        <w:t xml:space="preserve"> Aldus is verzekerd dat het beschikbaar gestelde bedrag </w:t>
      </w:r>
      <w:r w:rsidR="009605AC" w:rsidRPr="00A22E80">
        <w:rPr>
          <w:rFonts w:ascii="Verdana" w:hAnsi="Verdana"/>
          <w:sz w:val="18"/>
          <w:szCs w:val="18"/>
        </w:rPr>
        <w:t xml:space="preserve">ter financiering van afwikkeling </w:t>
      </w:r>
      <w:r w:rsidR="00BD65E2" w:rsidRPr="00A22E80">
        <w:rPr>
          <w:rFonts w:ascii="Verdana" w:hAnsi="Verdana"/>
          <w:sz w:val="18"/>
          <w:szCs w:val="18"/>
        </w:rPr>
        <w:t xml:space="preserve">daadwerkelijk kan worden verhaald op (de boedel van) de desbetreffende bank. </w:t>
      </w:r>
    </w:p>
    <w:p w:rsidR="00FD1898" w:rsidRPr="00A22E80" w:rsidRDefault="00FD1898" w:rsidP="00A22E80">
      <w:pPr>
        <w:widowControl w:val="0"/>
        <w:tabs>
          <w:tab w:val="num" w:pos="720"/>
        </w:tabs>
        <w:spacing w:line="260" w:lineRule="exact"/>
        <w:rPr>
          <w:rFonts w:ascii="Verdana" w:hAnsi="Verdana" w:cs="Arial"/>
          <w:sz w:val="18"/>
          <w:szCs w:val="18"/>
        </w:rPr>
      </w:pPr>
    </w:p>
    <w:p w:rsidR="00C76DF4" w:rsidRPr="00A22E80" w:rsidRDefault="00B301FB" w:rsidP="00A22E80">
      <w:pPr>
        <w:widowControl w:val="0"/>
        <w:spacing w:line="260" w:lineRule="exact"/>
        <w:rPr>
          <w:rFonts w:ascii="Verdana" w:hAnsi="Verdana" w:cs="Arial"/>
          <w:sz w:val="18"/>
          <w:szCs w:val="18"/>
        </w:rPr>
      </w:pPr>
      <w:r w:rsidRPr="00A22E80">
        <w:rPr>
          <w:rFonts w:ascii="Verdana" w:hAnsi="Verdana" w:cs="Arial"/>
          <w:sz w:val="18"/>
          <w:szCs w:val="18"/>
        </w:rPr>
        <w:t>CC</w:t>
      </w:r>
    </w:p>
    <w:p w:rsidR="00C76DF4" w:rsidRPr="00A22E80" w:rsidRDefault="00C76DF4" w:rsidP="00A22E80">
      <w:pPr>
        <w:widowControl w:val="0"/>
        <w:spacing w:line="260" w:lineRule="exact"/>
        <w:rPr>
          <w:rFonts w:ascii="Verdana" w:hAnsi="Verdana" w:cs="Arial"/>
          <w:sz w:val="18"/>
          <w:szCs w:val="18"/>
        </w:rPr>
      </w:pPr>
    </w:p>
    <w:p w:rsidR="00C76DF4" w:rsidRPr="00A22E80" w:rsidRDefault="00C26F07" w:rsidP="00A22E80">
      <w:pPr>
        <w:widowControl w:val="0"/>
        <w:spacing w:line="260" w:lineRule="exact"/>
        <w:rPr>
          <w:rFonts w:ascii="Verdana" w:hAnsi="Verdana" w:cs="Arial"/>
          <w:sz w:val="18"/>
          <w:szCs w:val="18"/>
        </w:rPr>
      </w:pPr>
      <w:r w:rsidRPr="00A22E80">
        <w:rPr>
          <w:rFonts w:ascii="Verdana" w:hAnsi="Verdana" w:cs="Arial"/>
          <w:sz w:val="18"/>
          <w:szCs w:val="18"/>
        </w:rPr>
        <w:t xml:space="preserve">De beloningsregels in de richtlijn kapitaalvereisten waren aanvankelijk geïmplementeerd door middel van artikel 3:17a </w:t>
      </w:r>
      <w:proofErr w:type="spellStart"/>
      <w:r w:rsidRPr="00A22E80">
        <w:rPr>
          <w:rFonts w:ascii="Verdana" w:hAnsi="Verdana" w:cs="Arial"/>
          <w:sz w:val="18"/>
          <w:szCs w:val="18"/>
        </w:rPr>
        <w:t>Wft</w:t>
      </w:r>
      <w:proofErr w:type="spellEnd"/>
      <w:r w:rsidRPr="00A22E80">
        <w:rPr>
          <w:rFonts w:ascii="Verdana" w:hAnsi="Verdana" w:cs="Arial"/>
          <w:sz w:val="18"/>
          <w:szCs w:val="18"/>
        </w:rPr>
        <w:t xml:space="preserve">, dat inmiddels is vervallen en vervangen door hoofdstuk 1.7 </w:t>
      </w:r>
      <w:proofErr w:type="spellStart"/>
      <w:r w:rsidRPr="00A22E80">
        <w:rPr>
          <w:rFonts w:ascii="Verdana" w:hAnsi="Verdana" w:cs="Arial"/>
          <w:sz w:val="18"/>
          <w:szCs w:val="18"/>
        </w:rPr>
        <w:t>Wft</w:t>
      </w:r>
      <w:proofErr w:type="spellEnd"/>
      <w:r w:rsidRPr="00A22E80">
        <w:rPr>
          <w:rFonts w:ascii="Verdana" w:hAnsi="Verdana" w:cs="Arial"/>
          <w:sz w:val="18"/>
          <w:szCs w:val="18"/>
        </w:rPr>
        <w:t xml:space="preserve">. </w:t>
      </w:r>
      <w:r w:rsidR="00872449" w:rsidRPr="00A22E80">
        <w:rPr>
          <w:rFonts w:ascii="Verdana" w:hAnsi="Verdana" w:cs="Arial"/>
          <w:sz w:val="18"/>
          <w:szCs w:val="18"/>
        </w:rPr>
        <w:t xml:space="preserve">In </w:t>
      </w:r>
      <w:r w:rsidR="00B46C7A" w:rsidRPr="00A22E80">
        <w:rPr>
          <w:rFonts w:ascii="Verdana" w:hAnsi="Verdana" w:cs="Arial"/>
          <w:sz w:val="18"/>
          <w:szCs w:val="18"/>
        </w:rPr>
        <w:t xml:space="preserve">dat </w:t>
      </w:r>
      <w:r w:rsidR="00872449" w:rsidRPr="00A22E80">
        <w:rPr>
          <w:rFonts w:ascii="Verdana" w:hAnsi="Verdana" w:cs="Arial"/>
          <w:sz w:val="18"/>
          <w:szCs w:val="18"/>
        </w:rPr>
        <w:t xml:space="preserve">hoofdstuk wordt reeds voorzien in de toepassing van deze regels op groepsniveau, hetgeen opname in de regeling </w:t>
      </w:r>
      <w:r w:rsidR="00B46C7A" w:rsidRPr="00A22E80">
        <w:rPr>
          <w:rFonts w:ascii="Verdana" w:hAnsi="Verdana" w:cs="Arial"/>
          <w:sz w:val="18"/>
          <w:szCs w:val="18"/>
        </w:rPr>
        <w:t xml:space="preserve">voor </w:t>
      </w:r>
      <w:r w:rsidR="00872449" w:rsidRPr="00A22E80">
        <w:rPr>
          <w:rFonts w:ascii="Verdana" w:hAnsi="Verdana" w:cs="Arial"/>
          <w:sz w:val="18"/>
          <w:szCs w:val="18"/>
        </w:rPr>
        <w:t xml:space="preserve">geconsolideerd toezicht overbodig maakt. </w:t>
      </w:r>
      <w:r w:rsidRPr="00A22E80">
        <w:rPr>
          <w:rFonts w:ascii="Verdana" w:hAnsi="Verdana" w:cs="Arial"/>
          <w:sz w:val="18"/>
          <w:szCs w:val="18"/>
        </w:rPr>
        <w:t xml:space="preserve">Het </w:t>
      </w:r>
      <w:r w:rsidR="00872449" w:rsidRPr="00A22E80">
        <w:rPr>
          <w:rFonts w:ascii="Verdana" w:hAnsi="Verdana" w:cs="Arial"/>
          <w:sz w:val="18"/>
          <w:szCs w:val="18"/>
        </w:rPr>
        <w:t xml:space="preserve">onderhavige </w:t>
      </w:r>
      <w:r w:rsidRPr="00A22E80">
        <w:rPr>
          <w:rFonts w:ascii="Verdana" w:hAnsi="Verdana" w:cs="Arial"/>
          <w:sz w:val="18"/>
          <w:szCs w:val="18"/>
        </w:rPr>
        <w:t xml:space="preserve">onderdeel voorziet </w:t>
      </w:r>
      <w:r w:rsidR="00872449" w:rsidRPr="00A22E80">
        <w:rPr>
          <w:rFonts w:ascii="Verdana" w:hAnsi="Verdana" w:cs="Arial"/>
          <w:sz w:val="18"/>
          <w:szCs w:val="18"/>
        </w:rPr>
        <w:t xml:space="preserve">daarom </w:t>
      </w:r>
      <w:r w:rsidR="00236761" w:rsidRPr="00A22E80">
        <w:rPr>
          <w:rFonts w:ascii="Verdana" w:hAnsi="Verdana" w:cs="Arial"/>
          <w:sz w:val="18"/>
          <w:szCs w:val="18"/>
        </w:rPr>
        <w:t xml:space="preserve">uitsluitend </w:t>
      </w:r>
      <w:r w:rsidRPr="00A22E80">
        <w:rPr>
          <w:rFonts w:ascii="Verdana" w:hAnsi="Verdana" w:cs="Arial"/>
          <w:sz w:val="18"/>
          <w:szCs w:val="18"/>
        </w:rPr>
        <w:t xml:space="preserve">in het </w:t>
      </w:r>
      <w:r w:rsidR="00872449" w:rsidRPr="00A22E80">
        <w:rPr>
          <w:rFonts w:ascii="Verdana" w:hAnsi="Verdana" w:cs="Arial"/>
          <w:sz w:val="18"/>
          <w:szCs w:val="18"/>
        </w:rPr>
        <w:t xml:space="preserve">schrappen van de verwijzing naar het </w:t>
      </w:r>
      <w:r w:rsidR="00A414C8">
        <w:rPr>
          <w:rFonts w:ascii="Verdana" w:hAnsi="Verdana" w:cs="Arial"/>
          <w:sz w:val="18"/>
          <w:szCs w:val="18"/>
        </w:rPr>
        <w:t xml:space="preserve">reeds </w:t>
      </w:r>
      <w:r w:rsidR="00872449" w:rsidRPr="00A22E80">
        <w:rPr>
          <w:rFonts w:ascii="Verdana" w:hAnsi="Verdana" w:cs="Arial"/>
          <w:sz w:val="18"/>
          <w:szCs w:val="18"/>
        </w:rPr>
        <w:t xml:space="preserve">vervallen artikel 3:17a </w:t>
      </w:r>
      <w:r w:rsidRPr="00A22E80">
        <w:rPr>
          <w:rFonts w:ascii="Verdana" w:hAnsi="Verdana" w:cs="Arial"/>
          <w:sz w:val="18"/>
          <w:szCs w:val="18"/>
        </w:rPr>
        <w:t xml:space="preserve">in de artikelen </w:t>
      </w:r>
      <w:r w:rsidR="00872449" w:rsidRPr="00A22E80">
        <w:rPr>
          <w:rFonts w:ascii="Verdana" w:hAnsi="Verdana" w:cs="Arial"/>
          <w:sz w:val="18"/>
          <w:szCs w:val="18"/>
        </w:rPr>
        <w:t>3:27</w:t>
      </w:r>
      <w:r w:rsidR="00AD6F5A" w:rsidRPr="00A22E80">
        <w:rPr>
          <w:rFonts w:ascii="Verdana" w:hAnsi="Verdana" w:cs="Arial"/>
          <w:sz w:val="18"/>
          <w:szCs w:val="18"/>
        </w:rPr>
        <w:t>6</w:t>
      </w:r>
      <w:r w:rsidR="00872449" w:rsidRPr="00A22E80">
        <w:rPr>
          <w:rFonts w:ascii="Verdana" w:hAnsi="Verdana" w:cs="Arial"/>
          <w:sz w:val="18"/>
          <w:szCs w:val="18"/>
        </w:rPr>
        <w:t xml:space="preserve"> en 3:277</w:t>
      </w:r>
      <w:r w:rsidR="00AD6F5A" w:rsidRPr="00A22E80">
        <w:rPr>
          <w:rFonts w:ascii="Verdana" w:hAnsi="Verdana" w:cs="Arial"/>
          <w:sz w:val="18"/>
          <w:szCs w:val="18"/>
        </w:rPr>
        <w:t>a</w:t>
      </w:r>
      <w:r w:rsidR="00236761" w:rsidRPr="00A22E80">
        <w:rPr>
          <w:rFonts w:ascii="Verdana" w:hAnsi="Verdana" w:cs="Arial"/>
          <w:sz w:val="18"/>
          <w:szCs w:val="18"/>
        </w:rPr>
        <w:t xml:space="preserve"> </w:t>
      </w:r>
      <w:proofErr w:type="spellStart"/>
      <w:r w:rsidR="00236761" w:rsidRPr="00A22E80">
        <w:rPr>
          <w:rFonts w:ascii="Verdana" w:hAnsi="Verdana" w:cs="Arial"/>
          <w:sz w:val="18"/>
          <w:szCs w:val="18"/>
        </w:rPr>
        <w:t>Wft</w:t>
      </w:r>
      <w:proofErr w:type="spellEnd"/>
      <w:r w:rsidR="00872449" w:rsidRPr="00A22E80">
        <w:rPr>
          <w:rFonts w:ascii="Verdana" w:hAnsi="Verdana" w:cs="Arial"/>
          <w:sz w:val="18"/>
          <w:szCs w:val="18"/>
        </w:rPr>
        <w:t>.</w:t>
      </w:r>
    </w:p>
    <w:p w:rsidR="00C76DF4" w:rsidRPr="00A22E80" w:rsidRDefault="00C76DF4" w:rsidP="00A22E80">
      <w:pPr>
        <w:widowControl w:val="0"/>
        <w:spacing w:line="260" w:lineRule="exact"/>
        <w:rPr>
          <w:rFonts w:ascii="Verdana" w:hAnsi="Verdana" w:cs="Arial"/>
          <w:sz w:val="18"/>
          <w:szCs w:val="18"/>
        </w:rPr>
      </w:pPr>
    </w:p>
    <w:p w:rsidR="00AA56C0" w:rsidRPr="00A22E80" w:rsidRDefault="00B301FB" w:rsidP="00A22E80">
      <w:pPr>
        <w:widowControl w:val="0"/>
        <w:spacing w:line="260" w:lineRule="exact"/>
        <w:rPr>
          <w:rFonts w:ascii="Verdana" w:hAnsi="Verdana" w:cs="Arial"/>
          <w:sz w:val="18"/>
          <w:szCs w:val="18"/>
        </w:rPr>
      </w:pPr>
      <w:r w:rsidRPr="00A22E80">
        <w:rPr>
          <w:rFonts w:ascii="Verdana" w:hAnsi="Verdana" w:cs="Arial"/>
          <w:sz w:val="18"/>
          <w:szCs w:val="18"/>
        </w:rPr>
        <w:t>DD</w:t>
      </w:r>
    </w:p>
    <w:p w:rsidR="00AA56C0" w:rsidRPr="00A22E80" w:rsidRDefault="00AA56C0" w:rsidP="00A22E80">
      <w:pPr>
        <w:widowControl w:val="0"/>
        <w:tabs>
          <w:tab w:val="num" w:pos="720"/>
        </w:tabs>
        <w:spacing w:line="260" w:lineRule="exact"/>
        <w:rPr>
          <w:rFonts w:ascii="Verdana" w:hAnsi="Verdana" w:cs="Arial"/>
          <w:sz w:val="18"/>
          <w:szCs w:val="18"/>
        </w:rPr>
      </w:pPr>
    </w:p>
    <w:p w:rsidR="00AA56C0" w:rsidRPr="00A22E80" w:rsidRDefault="00305B0B"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Met de voorgestelde wijziging </w:t>
      </w:r>
      <w:r w:rsidR="00C76DF4" w:rsidRPr="00A22E80">
        <w:rPr>
          <w:rFonts w:ascii="Verdana" w:hAnsi="Verdana" w:cs="Arial"/>
          <w:sz w:val="18"/>
          <w:szCs w:val="18"/>
        </w:rPr>
        <w:t xml:space="preserve">van artikel 3:278b </w:t>
      </w:r>
      <w:proofErr w:type="spellStart"/>
      <w:r w:rsidR="00C76DF4" w:rsidRPr="00A22E80">
        <w:rPr>
          <w:rFonts w:ascii="Verdana" w:hAnsi="Verdana" w:cs="Arial"/>
          <w:sz w:val="18"/>
          <w:szCs w:val="18"/>
        </w:rPr>
        <w:t>Wft</w:t>
      </w:r>
      <w:proofErr w:type="spellEnd"/>
      <w:r w:rsidR="00C76DF4" w:rsidRPr="00A22E80">
        <w:rPr>
          <w:rFonts w:ascii="Verdana" w:hAnsi="Verdana" w:cs="Arial"/>
          <w:sz w:val="18"/>
          <w:szCs w:val="18"/>
        </w:rPr>
        <w:t xml:space="preserve"> </w:t>
      </w:r>
      <w:r w:rsidRPr="00A22E80">
        <w:rPr>
          <w:rFonts w:ascii="Verdana" w:hAnsi="Verdana" w:cs="Arial"/>
          <w:sz w:val="18"/>
          <w:szCs w:val="18"/>
        </w:rPr>
        <w:t>wordt alsnog voorzien in een volledige implementatie van artikel 115, eerste lid, van</w:t>
      </w:r>
      <w:r w:rsidR="007E2402" w:rsidRPr="00A22E80">
        <w:rPr>
          <w:rFonts w:ascii="Verdana" w:hAnsi="Verdana" w:cs="Arial"/>
          <w:sz w:val="18"/>
          <w:szCs w:val="18"/>
        </w:rPr>
        <w:t xml:space="preserve"> de richtlijn kapitaalvereisten, welke bepaling voorziet </w:t>
      </w:r>
      <w:r w:rsidR="00B7436C" w:rsidRPr="00A22E80">
        <w:rPr>
          <w:rFonts w:ascii="Verdana" w:hAnsi="Verdana" w:cs="Arial"/>
          <w:sz w:val="18"/>
          <w:szCs w:val="18"/>
        </w:rPr>
        <w:t xml:space="preserve">in </w:t>
      </w:r>
      <w:r w:rsidR="007E2402" w:rsidRPr="00A22E80">
        <w:rPr>
          <w:rFonts w:ascii="Verdana" w:hAnsi="Verdana" w:cs="Arial"/>
          <w:sz w:val="18"/>
          <w:szCs w:val="18"/>
        </w:rPr>
        <w:t>een samenwerkingsregeling van toezichthouders die zijn betrokken bij het geconsolideerd toezicht op een bank of beleggingsonderneming.</w:t>
      </w:r>
    </w:p>
    <w:p w:rsidR="00AA56C0" w:rsidRPr="00A22E80" w:rsidRDefault="00AA56C0" w:rsidP="00A22E80">
      <w:pPr>
        <w:widowControl w:val="0"/>
        <w:tabs>
          <w:tab w:val="num" w:pos="720"/>
        </w:tabs>
        <w:spacing w:line="260" w:lineRule="exact"/>
        <w:rPr>
          <w:rFonts w:ascii="Verdana" w:hAnsi="Verdana" w:cs="Arial"/>
          <w:sz w:val="18"/>
          <w:szCs w:val="18"/>
        </w:rPr>
      </w:pPr>
    </w:p>
    <w:p w:rsidR="00272461" w:rsidRPr="00A22E80" w:rsidRDefault="00B301FB" w:rsidP="00A22E80">
      <w:pPr>
        <w:widowControl w:val="0"/>
        <w:spacing w:line="260" w:lineRule="exact"/>
        <w:rPr>
          <w:rFonts w:ascii="Verdana" w:hAnsi="Verdana" w:cs="Arial"/>
          <w:sz w:val="18"/>
          <w:szCs w:val="18"/>
        </w:rPr>
      </w:pPr>
      <w:r w:rsidRPr="00A22E80">
        <w:rPr>
          <w:rFonts w:ascii="Verdana" w:hAnsi="Verdana" w:cs="Arial"/>
          <w:sz w:val="18"/>
          <w:szCs w:val="18"/>
        </w:rPr>
        <w:t>EE</w:t>
      </w:r>
    </w:p>
    <w:p w:rsidR="00272461" w:rsidRPr="00A22E80" w:rsidRDefault="00272461" w:rsidP="00A22E80">
      <w:pPr>
        <w:widowControl w:val="0"/>
        <w:tabs>
          <w:tab w:val="num" w:pos="720"/>
        </w:tabs>
        <w:spacing w:line="260" w:lineRule="exact"/>
        <w:rPr>
          <w:rFonts w:ascii="Verdana" w:hAnsi="Verdana" w:cs="Arial"/>
          <w:sz w:val="18"/>
          <w:szCs w:val="18"/>
        </w:rPr>
      </w:pPr>
    </w:p>
    <w:p w:rsidR="00ED7DB6" w:rsidRPr="00A22E80" w:rsidRDefault="00447AFC" w:rsidP="00A22E80">
      <w:pPr>
        <w:spacing w:line="260" w:lineRule="exact"/>
        <w:rPr>
          <w:rFonts w:ascii="Verdana" w:hAnsi="Verdana"/>
          <w:sz w:val="18"/>
          <w:szCs w:val="18"/>
        </w:rPr>
      </w:pPr>
      <w:r w:rsidRPr="00A22E80">
        <w:rPr>
          <w:rFonts w:ascii="Verdana" w:hAnsi="Verdana"/>
          <w:sz w:val="18"/>
          <w:szCs w:val="18"/>
        </w:rPr>
        <w:t xml:space="preserve">Op dit moment ontbreekt </w:t>
      </w:r>
      <w:r w:rsidR="00ED7DB6" w:rsidRPr="00A22E80">
        <w:rPr>
          <w:rFonts w:ascii="Verdana" w:hAnsi="Verdana"/>
          <w:sz w:val="18"/>
          <w:szCs w:val="18"/>
        </w:rPr>
        <w:t xml:space="preserve">de implementatie van artikel 115, tweede lid, eerste volzin, van de richtlijn kapitaalvereisten. De voorgestelde wijziging </w:t>
      </w:r>
      <w:r w:rsidR="00432BD7" w:rsidRPr="00A22E80">
        <w:rPr>
          <w:rFonts w:ascii="Verdana" w:hAnsi="Verdana"/>
          <w:sz w:val="18"/>
          <w:szCs w:val="18"/>
        </w:rPr>
        <w:t>strekt tot herstel</w:t>
      </w:r>
      <w:r w:rsidR="00ED7DB6" w:rsidRPr="00A22E80">
        <w:rPr>
          <w:rFonts w:ascii="Verdana" w:hAnsi="Verdana"/>
          <w:sz w:val="18"/>
          <w:szCs w:val="18"/>
        </w:rPr>
        <w:t xml:space="preserve"> </w:t>
      </w:r>
      <w:r w:rsidR="00432BD7" w:rsidRPr="00A22E80">
        <w:rPr>
          <w:rFonts w:ascii="Verdana" w:hAnsi="Verdana"/>
          <w:sz w:val="18"/>
          <w:szCs w:val="18"/>
        </w:rPr>
        <w:t xml:space="preserve">van </w:t>
      </w:r>
      <w:r w:rsidR="00ED7DB6" w:rsidRPr="00A22E80">
        <w:rPr>
          <w:rFonts w:ascii="Verdana" w:hAnsi="Verdana"/>
          <w:sz w:val="18"/>
          <w:szCs w:val="18"/>
        </w:rPr>
        <w:t>deze omissie. De betreffende richtlijnbepaling voorziet in de mogelijkheid om in het kader van het geconsolideerde bankentoezicht het individueel (“</w:t>
      </w:r>
      <w:proofErr w:type="spellStart"/>
      <w:r w:rsidR="00ED7DB6" w:rsidRPr="00A22E80">
        <w:rPr>
          <w:rFonts w:ascii="Verdana" w:hAnsi="Verdana"/>
          <w:sz w:val="18"/>
          <w:szCs w:val="18"/>
        </w:rPr>
        <w:t>solo-</w:t>
      </w:r>
      <w:proofErr w:type="spellEnd"/>
      <w:r w:rsidR="00ED7DB6" w:rsidRPr="00A22E80">
        <w:rPr>
          <w:rFonts w:ascii="Verdana" w:hAnsi="Verdana"/>
          <w:sz w:val="18"/>
          <w:szCs w:val="18"/>
        </w:rPr>
        <w:t>”) toezicht, of onderdelen daarvan, op een bank of beleggingsonderneming in de zin van de verordening kapitaalvereisten die gevestigd is in een andere lidstaat dan die van de toezichthouder die toezicht</w:t>
      </w:r>
      <w:r w:rsidR="00EC3B3C" w:rsidRPr="00A22E80">
        <w:rPr>
          <w:rFonts w:ascii="Verdana" w:hAnsi="Verdana"/>
          <w:sz w:val="18"/>
          <w:szCs w:val="18"/>
        </w:rPr>
        <w:t xml:space="preserve"> houdt op de moederonderneming</w:t>
      </w:r>
      <w:r w:rsidR="00EE5345" w:rsidRPr="00A22E80">
        <w:rPr>
          <w:rFonts w:ascii="Verdana" w:hAnsi="Verdana"/>
          <w:sz w:val="18"/>
          <w:szCs w:val="18"/>
        </w:rPr>
        <w:t>,</w:t>
      </w:r>
      <w:r w:rsidR="00EC3B3C" w:rsidRPr="00A22E80">
        <w:rPr>
          <w:rFonts w:ascii="Verdana" w:hAnsi="Verdana"/>
          <w:sz w:val="18"/>
          <w:szCs w:val="18"/>
        </w:rPr>
        <w:t xml:space="preserve"> </w:t>
      </w:r>
      <w:r w:rsidR="00ED7DB6" w:rsidRPr="00A22E80">
        <w:rPr>
          <w:rFonts w:ascii="Verdana" w:hAnsi="Verdana"/>
          <w:sz w:val="18"/>
          <w:szCs w:val="18"/>
        </w:rPr>
        <w:t>aan die toezichthouder over te dragen. Dat is in de regel de consoliderende toezichthouder, de toezichthouder die het geconsolideerde (</w:t>
      </w:r>
      <w:proofErr w:type="spellStart"/>
      <w:r w:rsidR="00ED7DB6" w:rsidRPr="00A22E80">
        <w:rPr>
          <w:rFonts w:ascii="Verdana" w:hAnsi="Verdana"/>
          <w:sz w:val="18"/>
          <w:szCs w:val="18"/>
        </w:rPr>
        <w:t>prudentiële</w:t>
      </w:r>
      <w:proofErr w:type="spellEnd"/>
      <w:r w:rsidR="00ED7DB6" w:rsidRPr="00A22E80">
        <w:rPr>
          <w:rFonts w:ascii="Verdana" w:hAnsi="Verdana"/>
          <w:sz w:val="18"/>
          <w:szCs w:val="18"/>
        </w:rPr>
        <w:t xml:space="preserve">) toezicht uitoefent. Overigens is tot op heden geen behoefte geweest aan toepassing van deze voorziening in de richtlijn. </w:t>
      </w:r>
      <w:r w:rsidR="00AD7406" w:rsidRPr="00A22E80">
        <w:rPr>
          <w:rFonts w:ascii="Verdana" w:hAnsi="Verdana"/>
          <w:sz w:val="18"/>
          <w:szCs w:val="18"/>
        </w:rPr>
        <w:t>Een belangrijk nadeel van de regeling is dat de overnemende autoriteit weliswaar zijn eigen nationale bevoegdheden en (</w:t>
      </w:r>
      <w:proofErr w:type="spellStart"/>
      <w:r w:rsidR="00AD7406" w:rsidRPr="00A22E80">
        <w:rPr>
          <w:rFonts w:ascii="Verdana" w:hAnsi="Verdana"/>
          <w:sz w:val="18"/>
          <w:szCs w:val="18"/>
        </w:rPr>
        <w:t>handhavings</w:t>
      </w:r>
      <w:proofErr w:type="spellEnd"/>
      <w:r w:rsidR="00AD7406" w:rsidRPr="00A22E80">
        <w:rPr>
          <w:rFonts w:ascii="Verdana" w:hAnsi="Verdana"/>
          <w:sz w:val="18"/>
          <w:szCs w:val="18"/>
        </w:rPr>
        <w:t xml:space="preserve">)procedures mag toepassen, maar dat het (materiële) recht waarop het </w:t>
      </w:r>
      <w:proofErr w:type="spellStart"/>
      <w:r w:rsidR="00AD7406" w:rsidRPr="00A22E80">
        <w:rPr>
          <w:rFonts w:ascii="Verdana" w:hAnsi="Verdana"/>
          <w:sz w:val="18"/>
          <w:szCs w:val="18"/>
        </w:rPr>
        <w:t>nalevingstoezicht</w:t>
      </w:r>
      <w:proofErr w:type="spellEnd"/>
      <w:r w:rsidR="00AD7406" w:rsidRPr="00A22E80">
        <w:rPr>
          <w:rFonts w:ascii="Verdana" w:hAnsi="Verdana"/>
          <w:sz w:val="18"/>
          <w:szCs w:val="18"/>
        </w:rPr>
        <w:t xml:space="preserve"> zal </w:t>
      </w:r>
      <w:r w:rsidR="00AD7406" w:rsidRPr="00A22E80">
        <w:rPr>
          <w:rFonts w:ascii="Verdana" w:hAnsi="Verdana"/>
          <w:sz w:val="18"/>
          <w:szCs w:val="18"/>
        </w:rPr>
        <w:lastRenderedPageBreak/>
        <w:t>zien het recht van de staat van de zetel</w:t>
      </w:r>
      <w:r w:rsidR="0017048B" w:rsidRPr="00A22E80">
        <w:rPr>
          <w:rFonts w:ascii="Verdana" w:hAnsi="Verdana"/>
          <w:sz w:val="18"/>
          <w:szCs w:val="18"/>
        </w:rPr>
        <w:t xml:space="preserve"> blijft</w:t>
      </w:r>
      <w:r w:rsidR="00AD7406" w:rsidRPr="00A22E80">
        <w:rPr>
          <w:rFonts w:ascii="Verdana" w:hAnsi="Verdana"/>
          <w:sz w:val="18"/>
          <w:szCs w:val="18"/>
        </w:rPr>
        <w:t xml:space="preserve">. De overnemende toezichthouder zou derhalve, voor zover niet </w:t>
      </w:r>
      <w:r w:rsidR="00B34DB1" w:rsidRPr="00A22E80">
        <w:rPr>
          <w:rFonts w:ascii="Verdana" w:hAnsi="Verdana"/>
          <w:sz w:val="18"/>
          <w:szCs w:val="18"/>
        </w:rPr>
        <w:t xml:space="preserve">sprake is van </w:t>
      </w:r>
      <w:r w:rsidR="00AD7406" w:rsidRPr="00A22E80">
        <w:rPr>
          <w:rFonts w:ascii="Verdana" w:hAnsi="Verdana"/>
          <w:sz w:val="18"/>
          <w:szCs w:val="18"/>
        </w:rPr>
        <w:t>volledig</w:t>
      </w:r>
      <w:r w:rsidR="00B34DB1" w:rsidRPr="00A22E80">
        <w:rPr>
          <w:rFonts w:ascii="Verdana" w:hAnsi="Verdana"/>
          <w:sz w:val="18"/>
          <w:szCs w:val="18"/>
        </w:rPr>
        <w:t xml:space="preserve">e </w:t>
      </w:r>
      <w:r w:rsidR="00AD7406" w:rsidRPr="00A22E80">
        <w:rPr>
          <w:rFonts w:ascii="Verdana" w:hAnsi="Verdana"/>
          <w:sz w:val="18"/>
          <w:szCs w:val="18"/>
        </w:rPr>
        <w:t>harmoni</w:t>
      </w:r>
      <w:r w:rsidR="00AB7ADF" w:rsidRPr="00A22E80">
        <w:rPr>
          <w:rFonts w:ascii="Verdana" w:hAnsi="Verdana"/>
          <w:sz w:val="18"/>
          <w:szCs w:val="18"/>
        </w:rPr>
        <w:t>s</w:t>
      </w:r>
      <w:r w:rsidR="00B34DB1" w:rsidRPr="00A22E80">
        <w:rPr>
          <w:rFonts w:ascii="Verdana" w:hAnsi="Verdana"/>
          <w:sz w:val="18"/>
          <w:szCs w:val="18"/>
        </w:rPr>
        <w:t>atie</w:t>
      </w:r>
      <w:r w:rsidR="00AD7406" w:rsidRPr="00A22E80">
        <w:rPr>
          <w:rFonts w:ascii="Verdana" w:hAnsi="Verdana"/>
          <w:sz w:val="18"/>
          <w:szCs w:val="18"/>
        </w:rPr>
        <w:t xml:space="preserve">, </w:t>
      </w:r>
      <w:r w:rsidR="00F21A53" w:rsidRPr="00A22E80">
        <w:rPr>
          <w:rFonts w:ascii="Verdana" w:hAnsi="Verdana"/>
          <w:sz w:val="18"/>
          <w:szCs w:val="18"/>
        </w:rPr>
        <w:t xml:space="preserve">afwijkend </w:t>
      </w:r>
      <w:r w:rsidR="00AD7406" w:rsidRPr="00A22E80">
        <w:rPr>
          <w:rFonts w:ascii="Verdana" w:hAnsi="Verdana"/>
          <w:sz w:val="18"/>
          <w:szCs w:val="18"/>
        </w:rPr>
        <w:t xml:space="preserve">“vreemd” recht moeten toepassen. </w:t>
      </w:r>
      <w:r w:rsidR="00ED7DB6" w:rsidRPr="00A22E80">
        <w:rPr>
          <w:rFonts w:ascii="Verdana" w:hAnsi="Verdana"/>
          <w:sz w:val="18"/>
          <w:szCs w:val="18"/>
        </w:rPr>
        <w:t xml:space="preserve">De kans dat een bilaterale overeenkomst tot overdracht van het </w:t>
      </w:r>
      <w:proofErr w:type="spellStart"/>
      <w:r w:rsidR="00ED7DB6" w:rsidRPr="00A22E80">
        <w:rPr>
          <w:rFonts w:ascii="Verdana" w:hAnsi="Verdana"/>
          <w:sz w:val="18"/>
          <w:szCs w:val="18"/>
        </w:rPr>
        <w:t>prudentiële</w:t>
      </w:r>
      <w:proofErr w:type="spellEnd"/>
      <w:r w:rsidR="00ED7DB6" w:rsidRPr="00A22E80">
        <w:rPr>
          <w:rFonts w:ascii="Verdana" w:hAnsi="Verdana"/>
          <w:sz w:val="18"/>
          <w:szCs w:val="18"/>
        </w:rPr>
        <w:t xml:space="preserve"> toezicht nog aan de orde zal zijn, is met de komst van het Europees bankentoezicht door de Europese Centrale Bank verder afgenomen aangezien deze in de meeste gevallen van een grensoverschrijdende groep zelf het toezicht zal uitoefenen op zowel de dochteronderneming als de moederonderneming ingevolge</w:t>
      </w:r>
      <w:r w:rsidR="005A57ED" w:rsidRPr="00A22E80">
        <w:rPr>
          <w:rFonts w:ascii="Verdana" w:hAnsi="Verdana"/>
          <w:sz w:val="18"/>
          <w:szCs w:val="18"/>
        </w:rPr>
        <w:t xml:space="preserve"> de verordening bankentoezicht. De regeling behoudt nog </w:t>
      </w:r>
      <w:r w:rsidR="00ED7DB6" w:rsidRPr="00A22E80">
        <w:rPr>
          <w:rFonts w:ascii="Verdana" w:hAnsi="Verdana"/>
          <w:sz w:val="18"/>
          <w:szCs w:val="18"/>
        </w:rPr>
        <w:t xml:space="preserve">relevantie voor een </w:t>
      </w:r>
      <w:r w:rsidR="00AD7406" w:rsidRPr="00A22E80">
        <w:rPr>
          <w:rFonts w:ascii="Verdana" w:hAnsi="Verdana"/>
          <w:sz w:val="18"/>
          <w:szCs w:val="18"/>
        </w:rPr>
        <w:t xml:space="preserve">“niet significante”groep waarop de ECB geen direct toezicht uitoefent en voor </w:t>
      </w:r>
      <w:r w:rsidR="00ED7DB6" w:rsidRPr="00A22E80">
        <w:rPr>
          <w:rFonts w:ascii="Verdana" w:hAnsi="Verdana"/>
          <w:sz w:val="18"/>
          <w:szCs w:val="18"/>
        </w:rPr>
        <w:t xml:space="preserve">grensoverschrijdende groep die deels ligt buiten het gebied van de landen die deelnemen aan de bankenunie. Indien het gaat om een significante bank of om een significante groep en de ECB direct verantwoordelijk is voor het </w:t>
      </w:r>
      <w:proofErr w:type="spellStart"/>
      <w:r w:rsidR="00ED7DB6" w:rsidRPr="00A22E80">
        <w:rPr>
          <w:rFonts w:ascii="Verdana" w:hAnsi="Verdana"/>
          <w:sz w:val="18"/>
          <w:szCs w:val="18"/>
        </w:rPr>
        <w:t>prudentieel</w:t>
      </w:r>
      <w:proofErr w:type="spellEnd"/>
      <w:r w:rsidR="00ED7DB6" w:rsidRPr="00A22E80">
        <w:rPr>
          <w:rFonts w:ascii="Verdana" w:hAnsi="Verdana"/>
          <w:sz w:val="18"/>
          <w:szCs w:val="18"/>
        </w:rPr>
        <w:t xml:space="preserve"> toezicht, zal zij ingevolge artikel 3:1a van de wet treden in de bevoegdheden van DNB op grond van het voorgestelde artikel.</w:t>
      </w:r>
    </w:p>
    <w:p w:rsidR="00ED7DB6" w:rsidRPr="00A22E80" w:rsidRDefault="00ED7DB6" w:rsidP="00A22E80">
      <w:pPr>
        <w:spacing w:line="260" w:lineRule="exact"/>
        <w:rPr>
          <w:rFonts w:ascii="Verdana" w:hAnsi="Verdana"/>
          <w:sz w:val="18"/>
          <w:szCs w:val="18"/>
        </w:rPr>
      </w:pPr>
    </w:p>
    <w:p w:rsidR="009876EB" w:rsidRPr="00A22E80" w:rsidRDefault="00ED7DB6" w:rsidP="00A22E80">
      <w:pPr>
        <w:spacing w:line="260" w:lineRule="exact"/>
        <w:rPr>
          <w:rFonts w:ascii="Verdana" w:hAnsi="Verdana"/>
          <w:sz w:val="18"/>
          <w:szCs w:val="18"/>
        </w:rPr>
      </w:pPr>
      <w:r w:rsidRPr="00A22E80">
        <w:rPr>
          <w:rFonts w:ascii="Verdana" w:hAnsi="Verdana"/>
          <w:sz w:val="18"/>
          <w:szCs w:val="18"/>
        </w:rPr>
        <w:t>In het eerste lid</w:t>
      </w:r>
      <w:r w:rsidR="00EE5345" w:rsidRPr="00A22E80">
        <w:rPr>
          <w:rFonts w:ascii="Verdana" w:hAnsi="Verdana"/>
          <w:sz w:val="18"/>
          <w:szCs w:val="18"/>
        </w:rPr>
        <w:t xml:space="preserve"> </w:t>
      </w:r>
      <w:r w:rsidRPr="00A22E80">
        <w:rPr>
          <w:rFonts w:ascii="Verdana" w:hAnsi="Verdana"/>
          <w:sz w:val="18"/>
          <w:szCs w:val="18"/>
        </w:rPr>
        <w:t xml:space="preserve">van het voorgestelde artikel wordt achtereenvolgens de situatie geregeld waarin het (individueel) </w:t>
      </w:r>
      <w:proofErr w:type="spellStart"/>
      <w:r w:rsidRPr="00A22E80">
        <w:rPr>
          <w:rFonts w:ascii="Verdana" w:hAnsi="Verdana"/>
          <w:sz w:val="18"/>
          <w:szCs w:val="18"/>
        </w:rPr>
        <w:t>prudentieel</w:t>
      </w:r>
      <w:proofErr w:type="spellEnd"/>
      <w:r w:rsidRPr="00A22E80">
        <w:rPr>
          <w:rFonts w:ascii="Verdana" w:hAnsi="Verdana"/>
          <w:sz w:val="18"/>
          <w:szCs w:val="18"/>
        </w:rPr>
        <w:t xml:space="preserve"> toezicht, of onderdelen daarvan, op een Nederlandse bank of beleggingsonderneming overgaat naar de toezichthouder van een ander lidstaat, en de situatie waarin het toezicht op een bank of beleggin</w:t>
      </w:r>
      <w:r w:rsidR="003F02BC" w:rsidRPr="00A22E80">
        <w:rPr>
          <w:rFonts w:ascii="Verdana" w:hAnsi="Verdana"/>
          <w:sz w:val="18"/>
          <w:szCs w:val="18"/>
        </w:rPr>
        <w:t xml:space="preserve">gsonderneming die is gevestigd </w:t>
      </w:r>
      <w:r w:rsidRPr="00A22E80">
        <w:rPr>
          <w:rFonts w:ascii="Verdana" w:hAnsi="Verdana"/>
          <w:sz w:val="18"/>
          <w:szCs w:val="18"/>
        </w:rPr>
        <w:t xml:space="preserve">in een ander lidstaat wordt overgenomen door DNB. </w:t>
      </w:r>
      <w:r w:rsidR="009876EB" w:rsidRPr="00A22E80">
        <w:rPr>
          <w:rFonts w:ascii="Verdana" w:hAnsi="Verdana"/>
          <w:sz w:val="18"/>
          <w:szCs w:val="18"/>
        </w:rPr>
        <w:t xml:space="preserve">In de formulering is de voorwaarde uit artikel 115, tweede lid, van de richtlijn kapitaalvereisten overgenomen dat de bilaterale overeenkomt tot stand komt overeenkomstig artikel 28 van EU-verordening 1093/2010 tot oprichting van de Europese Bankautoriteit. Hierin wordt onder andere bepaald dat “het recht van de gedelegeerde autoriteit van toepassing [is] op de procedure, de handhaving en de administratieve en gerechtelijke toetsing van de gedelegeerde verantwoordelijkheden.” Dit betekent dat wanneer verantwoordelijkheden van </w:t>
      </w:r>
      <w:proofErr w:type="spellStart"/>
      <w:r w:rsidR="009876EB" w:rsidRPr="00A22E80">
        <w:rPr>
          <w:rFonts w:ascii="Verdana" w:hAnsi="Verdana"/>
          <w:sz w:val="18"/>
          <w:szCs w:val="18"/>
        </w:rPr>
        <w:t>prudentieel</w:t>
      </w:r>
      <w:proofErr w:type="spellEnd"/>
      <w:r w:rsidR="009876EB" w:rsidRPr="00A22E80">
        <w:rPr>
          <w:rFonts w:ascii="Verdana" w:hAnsi="Verdana"/>
          <w:sz w:val="18"/>
          <w:szCs w:val="18"/>
        </w:rPr>
        <w:t xml:space="preserve"> toezicht door DNB eenmaal zijn overgedragen aan een toezichthoudende instantie van een andere lidstaat, uitsluitend die instantie bevoegd is en niet langer DNB (en </w:t>
      </w:r>
      <w:proofErr w:type="spellStart"/>
      <w:r w:rsidR="009876EB" w:rsidRPr="00A22E80">
        <w:rPr>
          <w:rFonts w:ascii="Verdana" w:hAnsi="Verdana"/>
          <w:sz w:val="18"/>
          <w:szCs w:val="18"/>
        </w:rPr>
        <w:t>vice</w:t>
      </w:r>
      <w:proofErr w:type="spellEnd"/>
      <w:r w:rsidR="009876EB" w:rsidRPr="00A22E80">
        <w:rPr>
          <w:rFonts w:ascii="Verdana" w:hAnsi="Verdana"/>
          <w:sz w:val="18"/>
          <w:szCs w:val="18"/>
        </w:rPr>
        <w:t xml:space="preserve"> versa).</w:t>
      </w:r>
    </w:p>
    <w:p w:rsidR="009876EB" w:rsidRPr="00A22E80" w:rsidRDefault="009876EB" w:rsidP="00A22E80">
      <w:pPr>
        <w:spacing w:line="260" w:lineRule="exact"/>
        <w:rPr>
          <w:rFonts w:ascii="Verdana" w:hAnsi="Verdana"/>
          <w:sz w:val="18"/>
          <w:szCs w:val="18"/>
        </w:rPr>
      </w:pPr>
    </w:p>
    <w:p w:rsidR="00ED7DB6" w:rsidRPr="00A22E80" w:rsidRDefault="009876EB" w:rsidP="00A22E80">
      <w:pPr>
        <w:spacing w:line="260" w:lineRule="exact"/>
        <w:rPr>
          <w:rFonts w:ascii="Verdana" w:hAnsi="Verdana"/>
          <w:sz w:val="18"/>
          <w:szCs w:val="18"/>
        </w:rPr>
      </w:pPr>
      <w:r w:rsidRPr="00A22E80">
        <w:rPr>
          <w:rFonts w:ascii="Verdana" w:hAnsi="Verdana"/>
          <w:sz w:val="18"/>
          <w:szCs w:val="18"/>
        </w:rPr>
        <w:t xml:space="preserve">Aangezien het uitgangspunt voor de uitoefening van het </w:t>
      </w:r>
      <w:proofErr w:type="spellStart"/>
      <w:r w:rsidRPr="00A22E80">
        <w:rPr>
          <w:rFonts w:ascii="Verdana" w:hAnsi="Verdana"/>
          <w:sz w:val="18"/>
          <w:szCs w:val="18"/>
        </w:rPr>
        <w:t>prudentieel</w:t>
      </w:r>
      <w:proofErr w:type="spellEnd"/>
      <w:r w:rsidRPr="00A22E80">
        <w:rPr>
          <w:rFonts w:ascii="Verdana" w:hAnsi="Verdana"/>
          <w:sz w:val="18"/>
          <w:szCs w:val="18"/>
        </w:rPr>
        <w:t xml:space="preserve"> toezicht op grond van de wet is dat onder toezichtgestelde ondernemingen hun zetel in Nederland hebben, wordt in het tweede lid de onderneming met zetel in een andere lidstaat waarvan het toezicht door DNB is overgenomen, daarmee gelijkgesteld. Door deze gelijkstelling zijn de nationale wettelijke bevoegdheden van toepassing, die nodig zijn voor de bevoegdheden tot uitoefening van (de onderdelen van het) overgenomen </w:t>
      </w:r>
      <w:proofErr w:type="spellStart"/>
      <w:r w:rsidRPr="00A22E80">
        <w:rPr>
          <w:rFonts w:ascii="Verdana" w:hAnsi="Verdana"/>
          <w:sz w:val="18"/>
          <w:szCs w:val="18"/>
        </w:rPr>
        <w:t>prudentieel</w:t>
      </w:r>
      <w:proofErr w:type="spellEnd"/>
      <w:r w:rsidRPr="00A22E80">
        <w:rPr>
          <w:rFonts w:ascii="Verdana" w:hAnsi="Verdana"/>
          <w:sz w:val="18"/>
          <w:szCs w:val="18"/>
        </w:rPr>
        <w:t xml:space="preserve"> toezicht.</w:t>
      </w:r>
    </w:p>
    <w:p w:rsidR="00ED7DB6" w:rsidRPr="00A22E80" w:rsidRDefault="00ED7DB6" w:rsidP="00A22E80">
      <w:pPr>
        <w:spacing w:line="260" w:lineRule="exact"/>
        <w:rPr>
          <w:rFonts w:ascii="Verdana" w:hAnsi="Verdana"/>
          <w:sz w:val="18"/>
          <w:szCs w:val="18"/>
        </w:rPr>
      </w:pPr>
    </w:p>
    <w:p w:rsidR="00ED7DB6" w:rsidRPr="00A22E80" w:rsidRDefault="00ED7DB6" w:rsidP="00A22E80">
      <w:pPr>
        <w:spacing w:line="260" w:lineRule="exact"/>
        <w:rPr>
          <w:rFonts w:ascii="Verdana" w:hAnsi="Verdana"/>
          <w:sz w:val="18"/>
          <w:szCs w:val="18"/>
        </w:rPr>
      </w:pPr>
      <w:r w:rsidRPr="00A22E80">
        <w:rPr>
          <w:rFonts w:ascii="Verdana" w:hAnsi="Verdana"/>
          <w:sz w:val="18"/>
          <w:szCs w:val="18"/>
        </w:rPr>
        <w:t>Artikel 28 van de verordening bepaalt ook dat de lidstaten nadere regels kunnen vaststellen en de werkingssfeer van de regeling kunnen beperken. In de uitvoering van die mogelijkheid is voorzien in d</w:t>
      </w:r>
      <w:r w:rsidR="009876EB" w:rsidRPr="00A22E80">
        <w:rPr>
          <w:rFonts w:ascii="Verdana" w:hAnsi="Verdana"/>
          <w:sz w:val="18"/>
          <w:szCs w:val="18"/>
        </w:rPr>
        <w:t>e delegatiegrondslag in het der</w:t>
      </w:r>
      <w:r w:rsidRPr="00A22E80">
        <w:rPr>
          <w:rFonts w:ascii="Verdana" w:hAnsi="Verdana"/>
          <w:sz w:val="18"/>
          <w:szCs w:val="18"/>
        </w:rPr>
        <w:t>de lid.</w:t>
      </w:r>
    </w:p>
    <w:p w:rsidR="00903CAB" w:rsidRPr="00A22E80" w:rsidRDefault="00903CAB" w:rsidP="00A22E80">
      <w:pPr>
        <w:widowControl w:val="0"/>
        <w:tabs>
          <w:tab w:val="num" w:pos="720"/>
        </w:tabs>
        <w:spacing w:line="260" w:lineRule="exact"/>
        <w:rPr>
          <w:rFonts w:ascii="Verdana" w:hAnsi="Verdana" w:cs="Arial"/>
          <w:sz w:val="18"/>
          <w:szCs w:val="18"/>
        </w:rPr>
      </w:pPr>
    </w:p>
    <w:p w:rsidR="00903CAB" w:rsidRPr="00A22E80" w:rsidRDefault="00B301FB"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FF</w:t>
      </w:r>
      <w:r w:rsidR="00EE5345" w:rsidRPr="00A22E80">
        <w:rPr>
          <w:rFonts w:ascii="Verdana" w:hAnsi="Verdana" w:cs="Arial"/>
          <w:sz w:val="18"/>
          <w:szCs w:val="18"/>
        </w:rPr>
        <w:t xml:space="preserve"> en </w:t>
      </w:r>
      <w:r w:rsidRPr="00A22E80">
        <w:rPr>
          <w:rFonts w:ascii="Verdana" w:hAnsi="Verdana" w:cs="Arial"/>
          <w:sz w:val="18"/>
          <w:szCs w:val="18"/>
        </w:rPr>
        <w:t>GG</w:t>
      </w:r>
    </w:p>
    <w:p w:rsidR="00903CAB" w:rsidRPr="00A22E80" w:rsidRDefault="00903CAB" w:rsidP="00A22E80">
      <w:pPr>
        <w:widowControl w:val="0"/>
        <w:tabs>
          <w:tab w:val="num" w:pos="720"/>
        </w:tabs>
        <w:spacing w:line="260" w:lineRule="exact"/>
        <w:rPr>
          <w:rFonts w:ascii="Verdana" w:hAnsi="Verdana" w:cs="Arial"/>
          <w:sz w:val="18"/>
          <w:szCs w:val="18"/>
        </w:rPr>
      </w:pPr>
    </w:p>
    <w:p w:rsidR="00903CAB" w:rsidRPr="00A22E80" w:rsidRDefault="0042743C" w:rsidP="00A22E80">
      <w:pPr>
        <w:widowControl w:val="0"/>
        <w:tabs>
          <w:tab w:val="num" w:pos="720"/>
        </w:tabs>
        <w:spacing w:line="260" w:lineRule="exact"/>
        <w:rPr>
          <w:rFonts w:ascii="Verdana" w:hAnsi="Verdana" w:cs="Arial"/>
          <w:sz w:val="18"/>
          <w:szCs w:val="18"/>
        </w:rPr>
      </w:pPr>
      <w:r w:rsidRPr="00A22E80">
        <w:rPr>
          <w:rFonts w:ascii="Verdana" w:hAnsi="Verdana"/>
          <w:sz w:val="18"/>
          <w:szCs w:val="18"/>
        </w:rPr>
        <w:t xml:space="preserve">De materiële inhoud van artikel 3:282 </w:t>
      </w:r>
      <w:proofErr w:type="spellStart"/>
      <w:r w:rsidRPr="00A22E80">
        <w:rPr>
          <w:rFonts w:ascii="Verdana" w:hAnsi="Verdana"/>
          <w:sz w:val="18"/>
          <w:szCs w:val="18"/>
        </w:rPr>
        <w:t>Wft</w:t>
      </w:r>
      <w:proofErr w:type="spellEnd"/>
      <w:r w:rsidRPr="00A22E80">
        <w:rPr>
          <w:rFonts w:ascii="Verdana" w:hAnsi="Verdana"/>
          <w:sz w:val="18"/>
          <w:szCs w:val="18"/>
        </w:rPr>
        <w:t xml:space="preserve"> is nu opgenomen in artikel 3:285 </w:t>
      </w:r>
      <w:proofErr w:type="spellStart"/>
      <w:r w:rsidRPr="00A22E80">
        <w:rPr>
          <w:rFonts w:ascii="Verdana" w:hAnsi="Verdana"/>
          <w:sz w:val="18"/>
          <w:szCs w:val="18"/>
        </w:rPr>
        <w:t>Wft</w:t>
      </w:r>
      <w:proofErr w:type="spellEnd"/>
      <w:r w:rsidRPr="00A22E80">
        <w:rPr>
          <w:rFonts w:ascii="Verdana" w:hAnsi="Verdana"/>
          <w:sz w:val="18"/>
          <w:szCs w:val="18"/>
        </w:rPr>
        <w:t>. De verwijzing</w:t>
      </w:r>
      <w:r w:rsidR="00D7703C" w:rsidRPr="00A22E80">
        <w:rPr>
          <w:rFonts w:ascii="Verdana" w:hAnsi="Verdana"/>
          <w:sz w:val="18"/>
          <w:szCs w:val="18"/>
        </w:rPr>
        <w:t xml:space="preserve"> in artikel 3:287 </w:t>
      </w:r>
      <w:proofErr w:type="spellStart"/>
      <w:r w:rsidR="00D7703C" w:rsidRPr="00A22E80">
        <w:rPr>
          <w:rFonts w:ascii="Verdana" w:hAnsi="Verdana"/>
          <w:sz w:val="18"/>
          <w:szCs w:val="18"/>
        </w:rPr>
        <w:t>Wft</w:t>
      </w:r>
      <w:proofErr w:type="spellEnd"/>
      <w:r w:rsidRPr="00A22E80">
        <w:rPr>
          <w:rFonts w:ascii="Verdana" w:hAnsi="Verdana"/>
          <w:sz w:val="18"/>
          <w:szCs w:val="18"/>
        </w:rPr>
        <w:t xml:space="preserve"> is hiermee in lijn gebracht. </w:t>
      </w:r>
      <w:r w:rsidRPr="00A22E80">
        <w:rPr>
          <w:rFonts w:ascii="Verdana" w:hAnsi="Verdana" w:cs="Arial"/>
          <w:sz w:val="18"/>
          <w:szCs w:val="18"/>
        </w:rPr>
        <w:t>In artikel 3:288j, eerste lid, wordt gesproken van “</w:t>
      </w:r>
      <w:proofErr w:type="spellStart"/>
      <w:r w:rsidRPr="00A22E80">
        <w:rPr>
          <w:rFonts w:ascii="Verdana" w:hAnsi="Verdana" w:cs="Arial"/>
          <w:sz w:val="18"/>
          <w:szCs w:val="18"/>
        </w:rPr>
        <w:t>verzekeringsrichtlijntoezicht</w:t>
      </w:r>
      <w:proofErr w:type="spellEnd"/>
      <w:r w:rsidRPr="00A22E80">
        <w:rPr>
          <w:rFonts w:ascii="Verdana" w:hAnsi="Verdana" w:cs="Arial"/>
          <w:sz w:val="18"/>
          <w:szCs w:val="18"/>
        </w:rPr>
        <w:t>”, maar de juiste aanduiding is</w:t>
      </w:r>
      <w:r w:rsidR="00236761" w:rsidRPr="00A22E80">
        <w:rPr>
          <w:rFonts w:ascii="Verdana" w:hAnsi="Verdana" w:cs="Arial"/>
          <w:sz w:val="18"/>
          <w:szCs w:val="18"/>
        </w:rPr>
        <w:t>:</w:t>
      </w:r>
      <w:r w:rsidRPr="00A22E80">
        <w:rPr>
          <w:rFonts w:ascii="Verdana" w:hAnsi="Verdana" w:cs="Arial"/>
          <w:sz w:val="18"/>
          <w:szCs w:val="18"/>
        </w:rPr>
        <w:t xml:space="preserve"> </w:t>
      </w:r>
      <w:proofErr w:type="spellStart"/>
      <w:r w:rsidRPr="00A22E80">
        <w:rPr>
          <w:rFonts w:ascii="Verdana" w:hAnsi="Verdana" w:cs="Arial"/>
          <w:sz w:val="18"/>
          <w:szCs w:val="18"/>
        </w:rPr>
        <w:t>verzekeringsrichtlijn</w:t>
      </w:r>
      <w:r w:rsidRPr="00A22E80">
        <w:rPr>
          <w:rFonts w:ascii="Verdana" w:hAnsi="Verdana" w:cs="Arial"/>
          <w:i/>
          <w:sz w:val="18"/>
          <w:szCs w:val="18"/>
        </w:rPr>
        <w:t>groeps</w:t>
      </w:r>
      <w:r w:rsidRPr="00A22E80">
        <w:rPr>
          <w:rFonts w:ascii="Verdana" w:hAnsi="Verdana" w:cs="Arial"/>
          <w:sz w:val="18"/>
          <w:szCs w:val="18"/>
        </w:rPr>
        <w:t>toezicht</w:t>
      </w:r>
      <w:proofErr w:type="spellEnd"/>
      <w:r w:rsidRPr="00A22E80">
        <w:rPr>
          <w:rFonts w:ascii="Verdana" w:hAnsi="Verdana" w:cs="Arial"/>
          <w:sz w:val="18"/>
          <w:szCs w:val="18"/>
        </w:rPr>
        <w:t xml:space="preserve">. </w:t>
      </w:r>
      <w:r w:rsidR="00EE5345" w:rsidRPr="00A22E80">
        <w:rPr>
          <w:rFonts w:ascii="Verdana" w:hAnsi="Verdana" w:cs="Arial"/>
          <w:sz w:val="18"/>
          <w:szCs w:val="18"/>
        </w:rPr>
        <w:t xml:space="preserve">Zie </w:t>
      </w:r>
      <w:r w:rsidRPr="00A22E80">
        <w:rPr>
          <w:rFonts w:ascii="Verdana" w:hAnsi="Verdana" w:cs="Arial"/>
          <w:sz w:val="18"/>
          <w:szCs w:val="18"/>
        </w:rPr>
        <w:t xml:space="preserve">ook </w:t>
      </w:r>
      <w:r w:rsidR="00ED5BFB" w:rsidRPr="00A22E80">
        <w:rPr>
          <w:rFonts w:ascii="Verdana" w:hAnsi="Verdana" w:cs="Arial"/>
          <w:sz w:val="18"/>
          <w:szCs w:val="18"/>
        </w:rPr>
        <w:t xml:space="preserve">de toelichting bij </w:t>
      </w:r>
      <w:r w:rsidR="00EE5345" w:rsidRPr="00A22E80">
        <w:rPr>
          <w:rFonts w:ascii="Verdana" w:hAnsi="Verdana" w:cs="Arial"/>
          <w:sz w:val="18"/>
          <w:szCs w:val="18"/>
        </w:rPr>
        <w:t xml:space="preserve">onderdeel </w:t>
      </w:r>
      <w:r w:rsidR="00D7238C" w:rsidRPr="00A22E80">
        <w:rPr>
          <w:rFonts w:ascii="Verdana" w:hAnsi="Verdana" w:cs="Arial"/>
          <w:sz w:val="18"/>
          <w:szCs w:val="18"/>
        </w:rPr>
        <w:t>E</w:t>
      </w:r>
      <w:r w:rsidR="00903CAB" w:rsidRPr="00A22E80">
        <w:rPr>
          <w:rFonts w:ascii="Verdana" w:hAnsi="Verdana" w:cs="Arial"/>
          <w:sz w:val="18"/>
          <w:szCs w:val="18"/>
        </w:rPr>
        <w:t>.</w:t>
      </w:r>
    </w:p>
    <w:p w:rsidR="003F03B5" w:rsidRPr="00A22E80" w:rsidRDefault="003F03B5" w:rsidP="00A22E80">
      <w:pPr>
        <w:widowControl w:val="0"/>
        <w:tabs>
          <w:tab w:val="num" w:pos="720"/>
        </w:tabs>
        <w:spacing w:line="260" w:lineRule="exact"/>
        <w:rPr>
          <w:rFonts w:ascii="Verdana" w:hAnsi="Verdana" w:cs="Arial"/>
          <w:sz w:val="18"/>
          <w:szCs w:val="18"/>
        </w:rPr>
      </w:pPr>
    </w:p>
    <w:p w:rsidR="00F33164" w:rsidRPr="00A22E80" w:rsidRDefault="00E518D3"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HH</w:t>
      </w:r>
      <w:r w:rsidR="00ED5BFB" w:rsidRPr="00A22E80">
        <w:rPr>
          <w:rFonts w:ascii="Verdana" w:hAnsi="Verdana" w:cs="Arial"/>
          <w:sz w:val="18"/>
          <w:szCs w:val="18"/>
        </w:rPr>
        <w:t xml:space="preserve"> en </w:t>
      </w:r>
      <w:r w:rsidRPr="00A22E80">
        <w:rPr>
          <w:rFonts w:ascii="Verdana" w:hAnsi="Verdana" w:cs="Arial"/>
          <w:sz w:val="18"/>
          <w:szCs w:val="18"/>
        </w:rPr>
        <w:t>II</w:t>
      </w:r>
    </w:p>
    <w:p w:rsidR="00F33164" w:rsidRPr="00A22E80" w:rsidRDefault="00F33164" w:rsidP="00A22E80">
      <w:pPr>
        <w:widowControl w:val="0"/>
        <w:spacing w:line="260" w:lineRule="exact"/>
        <w:rPr>
          <w:rFonts w:ascii="Verdana" w:hAnsi="Verdana" w:cs="Arial"/>
          <w:sz w:val="18"/>
          <w:szCs w:val="18"/>
        </w:rPr>
      </w:pPr>
    </w:p>
    <w:p w:rsidR="009361BE" w:rsidRPr="00A22E80" w:rsidRDefault="00F33164" w:rsidP="00A22E80">
      <w:pPr>
        <w:spacing w:line="260" w:lineRule="exact"/>
        <w:rPr>
          <w:rFonts w:ascii="Verdana" w:hAnsi="Verdana"/>
          <w:sz w:val="18"/>
          <w:szCs w:val="18"/>
        </w:rPr>
      </w:pPr>
      <w:r w:rsidRPr="00A22E80">
        <w:rPr>
          <w:rFonts w:ascii="Verdana" w:hAnsi="Verdana"/>
          <w:sz w:val="18"/>
          <w:szCs w:val="18"/>
        </w:rPr>
        <w:t xml:space="preserve">Hoofdstuk III van de richtlijn herstel en afwikkeling van banken en beleggingsondernemingen bevat bepalingen ter zake van overeenkomsten voor financiële steun binnen een groep. </w:t>
      </w:r>
      <w:r w:rsidR="009361BE" w:rsidRPr="00A22E80">
        <w:rPr>
          <w:rFonts w:ascii="Verdana" w:hAnsi="Verdana"/>
          <w:sz w:val="18"/>
          <w:szCs w:val="18"/>
        </w:rPr>
        <w:t xml:space="preserve">Deze overeenkomst kan voorzien in financiële steun van de moederonderneming aan dochterondernemingen, van dochterondernemingen aan de moederonderneming, tussen dochterondernemingen van de groep die partij zijn bij de overeenkomst, of elke combinatie van deze entiteiten (artikel 19, vijfde lid van de richtlijn herstel en afwikkeling van banken en beleggingsondernemingen). Artikel 3:300, eerste lid, onderdeel c, maakt het mogelijk dat een overeenkomst voor financiële steun wordt gesloten tussen één of meer van de daar genoemde entiteiten indien zij onderdeel uitmaken van dezelfde groep, zonder dat daarbij ook de </w:t>
      </w:r>
      <w:proofErr w:type="spellStart"/>
      <w:r w:rsidR="009361BE" w:rsidRPr="00A22E80">
        <w:rPr>
          <w:rFonts w:ascii="Verdana" w:hAnsi="Verdana"/>
          <w:sz w:val="18"/>
          <w:szCs w:val="18"/>
        </w:rPr>
        <w:t>EU-moederinstelling</w:t>
      </w:r>
      <w:proofErr w:type="spellEnd"/>
      <w:r w:rsidR="009361BE" w:rsidRPr="00A22E80">
        <w:rPr>
          <w:rFonts w:ascii="Verdana" w:hAnsi="Verdana"/>
          <w:sz w:val="18"/>
          <w:szCs w:val="18"/>
        </w:rPr>
        <w:t xml:space="preserve"> partij is. In artikel 20 van de richtlijn herstel en afwikkeling van banken en beleggingsondernemingen wordt wel van de </w:t>
      </w:r>
      <w:proofErr w:type="spellStart"/>
      <w:r w:rsidR="009361BE" w:rsidRPr="00A22E80">
        <w:rPr>
          <w:rFonts w:ascii="Verdana" w:hAnsi="Verdana"/>
          <w:sz w:val="18"/>
          <w:szCs w:val="18"/>
        </w:rPr>
        <w:t>EU-moederinstelling</w:t>
      </w:r>
      <w:proofErr w:type="spellEnd"/>
      <w:r w:rsidR="009361BE" w:rsidRPr="00A22E80">
        <w:rPr>
          <w:rFonts w:ascii="Verdana" w:hAnsi="Verdana"/>
          <w:sz w:val="18"/>
          <w:szCs w:val="18"/>
        </w:rPr>
        <w:t xml:space="preserve"> verlangd dat deze instemming vraagt van de consoliderende toezichthouder voor het sluiten van de overeenkomst. Artikel 3:300, eerste lid, wordt thans in die zin gewijzigd dat een overeenkomst alleen dan een overeenkomst voor financiële steun binnen een groep in de zin van </w:t>
      </w:r>
      <w:r w:rsidR="00A20129">
        <w:rPr>
          <w:rFonts w:ascii="Verdana" w:hAnsi="Verdana"/>
          <w:sz w:val="18"/>
          <w:szCs w:val="18"/>
        </w:rPr>
        <w:t>a</w:t>
      </w:r>
      <w:r w:rsidR="009361BE" w:rsidRPr="00A22E80">
        <w:rPr>
          <w:rFonts w:ascii="Verdana" w:hAnsi="Verdana"/>
          <w:sz w:val="18"/>
          <w:szCs w:val="18"/>
        </w:rPr>
        <w:t xml:space="preserve">fdeling 3.6.5 </w:t>
      </w:r>
      <w:proofErr w:type="spellStart"/>
      <w:r w:rsidR="009361BE" w:rsidRPr="00A22E80">
        <w:rPr>
          <w:rFonts w:ascii="Verdana" w:hAnsi="Verdana"/>
          <w:sz w:val="18"/>
          <w:szCs w:val="18"/>
        </w:rPr>
        <w:t>Wft</w:t>
      </w:r>
      <w:proofErr w:type="spellEnd"/>
      <w:r w:rsidR="009361BE" w:rsidRPr="00A22E80">
        <w:rPr>
          <w:rFonts w:ascii="Verdana" w:hAnsi="Verdana"/>
          <w:sz w:val="18"/>
          <w:szCs w:val="18"/>
        </w:rPr>
        <w:t xml:space="preserve"> is indien een </w:t>
      </w:r>
      <w:proofErr w:type="spellStart"/>
      <w:r w:rsidR="009361BE" w:rsidRPr="00A22E80">
        <w:rPr>
          <w:rFonts w:ascii="Verdana" w:hAnsi="Verdana"/>
          <w:sz w:val="18"/>
          <w:szCs w:val="18"/>
        </w:rPr>
        <w:t>EU-moederinstelling</w:t>
      </w:r>
      <w:proofErr w:type="spellEnd"/>
      <w:r w:rsidR="009361BE" w:rsidRPr="00A22E80">
        <w:rPr>
          <w:rFonts w:ascii="Verdana" w:hAnsi="Verdana"/>
          <w:sz w:val="18"/>
          <w:szCs w:val="18"/>
        </w:rPr>
        <w:t xml:space="preserve"> partij is bij de overeenkomst. Hiermee wordt beter aangesloten bij het regime van de richtlijn herstel en afwikkeling van banken en beleggingsondernemingen. Een overeenkomst behoefte niet noodzakelijk te behelzen dat door de moederinstelling steun wordt verleend of ontvangen, zij dient daarbij wel altijd partij te zijn. </w:t>
      </w:r>
    </w:p>
    <w:p w:rsidR="009361BE" w:rsidRPr="00A22E80" w:rsidRDefault="009361BE" w:rsidP="00A22E80">
      <w:pPr>
        <w:spacing w:line="260" w:lineRule="exact"/>
        <w:rPr>
          <w:rFonts w:ascii="Verdana" w:hAnsi="Verdana"/>
          <w:sz w:val="18"/>
          <w:szCs w:val="18"/>
        </w:rPr>
      </w:pPr>
    </w:p>
    <w:p w:rsidR="001278EE" w:rsidRPr="00A22E80" w:rsidRDefault="009361BE" w:rsidP="00A22E80">
      <w:pPr>
        <w:spacing w:line="260" w:lineRule="exact"/>
        <w:rPr>
          <w:rFonts w:ascii="Verdana" w:hAnsi="Verdana"/>
          <w:sz w:val="18"/>
          <w:szCs w:val="18"/>
        </w:rPr>
      </w:pPr>
      <w:r w:rsidRPr="00A22E80">
        <w:rPr>
          <w:rFonts w:ascii="Verdana" w:hAnsi="Verdana"/>
          <w:sz w:val="18"/>
          <w:szCs w:val="18"/>
        </w:rPr>
        <w:t xml:space="preserve">De voorgestelde wijziging heeft daarbij niet tot gevolg dat tussen onderdelen van een groep geen overeenkomsten meer kunnen worden gesloten zonder dat de </w:t>
      </w:r>
      <w:proofErr w:type="spellStart"/>
      <w:r w:rsidRPr="00A22E80">
        <w:rPr>
          <w:rFonts w:ascii="Verdana" w:hAnsi="Verdana"/>
          <w:sz w:val="18"/>
          <w:szCs w:val="18"/>
        </w:rPr>
        <w:t>EU-moederinstelling</w:t>
      </w:r>
      <w:proofErr w:type="spellEnd"/>
      <w:r w:rsidRPr="00A22E80">
        <w:rPr>
          <w:rFonts w:ascii="Verdana" w:hAnsi="Verdana"/>
          <w:sz w:val="18"/>
          <w:szCs w:val="18"/>
        </w:rPr>
        <w:t xml:space="preserve"> partij is maar wel dat dergelijke overeenkomsten niet langer binnen de reikwijdte van genoemde afdeling vallen. Tevens wordt beter tot uitdrukking gebracht dat ook holdings niet zijnde een </w:t>
      </w:r>
      <w:proofErr w:type="spellStart"/>
      <w:r w:rsidRPr="00A22E80">
        <w:rPr>
          <w:rFonts w:ascii="Verdana" w:hAnsi="Verdana"/>
          <w:sz w:val="18"/>
          <w:szCs w:val="18"/>
        </w:rPr>
        <w:t>EU-moederinstelling</w:t>
      </w:r>
      <w:proofErr w:type="spellEnd"/>
      <w:r w:rsidRPr="00A22E80">
        <w:rPr>
          <w:rFonts w:ascii="Verdana" w:hAnsi="Verdana"/>
          <w:sz w:val="18"/>
          <w:szCs w:val="18"/>
        </w:rPr>
        <w:t xml:space="preserve"> (hetgeen per definitie een bank of beleggings</w:t>
      </w:r>
      <w:r w:rsidR="00661550" w:rsidRPr="00A22E80">
        <w:rPr>
          <w:rFonts w:ascii="Verdana" w:hAnsi="Verdana"/>
          <w:sz w:val="18"/>
          <w:szCs w:val="18"/>
        </w:rPr>
        <w:t>onderneming</w:t>
      </w:r>
      <w:r w:rsidRPr="00A22E80">
        <w:rPr>
          <w:rFonts w:ascii="Verdana" w:hAnsi="Verdana"/>
          <w:sz w:val="18"/>
          <w:szCs w:val="18"/>
        </w:rPr>
        <w:t xml:space="preserve"> is) partij kunnen zijn bij een overeenkomst voor financiële steun binnen een groep.</w:t>
      </w:r>
    </w:p>
    <w:p w:rsidR="00F33164" w:rsidRPr="00A22E80" w:rsidRDefault="00F33164" w:rsidP="00A22E80">
      <w:pPr>
        <w:widowControl w:val="0"/>
        <w:tabs>
          <w:tab w:val="num" w:pos="720"/>
        </w:tabs>
        <w:spacing w:line="260" w:lineRule="exact"/>
        <w:rPr>
          <w:rFonts w:ascii="Verdana" w:hAnsi="Verdana" w:cs="Arial"/>
          <w:sz w:val="18"/>
          <w:szCs w:val="18"/>
        </w:rPr>
      </w:pPr>
    </w:p>
    <w:p w:rsidR="00660F71" w:rsidRPr="00A22E80" w:rsidRDefault="00263E1C"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JJ</w:t>
      </w:r>
    </w:p>
    <w:p w:rsidR="00660F71" w:rsidRPr="00A22E80" w:rsidRDefault="00660F71" w:rsidP="00A22E80">
      <w:pPr>
        <w:widowControl w:val="0"/>
        <w:tabs>
          <w:tab w:val="num" w:pos="720"/>
        </w:tabs>
        <w:spacing w:line="260" w:lineRule="exact"/>
        <w:rPr>
          <w:rFonts w:ascii="Verdana" w:hAnsi="Verdana" w:cs="Arial"/>
          <w:sz w:val="18"/>
          <w:szCs w:val="18"/>
        </w:rPr>
      </w:pPr>
    </w:p>
    <w:p w:rsidR="00661550" w:rsidRPr="00A22E80" w:rsidRDefault="00661550"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1. Bij de implementatie van de richtlijn herstel en afwikkeling van banken en beleggingsondernemingen ontbrak de definitie van het begrip “afwikkelingsautoriteit”. Deze omissie wordt hierbij hersteld.</w:t>
      </w:r>
    </w:p>
    <w:p w:rsidR="00661550" w:rsidRPr="00A22E80" w:rsidRDefault="00661550" w:rsidP="00A22E80">
      <w:pPr>
        <w:widowControl w:val="0"/>
        <w:tabs>
          <w:tab w:val="num" w:pos="720"/>
        </w:tabs>
        <w:spacing w:line="260" w:lineRule="exact"/>
        <w:rPr>
          <w:rFonts w:ascii="Verdana" w:hAnsi="Verdana" w:cs="Arial"/>
          <w:sz w:val="18"/>
          <w:szCs w:val="18"/>
        </w:rPr>
      </w:pPr>
    </w:p>
    <w:p w:rsidR="00660F71" w:rsidRPr="00A22E80" w:rsidRDefault="00661550"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2.</w:t>
      </w:r>
      <w:r w:rsidR="00623FF1">
        <w:rPr>
          <w:rFonts w:ascii="Verdana" w:hAnsi="Verdana" w:cs="Arial"/>
          <w:sz w:val="18"/>
          <w:szCs w:val="18"/>
        </w:rPr>
        <w:t xml:space="preserve"> </w:t>
      </w:r>
      <w:r w:rsidR="00973B73" w:rsidRPr="00A22E80">
        <w:rPr>
          <w:rFonts w:ascii="Verdana" w:hAnsi="Verdana" w:cs="Arial"/>
          <w:sz w:val="18"/>
          <w:szCs w:val="18"/>
        </w:rPr>
        <w:t>Gedekte obligaties in de zin van de richtlijn herstel en afwikkeling zijn in artikel 2, onderdeel 94, van die richtlijn gedefi</w:t>
      </w:r>
      <w:r w:rsidR="00BB3C48" w:rsidRPr="00A22E80">
        <w:rPr>
          <w:rFonts w:ascii="Verdana" w:hAnsi="Verdana" w:cs="Arial"/>
          <w:sz w:val="18"/>
          <w:szCs w:val="18"/>
        </w:rPr>
        <w:t>nieerd als gedekte obligaties al</w:t>
      </w:r>
      <w:r w:rsidR="00973B73" w:rsidRPr="00A22E80">
        <w:rPr>
          <w:rFonts w:ascii="Verdana" w:hAnsi="Verdana" w:cs="Arial"/>
          <w:sz w:val="18"/>
          <w:szCs w:val="18"/>
        </w:rPr>
        <w:t>s bedoeld in a</w:t>
      </w:r>
      <w:r w:rsidR="00BB3C48" w:rsidRPr="00A22E80">
        <w:rPr>
          <w:rFonts w:ascii="Verdana" w:hAnsi="Verdana" w:cs="Arial"/>
          <w:sz w:val="18"/>
          <w:szCs w:val="18"/>
        </w:rPr>
        <w:t xml:space="preserve">rtikel 2, eerste lid, punt 5, van de richtlijn </w:t>
      </w:r>
      <w:proofErr w:type="spellStart"/>
      <w:r w:rsidR="00BB3C48" w:rsidRPr="00A22E80">
        <w:rPr>
          <w:rFonts w:ascii="Verdana" w:hAnsi="Verdana" w:cs="Arial"/>
          <w:sz w:val="18"/>
          <w:szCs w:val="18"/>
        </w:rPr>
        <w:t>depositogarantiestelsels</w:t>
      </w:r>
      <w:proofErr w:type="spellEnd"/>
      <w:r w:rsidR="00BB3C48" w:rsidRPr="00A22E80">
        <w:rPr>
          <w:rFonts w:ascii="Verdana" w:hAnsi="Verdana" w:cs="Arial"/>
          <w:sz w:val="18"/>
          <w:szCs w:val="18"/>
        </w:rPr>
        <w:t xml:space="preserve">. Dit type obligaties </w:t>
      </w:r>
      <w:r w:rsidR="006A0BC1" w:rsidRPr="00A22E80">
        <w:rPr>
          <w:rFonts w:ascii="Verdana" w:hAnsi="Verdana" w:cs="Arial"/>
          <w:sz w:val="18"/>
          <w:szCs w:val="18"/>
        </w:rPr>
        <w:t xml:space="preserve">is </w:t>
      </w:r>
      <w:r w:rsidR="00BB3C48" w:rsidRPr="00A22E80">
        <w:rPr>
          <w:rFonts w:ascii="Verdana" w:hAnsi="Verdana" w:cs="Arial"/>
          <w:sz w:val="18"/>
          <w:szCs w:val="18"/>
        </w:rPr>
        <w:t xml:space="preserve">in de </w:t>
      </w:r>
      <w:proofErr w:type="spellStart"/>
      <w:r w:rsidR="00BB3C48" w:rsidRPr="00A22E80">
        <w:rPr>
          <w:rFonts w:ascii="Verdana" w:hAnsi="Verdana" w:cs="Arial"/>
          <w:sz w:val="18"/>
          <w:szCs w:val="18"/>
        </w:rPr>
        <w:t>Wft</w:t>
      </w:r>
      <w:proofErr w:type="spellEnd"/>
      <w:r w:rsidR="00BB3C48" w:rsidRPr="00A22E80">
        <w:rPr>
          <w:rFonts w:ascii="Verdana" w:hAnsi="Verdana" w:cs="Arial"/>
          <w:sz w:val="18"/>
          <w:szCs w:val="18"/>
        </w:rPr>
        <w:t xml:space="preserve"> gedefinieerd als “geregistreerde gedekte obligaties”. De terminologie in de artikelen 3A:1, 3A</w:t>
      </w:r>
      <w:r w:rsidR="008849EE" w:rsidRPr="00A22E80">
        <w:rPr>
          <w:rFonts w:ascii="Verdana" w:hAnsi="Verdana" w:cs="Arial"/>
          <w:sz w:val="18"/>
          <w:szCs w:val="18"/>
        </w:rPr>
        <w:t>:</w:t>
      </w:r>
      <w:r w:rsidR="00BB3C48" w:rsidRPr="00A22E80">
        <w:rPr>
          <w:rFonts w:ascii="Verdana" w:hAnsi="Verdana" w:cs="Arial"/>
          <w:sz w:val="18"/>
          <w:szCs w:val="18"/>
        </w:rPr>
        <w:t>60 en 3A:61 wordt dienovereenkomstig aangepast.</w:t>
      </w:r>
    </w:p>
    <w:p w:rsidR="00BB3C48" w:rsidRPr="00A22E80" w:rsidRDefault="00BB3C48" w:rsidP="00A22E80">
      <w:pPr>
        <w:widowControl w:val="0"/>
        <w:tabs>
          <w:tab w:val="num" w:pos="720"/>
        </w:tabs>
        <w:spacing w:line="260" w:lineRule="exact"/>
        <w:rPr>
          <w:rFonts w:ascii="Verdana" w:hAnsi="Verdana" w:cs="Arial"/>
          <w:sz w:val="18"/>
          <w:szCs w:val="18"/>
        </w:rPr>
      </w:pPr>
    </w:p>
    <w:p w:rsidR="00FA374A" w:rsidRPr="00A22E80" w:rsidRDefault="00D47A0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KK</w:t>
      </w:r>
    </w:p>
    <w:p w:rsidR="00FA374A" w:rsidRPr="00A22E80" w:rsidRDefault="00FA374A" w:rsidP="00A22E80">
      <w:pPr>
        <w:widowControl w:val="0"/>
        <w:tabs>
          <w:tab w:val="num" w:pos="720"/>
        </w:tabs>
        <w:spacing w:line="260" w:lineRule="exact"/>
        <w:rPr>
          <w:rFonts w:ascii="Verdana" w:hAnsi="Verdana" w:cs="Arial"/>
          <w:sz w:val="18"/>
          <w:szCs w:val="18"/>
        </w:rPr>
      </w:pPr>
    </w:p>
    <w:p w:rsidR="00A85CA3" w:rsidRPr="00A22E80" w:rsidRDefault="00A33A1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Het betreft hier een redactionele </w:t>
      </w:r>
      <w:r w:rsidR="002E68FF" w:rsidRPr="00A22E80">
        <w:rPr>
          <w:rFonts w:ascii="Verdana" w:hAnsi="Verdana" w:cs="Arial"/>
          <w:sz w:val="18"/>
          <w:szCs w:val="18"/>
        </w:rPr>
        <w:t xml:space="preserve">verbetering </w:t>
      </w:r>
      <w:r w:rsidR="00D9706C" w:rsidRPr="00A22E80">
        <w:rPr>
          <w:rFonts w:ascii="Verdana" w:hAnsi="Verdana" w:cs="Arial"/>
          <w:sz w:val="18"/>
          <w:szCs w:val="18"/>
        </w:rPr>
        <w:t xml:space="preserve">in verband met het feit dat </w:t>
      </w:r>
      <w:r w:rsidR="002600F5" w:rsidRPr="00A22E80">
        <w:rPr>
          <w:rFonts w:ascii="Verdana" w:hAnsi="Verdana" w:cs="Arial"/>
          <w:sz w:val="18"/>
          <w:szCs w:val="18"/>
        </w:rPr>
        <w:t>“met zetel in Nederland” in de aanhef niet van toepassing is (kan zijn) op bijkantoren als opgenomen in onderdeel g</w:t>
      </w:r>
      <w:r w:rsidR="004F58A8" w:rsidRPr="00A22E80">
        <w:rPr>
          <w:rFonts w:ascii="Verdana" w:hAnsi="Verdana" w:cs="Arial"/>
          <w:sz w:val="18"/>
          <w:szCs w:val="18"/>
        </w:rPr>
        <w:t xml:space="preserve"> van artikel 3A:2</w:t>
      </w:r>
      <w:r w:rsidR="00000EAD">
        <w:rPr>
          <w:rFonts w:ascii="Verdana" w:hAnsi="Verdana" w:cs="Arial"/>
          <w:sz w:val="18"/>
          <w:szCs w:val="18"/>
        </w:rPr>
        <w:t xml:space="preserve"> </w:t>
      </w:r>
      <w:proofErr w:type="spellStart"/>
      <w:r w:rsidR="00000EAD">
        <w:rPr>
          <w:rFonts w:ascii="Verdana" w:hAnsi="Verdana" w:cs="Arial"/>
          <w:sz w:val="18"/>
          <w:szCs w:val="18"/>
        </w:rPr>
        <w:t>Wft</w:t>
      </w:r>
      <w:proofErr w:type="spellEnd"/>
      <w:r w:rsidR="004F58A8" w:rsidRPr="00A22E80">
        <w:rPr>
          <w:rFonts w:ascii="Verdana" w:hAnsi="Verdana" w:cs="Arial"/>
          <w:sz w:val="18"/>
          <w:szCs w:val="18"/>
        </w:rPr>
        <w:t>, dat strekt</w:t>
      </w:r>
      <w:r w:rsidR="002E68FF" w:rsidRPr="00A22E80">
        <w:rPr>
          <w:rFonts w:ascii="Verdana" w:hAnsi="Verdana" w:cs="Arial"/>
          <w:sz w:val="18"/>
          <w:szCs w:val="18"/>
        </w:rPr>
        <w:t xml:space="preserve"> tot implementatie van artikel 1, eerste lid, van de richtlijn herstel en afwikkeling </w:t>
      </w:r>
      <w:r w:rsidR="002E68FF" w:rsidRPr="00A22E80">
        <w:rPr>
          <w:rFonts w:ascii="Verdana" w:hAnsi="Verdana" w:cs="Arial"/>
          <w:sz w:val="18"/>
          <w:szCs w:val="18"/>
        </w:rPr>
        <w:lastRenderedPageBreak/>
        <w:t>van banken en beleggingsondernemingen</w:t>
      </w:r>
      <w:r w:rsidR="002600F5" w:rsidRPr="00A22E80">
        <w:rPr>
          <w:rFonts w:ascii="Verdana" w:hAnsi="Verdana" w:cs="Arial"/>
          <w:sz w:val="18"/>
          <w:szCs w:val="18"/>
        </w:rPr>
        <w:t>.</w:t>
      </w:r>
    </w:p>
    <w:p w:rsidR="00FA374A" w:rsidRPr="00A22E80" w:rsidRDefault="00FA374A" w:rsidP="00A22E80">
      <w:pPr>
        <w:widowControl w:val="0"/>
        <w:tabs>
          <w:tab w:val="num" w:pos="720"/>
        </w:tabs>
        <w:spacing w:line="260" w:lineRule="exact"/>
        <w:rPr>
          <w:rFonts w:ascii="Verdana" w:hAnsi="Verdana" w:cs="Arial"/>
          <w:sz w:val="18"/>
          <w:szCs w:val="18"/>
        </w:rPr>
      </w:pPr>
    </w:p>
    <w:p w:rsidR="001E4E7A" w:rsidRPr="00A22E80" w:rsidRDefault="00A33E4F"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LL</w:t>
      </w:r>
    </w:p>
    <w:p w:rsidR="001E4E7A" w:rsidRPr="00A22E80" w:rsidRDefault="001E4E7A" w:rsidP="00A22E80">
      <w:pPr>
        <w:widowControl w:val="0"/>
        <w:tabs>
          <w:tab w:val="num" w:pos="720"/>
        </w:tabs>
        <w:spacing w:line="260" w:lineRule="exact"/>
        <w:rPr>
          <w:rFonts w:ascii="Verdana" w:hAnsi="Verdana" w:cs="Arial"/>
          <w:sz w:val="18"/>
          <w:szCs w:val="18"/>
        </w:rPr>
      </w:pPr>
    </w:p>
    <w:p w:rsidR="00DD18C9" w:rsidRPr="00A22E80" w:rsidRDefault="00EB338D" w:rsidP="00A22E80">
      <w:pPr>
        <w:spacing w:line="260" w:lineRule="exact"/>
        <w:rPr>
          <w:rFonts w:ascii="Verdana" w:hAnsi="Verdana"/>
          <w:sz w:val="18"/>
          <w:szCs w:val="18"/>
        </w:rPr>
      </w:pPr>
      <w:r w:rsidRPr="00A22E80">
        <w:rPr>
          <w:rFonts w:ascii="Verdana" w:hAnsi="Verdana"/>
          <w:sz w:val="18"/>
          <w:szCs w:val="18"/>
        </w:rPr>
        <w:t xml:space="preserve">Op grond van artikel 3A:6, eerste tot en met derde lid, </w:t>
      </w:r>
      <w:r w:rsidR="002644F8">
        <w:rPr>
          <w:rFonts w:ascii="Verdana" w:hAnsi="Verdana"/>
          <w:sz w:val="18"/>
          <w:szCs w:val="18"/>
        </w:rPr>
        <w:t xml:space="preserve">van de </w:t>
      </w:r>
      <w:proofErr w:type="spellStart"/>
      <w:r w:rsidRPr="00A22E80">
        <w:rPr>
          <w:rFonts w:ascii="Verdana" w:hAnsi="Verdana"/>
          <w:sz w:val="18"/>
          <w:szCs w:val="18"/>
        </w:rPr>
        <w:t>Wft</w:t>
      </w:r>
      <w:proofErr w:type="spellEnd"/>
      <w:r w:rsidRPr="00A22E80">
        <w:rPr>
          <w:rFonts w:ascii="Verdana" w:hAnsi="Verdana"/>
          <w:sz w:val="18"/>
          <w:szCs w:val="18"/>
        </w:rPr>
        <w:t xml:space="preserve"> wordt</w:t>
      </w:r>
      <w:r w:rsidR="002E68FF" w:rsidRPr="00A22E80">
        <w:rPr>
          <w:rFonts w:ascii="Verdana" w:hAnsi="Verdana"/>
          <w:sz w:val="18"/>
          <w:szCs w:val="18"/>
        </w:rPr>
        <w:t>, ter implementatie van de richtlijn herstel en afwikkeling van banken en beleggingsondernemingen,</w:t>
      </w:r>
      <w:r w:rsidRPr="00A22E80">
        <w:rPr>
          <w:rFonts w:ascii="Verdana" w:hAnsi="Verdana"/>
          <w:sz w:val="18"/>
          <w:szCs w:val="18"/>
        </w:rPr>
        <w:t xml:space="preserve"> de toepasselijkheid uitgesloten van beperkingen die zouden </w:t>
      </w:r>
      <w:r w:rsidR="00B6169B" w:rsidRPr="00A22E80">
        <w:rPr>
          <w:rFonts w:ascii="Verdana" w:hAnsi="Verdana"/>
          <w:sz w:val="18"/>
          <w:szCs w:val="18"/>
        </w:rPr>
        <w:t xml:space="preserve">kunnen </w:t>
      </w:r>
      <w:r w:rsidRPr="00A22E80">
        <w:rPr>
          <w:rFonts w:ascii="Verdana" w:hAnsi="Verdana"/>
          <w:sz w:val="18"/>
          <w:szCs w:val="18"/>
        </w:rPr>
        <w:t>voortvloeien uit overeenkomsten, statuten of (andere) wettelijke voorschrifte</w:t>
      </w:r>
      <w:r w:rsidR="00DD18C9" w:rsidRPr="00A22E80">
        <w:rPr>
          <w:rFonts w:ascii="Verdana" w:hAnsi="Verdana"/>
          <w:sz w:val="18"/>
          <w:szCs w:val="18"/>
        </w:rPr>
        <w:t>n;</w:t>
      </w:r>
      <w:r w:rsidRPr="00A22E80">
        <w:rPr>
          <w:rFonts w:ascii="Verdana" w:hAnsi="Verdana"/>
          <w:sz w:val="18"/>
          <w:szCs w:val="18"/>
        </w:rPr>
        <w:t xml:space="preserve"> </w:t>
      </w:r>
      <w:r w:rsidR="00DD18C9" w:rsidRPr="00A22E80">
        <w:rPr>
          <w:rFonts w:ascii="Verdana" w:hAnsi="Verdana"/>
          <w:sz w:val="18"/>
          <w:szCs w:val="18"/>
        </w:rPr>
        <w:t>i</w:t>
      </w:r>
      <w:r w:rsidRPr="00A22E80">
        <w:rPr>
          <w:rFonts w:ascii="Verdana" w:hAnsi="Verdana"/>
          <w:sz w:val="18"/>
          <w:szCs w:val="18"/>
        </w:rPr>
        <w:t xml:space="preserve">n die gevallen wordt aan het afwikkelingsregime voorrang verleend. De uitzonderingen </w:t>
      </w:r>
      <w:r w:rsidR="00DD18C9" w:rsidRPr="00A22E80">
        <w:rPr>
          <w:rFonts w:ascii="Verdana" w:hAnsi="Verdana"/>
          <w:sz w:val="18"/>
          <w:szCs w:val="18"/>
        </w:rPr>
        <w:t xml:space="preserve">op de toepassing van </w:t>
      </w:r>
      <w:r w:rsidR="006423AE" w:rsidRPr="00A22E80">
        <w:rPr>
          <w:rFonts w:ascii="Verdana" w:hAnsi="Verdana"/>
          <w:sz w:val="18"/>
          <w:szCs w:val="18"/>
        </w:rPr>
        <w:t>beperkingen die voortvloeien uit overeenkomsten, statuten of andere wettelijke voorschriften</w:t>
      </w:r>
      <w:r w:rsidR="00DD18C9" w:rsidRPr="00A22E80">
        <w:rPr>
          <w:rFonts w:ascii="Verdana" w:hAnsi="Verdana"/>
          <w:sz w:val="18"/>
          <w:szCs w:val="18"/>
        </w:rPr>
        <w:t xml:space="preserve"> </w:t>
      </w:r>
      <w:r w:rsidRPr="00A22E80">
        <w:rPr>
          <w:rFonts w:ascii="Verdana" w:hAnsi="Verdana"/>
          <w:sz w:val="18"/>
          <w:szCs w:val="18"/>
        </w:rPr>
        <w:t xml:space="preserve">zijn in alle leden open geformuleerd. </w:t>
      </w:r>
    </w:p>
    <w:p w:rsidR="00DD18C9" w:rsidRPr="00A22E80" w:rsidRDefault="00DD18C9" w:rsidP="00A22E80">
      <w:pPr>
        <w:spacing w:line="260" w:lineRule="exact"/>
        <w:rPr>
          <w:rFonts w:ascii="Verdana" w:hAnsi="Verdana"/>
          <w:sz w:val="18"/>
          <w:szCs w:val="18"/>
        </w:rPr>
      </w:pPr>
    </w:p>
    <w:p w:rsidR="00EB338D" w:rsidRPr="00A22E80" w:rsidRDefault="00EB338D" w:rsidP="00A22E80">
      <w:pPr>
        <w:spacing w:line="260" w:lineRule="exact"/>
        <w:rPr>
          <w:rFonts w:ascii="Verdana" w:hAnsi="Verdana"/>
          <w:sz w:val="18"/>
          <w:szCs w:val="18"/>
        </w:rPr>
      </w:pPr>
      <w:r w:rsidRPr="00A22E80">
        <w:rPr>
          <w:rFonts w:ascii="Verdana" w:hAnsi="Verdana"/>
          <w:sz w:val="18"/>
          <w:szCs w:val="18"/>
        </w:rPr>
        <w:t xml:space="preserve">In het eerste lid wordt nu </w:t>
      </w:r>
      <w:r w:rsidR="006423AE" w:rsidRPr="00A22E80">
        <w:rPr>
          <w:rFonts w:ascii="Verdana" w:hAnsi="Verdana"/>
          <w:sz w:val="18"/>
          <w:szCs w:val="18"/>
        </w:rPr>
        <w:t>nog</w:t>
      </w:r>
      <w:r w:rsidR="0019622A" w:rsidRPr="00A22E80">
        <w:rPr>
          <w:rFonts w:ascii="Verdana" w:hAnsi="Verdana"/>
          <w:sz w:val="18"/>
          <w:szCs w:val="18"/>
        </w:rPr>
        <w:t>,</w:t>
      </w:r>
      <w:r w:rsidR="006423AE" w:rsidRPr="00A22E80">
        <w:rPr>
          <w:rFonts w:ascii="Verdana" w:hAnsi="Verdana"/>
          <w:sz w:val="18"/>
          <w:szCs w:val="18"/>
        </w:rPr>
        <w:t xml:space="preserve"> in aanvulling op de open geformuleerde uitzondering</w:t>
      </w:r>
      <w:r w:rsidR="0019622A" w:rsidRPr="00A22E80">
        <w:rPr>
          <w:rFonts w:ascii="Verdana" w:hAnsi="Verdana"/>
          <w:sz w:val="18"/>
          <w:szCs w:val="18"/>
        </w:rPr>
        <w:t>,</w:t>
      </w:r>
      <w:r w:rsidRPr="00A22E80">
        <w:rPr>
          <w:rFonts w:ascii="Verdana" w:hAnsi="Verdana"/>
          <w:sz w:val="18"/>
          <w:szCs w:val="18"/>
        </w:rPr>
        <w:t xml:space="preserve"> specifiek verwezen naar de </w:t>
      </w:r>
      <w:proofErr w:type="spellStart"/>
      <w:r w:rsidRPr="00A22E80">
        <w:rPr>
          <w:rFonts w:ascii="Verdana" w:hAnsi="Verdana"/>
          <w:sz w:val="18"/>
          <w:szCs w:val="18"/>
        </w:rPr>
        <w:t>instemmingsvereisten</w:t>
      </w:r>
      <w:proofErr w:type="spellEnd"/>
      <w:r w:rsidRPr="00A22E80">
        <w:rPr>
          <w:rFonts w:ascii="Verdana" w:hAnsi="Verdana"/>
          <w:sz w:val="18"/>
          <w:szCs w:val="18"/>
        </w:rPr>
        <w:t xml:space="preserve"> neergelegd in de artikelen 38 en 107a en de titels 4.4 en 5.3 van </w:t>
      </w:r>
      <w:r w:rsidR="00DD18C9" w:rsidRPr="00A22E80">
        <w:rPr>
          <w:rFonts w:ascii="Verdana" w:hAnsi="Verdana"/>
          <w:sz w:val="18"/>
          <w:szCs w:val="18"/>
        </w:rPr>
        <w:t>B</w:t>
      </w:r>
      <w:r w:rsidRPr="00A22E80">
        <w:rPr>
          <w:rFonts w:ascii="Verdana" w:hAnsi="Verdana"/>
          <w:sz w:val="18"/>
          <w:szCs w:val="18"/>
        </w:rPr>
        <w:t>oek 2 van het Burgerlijk Wetboek. Het betreft een niet-uitputtende opsomming. De huidige redactie van het eerste lid kan met betrekking tot dit laatste aspect tot misverstanden leiden.</w:t>
      </w:r>
      <w:r w:rsidR="0019622A" w:rsidRPr="00A22E80">
        <w:rPr>
          <w:rFonts w:ascii="Verdana" w:hAnsi="Verdana"/>
          <w:sz w:val="18"/>
          <w:szCs w:val="18"/>
        </w:rPr>
        <w:t xml:space="preserve"> </w:t>
      </w:r>
      <w:r w:rsidRPr="00A22E80">
        <w:rPr>
          <w:rFonts w:ascii="Verdana" w:hAnsi="Verdana"/>
          <w:sz w:val="18"/>
          <w:szCs w:val="18"/>
        </w:rPr>
        <w:t xml:space="preserve">Voorgesteld wordt om met een gewijzigde redactie van het eerste lid van artikel 3A:6 </w:t>
      </w:r>
      <w:proofErr w:type="spellStart"/>
      <w:r w:rsidRPr="00A22E80">
        <w:rPr>
          <w:rFonts w:ascii="Verdana" w:hAnsi="Verdana"/>
          <w:sz w:val="18"/>
          <w:szCs w:val="18"/>
        </w:rPr>
        <w:t>Wft</w:t>
      </w:r>
      <w:proofErr w:type="spellEnd"/>
      <w:r w:rsidRPr="00A22E80">
        <w:rPr>
          <w:rFonts w:ascii="Verdana" w:hAnsi="Verdana"/>
          <w:sz w:val="18"/>
          <w:szCs w:val="18"/>
        </w:rPr>
        <w:t xml:space="preserve"> te verduidelijken dat wordt afgeweken van </w:t>
      </w:r>
      <w:r w:rsidR="00E54DEF" w:rsidRPr="00A22E80">
        <w:rPr>
          <w:rFonts w:ascii="Verdana" w:hAnsi="Verdana"/>
          <w:i/>
          <w:sz w:val="18"/>
          <w:szCs w:val="18"/>
        </w:rPr>
        <w:t>alle</w:t>
      </w:r>
      <w:r w:rsidRPr="00A22E80">
        <w:rPr>
          <w:rFonts w:ascii="Verdana" w:hAnsi="Verdana"/>
          <w:sz w:val="18"/>
          <w:szCs w:val="18"/>
        </w:rPr>
        <w:t xml:space="preserve"> </w:t>
      </w:r>
      <w:proofErr w:type="spellStart"/>
      <w:r w:rsidRPr="00A22E80">
        <w:rPr>
          <w:rFonts w:ascii="Verdana" w:hAnsi="Verdana"/>
          <w:sz w:val="18"/>
          <w:szCs w:val="18"/>
        </w:rPr>
        <w:t>instemmingsvereisten</w:t>
      </w:r>
      <w:proofErr w:type="spellEnd"/>
      <w:r w:rsidRPr="00A22E80">
        <w:rPr>
          <w:rFonts w:ascii="Verdana" w:hAnsi="Verdana"/>
          <w:sz w:val="18"/>
          <w:szCs w:val="18"/>
        </w:rPr>
        <w:t xml:space="preserve"> die zijn gesteld bij of krachtens de wet, of de statuten of interne regelingen van de entiteit in afwikkeling. Hierbij wordt met name gedacht aan de </w:t>
      </w:r>
      <w:proofErr w:type="spellStart"/>
      <w:r w:rsidRPr="00A22E80">
        <w:rPr>
          <w:rFonts w:ascii="Verdana" w:hAnsi="Verdana"/>
          <w:sz w:val="18"/>
          <w:szCs w:val="18"/>
        </w:rPr>
        <w:t>instemmingsvereisten</w:t>
      </w:r>
      <w:proofErr w:type="spellEnd"/>
      <w:r w:rsidRPr="00A22E80">
        <w:rPr>
          <w:rFonts w:ascii="Verdana" w:hAnsi="Verdana"/>
          <w:sz w:val="18"/>
          <w:szCs w:val="18"/>
        </w:rPr>
        <w:t xml:space="preserve"> die voortvloeien uit de EU-richtlijnen inzake het vennootschapsrecht die worden genoemd in titel X van de richtlijn herstel en afwikkeling van banken en beleggingsondernemingen (vgl. overweging 120 van die richtlijn). Het gaat om Europese richtlijnen die in Nederlandse wetgeving zijn omgezet.</w:t>
      </w:r>
    </w:p>
    <w:p w:rsidR="0019622A" w:rsidRPr="00A22E80" w:rsidRDefault="0019622A" w:rsidP="00A22E80">
      <w:pPr>
        <w:spacing w:line="260" w:lineRule="exact"/>
        <w:rPr>
          <w:rFonts w:ascii="Verdana" w:hAnsi="Verdana"/>
          <w:sz w:val="18"/>
          <w:szCs w:val="18"/>
        </w:rPr>
      </w:pPr>
    </w:p>
    <w:p w:rsidR="00EB338D" w:rsidRPr="00A22E80" w:rsidRDefault="00EB338D" w:rsidP="00A22E80">
      <w:pPr>
        <w:spacing w:line="260" w:lineRule="exact"/>
        <w:rPr>
          <w:rFonts w:ascii="Verdana" w:hAnsi="Verdana"/>
          <w:sz w:val="18"/>
          <w:szCs w:val="18"/>
        </w:rPr>
      </w:pPr>
      <w:r w:rsidRPr="00A22E80">
        <w:rPr>
          <w:rFonts w:ascii="Verdana" w:hAnsi="Verdana"/>
          <w:sz w:val="18"/>
          <w:szCs w:val="18"/>
        </w:rPr>
        <w:t>Het betreft ten eerste de richtlijnen over splitsing</w:t>
      </w:r>
      <w:r w:rsidR="00256E05" w:rsidRPr="00A22E80">
        <w:rPr>
          <w:rStyle w:val="Voetnootmarkering"/>
          <w:rFonts w:ascii="Verdana" w:hAnsi="Verdana"/>
          <w:sz w:val="18"/>
          <w:szCs w:val="18"/>
        </w:rPr>
        <w:footnoteReference w:id="3"/>
      </w:r>
      <w:r w:rsidRPr="00A22E80">
        <w:rPr>
          <w:rFonts w:ascii="Verdana" w:hAnsi="Verdana"/>
          <w:sz w:val="18"/>
          <w:szCs w:val="18"/>
        </w:rPr>
        <w:t>, grensoverschrijdende fusie</w:t>
      </w:r>
      <w:r w:rsidR="00256E05" w:rsidRPr="00A22E80">
        <w:rPr>
          <w:rStyle w:val="Voetnootmarkering"/>
          <w:rFonts w:ascii="Verdana" w:hAnsi="Verdana"/>
          <w:sz w:val="18"/>
          <w:szCs w:val="18"/>
        </w:rPr>
        <w:footnoteReference w:id="4"/>
      </w:r>
      <w:r w:rsidRPr="00A22E80">
        <w:rPr>
          <w:rFonts w:ascii="Verdana" w:hAnsi="Verdana"/>
          <w:sz w:val="18"/>
          <w:szCs w:val="18"/>
        </w:rPr>
        <w:t xml:space="preserve"> en fusie</w:t>
      </w:r>
      <w:r w:rsidR="00256E05" w:rsidRPr="00A22E80">
        <w:rPr>
          <w:rStyle w:val="Voetnootmarkering"/>
          <w:rFonts w:ascii="Verdana" w:hAnsi="Verdana"/>
          <w:sz w:val="18"/>
          <w:szCs w:val="18"/>
        </w:rPr>
        <w:footnoteReference w:id="5"/>
      </w:r>
      <w:r w:rsidRPr="00A22E80">
        <w:rPr>
          <w:rFonts w:ascii="Verdana" w:hAnsi="Verdana"/>
          <w:sz w:val="18"/>
          <w:szCs w:val="18"/>
        </w:rPr>
        <w:t xml:space="preserve"> van vennootschappen (overweging 122 en artikel 116, 120 en 122 van de richtlijn herstel en afwikkeling</w:t>
      </w:r>
      <w:r w:rsidR="00413A29" w:rsidRPr="00A22E80">
        <w:rPr>
          <w:rFonts w:ascii="Verdana" w:hAnsi="Verdana"/>
          <w:sz w:val="18"/>
          <w:szCs w:val="18"/>
        </w:rPr>
        <w:t xml:space="preserve"> </w:t>
      </w:r>
      <w:r w:rsidR="00B36369" w:rsidRPr="00A22E80">
        <w:rPr>
          <w:rFonts w:ascii="Verdana" w:hAnsi="Verdana"/>
          <w:sz w:val="18"/>
          <w:szCs w:val="18"/>
        </w:rPr>
        <w:t xml:space="preserve">van </w:t>
      </w:r>
      <w:r w:rsidR="00413A29" w:rsidRPr="00A22E80">
        <w:rPr>
          <w:rFonts w:ascii="Verdana" w:hAnsi="Verdana"/>
          <w:sz w:val="18"/>
          <w:szCs w:val="18"/>
        </w:rPr>
        <w:t>banken en beleggingsondernemingen</w:t>
      </w:r>
      <w:r w:rsidRPr="00A22E80">
        <w:rPr>
          <w:rFonts w:ascii="Verdana" w:hAnsi="Verdana"/>
          <w:sz w:val="18"/>
          <w:szCs w:val="18"/>
        </w:rPr>
        <w:t xml:space="preserve">). Deze richtlijnen zijn uitgewerkt in titel 7 van </w:t>
      </w:r>
      <w:r w:rsidR="00DD18C9" w:rsidRPr="00A22E80">
        <w:rPr>
          <w:rFonts w:ascii="Verdana" w:hAnsi="Verdana"/>
          <w:sz w:val="18"/>
          <w:szCs w:val="18"/>
        </w:rPr>
        <w:t>B</w:t>
      </w:r>
      <w:r w:rsidRPr="00A22E80">
        <w:rPr>
          <w:rFonts w:ascii="Verdana" w:hAnsi="Verdana"/>
          <w:sz w:val="18"/>
          <w:szCs w:val="18"/>
        </w:rPr>
        <w:t xml:space="preserve">oek 2 van het Burgerlijk Wetboek. Hierin zijn de volgende </w:t>
      </w:r>
      <w:proofErr w:type="spellStart"/>
      <w:r w:rsidRPr="00A22E80">
        <w:rPr>
          <w:rFonts w:ascii="Verdana" w:hAnsi="Verdana"/>
          <w:sz w:val="18"/>
          <w:szCs w:val="18"/>
        </w:rPr>
        <w:t>instemmingsvereisten</w:t>
      </w:r>
      <w:proofErr w:type="spellEnd"/>
      <w:r w:rsidRPr="00A22E80">
        <w:rPr>
          <w:rFonts w:ascii="Verdana" w:hAnsi="Verdana"/>
          <w:sz w:val="18"/>
          <w:szCs w:val="18"/>
        </w:rPr>
        <w:t xml:space="preserve"> opgenomen: het besluit tot fusie of splitsing door de algemene vergadering (artikel</w:t>
      </w:r>
      <w:r w:rsidR="00834C18" w:rsidRPr="00A22E80">
        <w:rPr>
          <w:rFonts w:ascii="Verdana" w:hAnsi="Verdana"/>
          <w:sz w:val="18"/>
          <w:szCs w:val="18"/>
        </w:rPr>
        <w:t>en</w:t>
      </w:r>
      <w:r w:rsidRPr="00A22E80">
        <w:rPr>
          <w:rFonts w:ascii="Verdana" w:hAnsi="Verdana"/>
          <w:sz w:val="18"/>
          <w:szCs w:val="18"/>
        </w:rPr>
        <w:t xml:space="preserve"> 2:317 en 334m BW) en het besluit tot fusie of splitsing door het bestuur van een verkrijgende vennootschap (artikel</w:t>
      </w:r>
      <w:r w:rsidR="0019622A" w:rsidRPr="00A22E80">
        <w:rPr>
          <w:rFonts w:ascii="Verdana" w:hAnsi="Verdana"/>
          <w:sz w:val="18"/>
          <w:szCs w:val="18"/>
        </w:rPr>
        <w:t>en</w:t>
      </w:r>
      <w:r w:rsidRPr="00A22E80">
        <w:rPr>
          <w:rFonts w:ascii="Verdana" w:hAnsi="Verdana"/>
          <w:sz w:val="18"/>
          <w:szCs w:val="18"/>
        </w:rPr>
        <w:t xml:space="preserve"> 2:331 en </w:t>
      </w:r>
      <w:r w:rsidR="0019622A" w:rsidRPr="00A22E80">
        <w:rPr>
          <w:rFonts w:ascii="Verdana" w:hAnsi="Verdana"/>
          <w:sz w:val="18"/>
          <w:szCs w:val="18"/>
        </w:rPr>
        <w:t>2:</w:t>
      </w:r>
      <w:r w:rsidRPr="00A22E80">
        <w:rPr>
          <w:rFonts w:ascii="Verdana" w:hAnsi="Verdana"/>
          <w:sz w:val="18"/>
          <w:szCs w:val="18"/>
        </w:rPr>
        <w:t>334ff BW).</w:t>
      </w:r>
    </w:p>
    <w:p w:rsidR="00EB338D" w:rsidRPr="00A22E80" w:rsidRDefault="00EB338D" w:rsidP="00A22E80">
      <w:pPr>
        <w:spacing w:line="260" w:lineRule="exact"/>
        <w:rPr>
          <w:rFonts w:ascii="Verdana" w:hAnsi="Verdana"/>
          <w:sz w:val="18"/>
          <w:szCs w:val="18"/>
        </w:rPr>
      </w:pPr>
      <w:r w:rsidRPr="00A22E80">
        <w:rPr>
          <w:rFonts w:ascii="Verdana" w:hAnsi="Verdana"/>
          <w:sz w:val="18"/>
          <w:szCs w:val="18"/>
        </w:rPr>
        <w:t>Richtlijn 2012/30/EU betreft de oprichting van de NV en de instandhouding en wijziging van haar kapitaal (zie overweging 121 en artikel 123 van de richtlijn herstel en afwikkeling van bank</w:t>
      </w:r>
      <w:r w:rsidR="0019622A" w:rsidRPr="00A22E80">
        <w:rPr>
          <w:rFonts w:ascii="Verdana" w:hAnsi="Verdana"/>
          <w:sz w:val="18"/>
          <w:szCs w:val="18"/>
        </w:rPr>
        <w:t xml:space="preserve">en en beleggingsondernemingen). </w:t>
      </w:r>
      <w:r w:rsidRPr="00A22E80">
        <w:rPr>
          <w:rFonts w:ascii="Verdana" w:hAnsi="Verdana"/>
          <w:sz w:val="18"/>
          <w:szCs w:val="18"/>
        </w:rPr>
        <w:t>De in deze richtlijn neergelegde bevoegdheden om een besluit te nemen over wijzigingen in het vermogen van de vennootschap worden buiten toepassing verklaard. Dit betreft het besluit van de algemene vergadering tot kapitaalverhoging (artikel 2:96 BW) en het besluit van de algemene vergadering tot kapitaalvermindering (artikel 2:99 BW).</w:t>
      </w:r>
    </w:p>
    <w:p w:rsidR="0019622A" w:rsidRPr="00A22E80" w:rsidRDefault="0019622A" w:rsidP="00A22E80">
      <w:pPr>
        <w:spacing w:line="260" w:lineRule="exact"/>
        <w:rPr>
          <w:rFonts w:ascii="Verdana" w:hAnsi="Verdana"/>
          <w:sz w:val="18"/>
          <w:szCs w:val="18"/>
        </w:rPr>
      </w:pPr>
    </w:p>
    <w:p w:rsidR="00EB338D" w:rsidRPr="00A22E80" w:rsidRDefault="00EB338D" w:rsidP="00A22E80">
      <w:pPr>
        <w:spacing w:line="260" w:lineRule="exact"/>
        <w:rPr>
          <w:rFonts w:ascii="Verdana" w:hAnsi="Verdana"/>
          <w:sz w:val="18"/>
          <w:szCs w:val="18"/>
        </w:rPr>
      </w:pPr>
      <w:r w:rsidRPr="00A22E80">
        <w:rPr>
          <w:rFonts w:ascii="Verdana" w:hAnsi="Verdana"/>
          <w:sz w:val="18"/>
          <w:szCs w:val="18"/>
        </w:rPr>
        <w:t xml:space="preserve">De richtlijn herstel en afwikkeling </w:t>
      </w:r>
      <w:r w:rsidR="00943042" w:rsidRPr="00A22E80">
        <w:rPr>
          <w:rFonts w:ascii="Verdana" w:hAnsi="Verdana"/>
          <w:sz w:val="18"/>
          <w:szCs w:val="18"/>
        </w:rPr>
        <w:t xml:space="preserve">van banken en beleggingsondernemingen </w:t>
      </w:r>
      <w:r w:rsidR="0019622A" w:rsidRPr="00A22E80">
        <w:rPr>
          <w:rFonts w:ascii="Verdana" w:hAnsi="Verdana"/>
          <w:sz w:val="18"/>
          <w:szCs w:val="18"/>
        </w:rPr>
        <w:t xml:space="preserve">wijzigt ook de richtlijn </w:t>
      </w:r>
      <w:r w:rsidRPr="00A22E80">
        <w:rPr>
          <w:rFonts w:ascii="Verdana" w:hAnsi="Verdana"/>
          <w:sz w:val="18"/>
          <w:szCs w:val="18"/>
        </w:rPr>
        <w:t>aandeelhoudersrechten</w:t>
      </w:r>
      <w:r w:rsidR="00CB2578" w:rsidRPr="00A22E80">
        <w:rPr>
          <w:rStyle w:val="Voetnootmarkering"/>
          <w:rFonts w:ascii="Verdana" w:hAnsi="Verdana"/>
          <w:sz w:val="18"/>
          <w:szCs w:val="18"/>
        </w:rPr>
        <w:footnoteReference w:id="6"/>
      </w:r>
      <w:r w:rsidRPr="00A22E80">
        <w:rPr>
          <w:rFonts w:ascii="Verdana" w:hAnsi="Verdana"/>
          <w:sz w:val="18"/>
          <w:szCs w:val="18"/>
        </w:rPr>
        <w:t xml:space="preserve"> (overweging 124 en artikel 121 </w:t>
      </w:r>
      <w:r w:rsidRPr="00A22E80">
        <w:rPr>
          <w:rFonts w:ascii="Verdana" w:hAnsi="Verdana"/>
          <w:sz w:val="18"/>
          <w:szCs w:val="18"/>
        </w:rPr>
        <w:lastRenderedPageBreak/>
        <w:t xml:space="preserve">van de richtlijn). Hierbij wordt een onderscheid gemaakt tussen de fase waarin afwikkeling van de bank, beleggingsonderneming of holding nog kan worden voorkomen en de fase waarin er sprake is van afwikkeling. Wat betreft de eerstgenoemde fase worden voorschriften betreffende de oproepingstermijn en registratiedatum voor een vergadering voor een besluit over een kapitaalverhoging aangepast. Deze wijzigingen zijn reeds verwerkt in </w:t>
      </w:r>
      <w:r w:rsidR="00F67248" w:rsidRPr="00A22E80">
        <w:rPr>
          <w:rFonts w:ascii="Verdana" w:hAnsi="Verdana"/>
          <w:sz w:val="18"/>
          <w:szCs w:val="18"/>
        </w:rPr>
        <w:t xml:space="preserve">de </w:t>
      </w:r>
      <w:r w:rsidRPr="00A22E80">
        <w:rPr>
          <w:rFonts w:ascii="Verdana" w:hAnsi="Verdana"/>
          <w:sz w:val="18"/>
          <w:szCs w:val="18"/>
        </w:rPr>
        <w:t>artikel</w:t>
      </w:r>
      <w:r w:rsidR="00F67248" w:rsidRPr="00A22E80">
        <w:rPr>
          <w:rFonts w:ascii="Verdana" w:hAnsi="Verdana"/>
          <w:sz w:val="18"/>
          <w:szCs w:val="18"/>
        </w:rPr>
        <w:t>en</w:t>
      </w:r>
      <w:r w:rsidRPr="00A22E80">
        <w:rPr>
          <w:rFonts w:ascii="Verdana" w:hAnsi="Verdana"/>
          <w:sz w:val="18"/>
          <w:szCs w:val="18"/>
        </w:rPr>
        <w:t xml:space="preserve"> 2:115 en </w:t>
      </w:r>
      <w:r w:rsidR="00F67248" w:rsidRPr="00A22E80">
        <w:rPr>
          <w:rFonts w:ascii="Verdana" w:hAnsi="Verdana"/>
          <w:sz w:val="18"/>
          <w:szCs w:val="18"/>
        </w:rPr>
        <w:t>2:</w:t>
      </w:r>
      <w:r w:rsidRPr="00A22E80">
        <w:rPr>
          <w:rFonts w:ascii="Verdana" w:hAnsi="Verdana"/>
          <w:sz w:val="18"/>
          <w:szCs w:val="18"/>
        </w:rPr>
        <w:t>119 BW</w:t>
      </w:r>
      <w:r w:rsidR="001E4AF8">
        <w:rPr>
          <w:rStyle w:val="Voetnootmarkering"/>
          <w:rFonts w:ascii="Verdana" w:hAnsi="Verdana"/>
          <w:sz w:val="18"/>
          <w:szCs w:val="18"/>
        </w:rPr>
        <w:footnoteReference w:id="7"/>
      </w:r>
      <w:r w:rsidRPr="00A22E80">
        <w:rPr>
          <w:rFonts w:ascii="Verdana" w:hAnsi="Verdana"/>
          <w:sz w:val="18"/>
          <w:szCs w:val="18"/>
        </w:rPr>
        <w:t>. Zie artikel I</w:t>
      </w:r>
      <w:r w:rsidR="00DD18C9" w:rsidRPr="00A22E80">
        <w:rPr>
          <w:rFonts w:ascii="Verdana" w:hAnsi="Verdana"/>
          <w:sz w:val="18"/>
          <w:szCs w:val="18"/>
        </w:rPr>
        <w:t>II</w:t>
      </w:r>
      <w:r w:rsidRPr="00A22E80">
        <w:rPr>
          <w:rFonts w:ascii="Verdana" w:hAnsi="Verdana"/>
          <w:sz w:val="18"/>
          <w:szCs w:val="18"/>
        </w:rPr>
        <w:t xml:space="preserve"> van dit wetsvoorstel voor een aanvullende regeling voor niet-beursgenoteerde banken, beleggingsondernemingen of holdings. </w:t>
      </w:r>
    </w:p>
    <w:p w:rsidR="00A86BBB" w:rsidRDefault="00A86BBB" w:rsidP="00A22E80">
      <w:pPr>
        <w:spacing w:line="260" w:lineRule="exact"/>
        <w:rPr>
          <w:rFonts w:ascii="Verdana" w:hAnsi="Verdana"/>
          <w:sz w:val="18"/>
          <w:szCs w:val="18"/>
        </w:rPr>
      </w:pPr>
    </w:p>
    <w:p w:rsidR="0019622A" w:rsidRPr="00A22E80" w:rsidRDefault="00EB338D" w:rsidP="00A22E80">
      <w:pPr>
        <w:spacing w:line="260" w:lineRule="exact"/>
        <w:rPr>
          <w:rFonts w:ascii="Verdana" w:hAnsi="Verdana"/>
          <w:sz w:val="18"/>
          <w:szCs w:val="18"/>
        </w:rPr>
      </w:pPr>
      <w:r w:rsidRPr="00A22E80">
        <w:rPr>
          <w:rFonts w:ascii="Verdana" w:hAnsi="Verdana"/>
          <w:sz w:val="18"/>
          <w:szCs w:val="18"/>
        </w:rPr>
        <w:t>Wat betreft de afwikkelingsfase worden alle procedurele voorschriften die voortvloeien uit de richtlijn aandeelhoudersrechten buiten toepassing verklaard. Dit is reeds uitgevoerd in artikel 3A:6</w:t>
      </w:r>
      <w:r w:rsidR="00055452" w:rsidRPr="00A22E80">
        <w:rPr>
          <w:rFonts w:ascii="Verdana" w:hAnsi="Verdana"/>
          <w:sz w:val="18"/>
          <w:szCs w:val="18"/>
        </w:rPr>
        <w:t>, tweede</w:t>
      </w:r>
      <w:r w:rsidRPr="00A22E80">
        <w:rPr>
          <w:rFonts w:ascii="Verdana" w:hAnsi="Verdana"/>
          <w:sz w:val="18"/>
          <w:szCs w:val="18"/>
        </w:rPr>
        <w:t xml:space="preserve"> lid</w:t>
      </w:r>
      <w:r w:rsidR="00C46BDD">
        <w:rPr>
          <w:rFonts w:ascii="Verdana" w:hAnsi="Verdana"/>
          <w:sz w:val="18"/>
          <w:szCs w:val="18"/>
        </w:rPr>
        <w:t>,</w:t>
      </w:r>
      <w:r w:rsidRPr="00A22E80">
        <w:rPr>
          <w:rFonts w:ascii="Verdana" w:hAnsi="Verdana"/>
          <w:sz w:val="18"/>
          <w:szCs w:val="18"/>
        </w:rPr>
        <w:t xml:space="preserve"> </w:t>
      </w:r>
      <w:proofErr w:type="spellStart"/>
      <w:r w:rsidRPr="00A22E80">
        <w:rPr>
          <w:rFonts w:ascii="Verdana" w:hAnsi="Verdana"/>
          <w:sz w:val="18"/>
          <w:szCs w:val="18"/>
        </w:rPr>
        <w:t>Wft</w:t>
      </w:r>
      <w:proofErr w:type="spellEnd"/>
      <w:r w:rsidRPr="00A22E80">
        <w:rPr>
          <w:rFonts w:ascii="Verdana" w:hAnsi="Verdana"/>
          <w:sz w:val="18"/>
          <w:szCs w:val="18"/>
        </w:rPr>
        <w:t xml:space="preserve">. Dit artikellid bepaalt in het algemeen dat besluiten in de afwikkelingsfase niet onderworpen zijn aan enig </w:t>
      </w:r>
      <w:proofErr w:type="spellStart"/>
      <w:r w:rsidRPr="00A22E80">
        <w:rPr>
          <w:rFonts w:ascii="Verdana" w:hAnsi="Verdana"/>
          <w:sz w:val="18"/>
          <w:szCs w:val="18"/>
        </w:rPr>
        <w:t>kennisgevingsvereiste</w:t>
      </w:r>
      <w:proofErr w:type="spellEnd"/>
      <w:r w:rsidRPr="00A22E80">
        <w:rPr>
          <w:rFonts w:ascii="Verdana" w:hAnsi="Verdana"/>
          <w:sz w:val="18"/>
          <w:szCs w:val="18"/>
        </w:rPr>
        <w:t xml:space="preserve"> of procedureel voorschrift ingevolge een ander wettelijk voorschrift. Omtrent de volgende onderwerpen zijn procedurele voorschriften in de richtlijn aandeelhoudersrechten opgenomen: de oproeping voor een algemene vergadering (artikel</w:t>
      </w:r>
      <w:r w:rsidR="00DD1707" w:rsidRPr="00A22E80">
        <w:rPr>
          <w:rFonts w:ascii="Verdana" w:hAnsi="Verdana"/>
          <w:sz w:val="18"/>
          <w:szCs w:val="18"/>
        </w:rPr>
        <w:t>en</w:t>
      </w:r>
      <w:r w:rsidRPr="00A22E80">
        <w:rPr>
          <w:rFonts w:ascii="Verdana" w:hAnsi="Verdana"/>
          <w:sz w:val="18"/>
          <w:szCs w:val="18"/>
        </w:rPr>
        <w:t xml:space="preserve"> 2:113, </w:t>
      </w:r>
      <w:r w:rsidR="00DD1707" w:rsidRPr="00A22E80">
        <w:rPr>
          <w:rFonts w:ascii="Verdana" w:hAnsi="Verdana"/>
          <w:sz w:val="18"/>
          <w:szCs w:val="18"/>
        </w:rPr>
        <w:t>2:</w:t>
      </w:r>
      <w:r w:rsidRPr="00A22E80">
        <w:rPr>
          <w:rFonts w:ascii="Verdana" w:hAnsi="Verdana"/>
          <w:sz w:val="18"/>
          <w:szCs w:val="18"/>
        </w:rPr>
        <w:t xml:space="preserve">114 en </w:t>
      </w:r>
      <w:r w:rsidR="00DD1707" w:rsidRPr="00A22E80">
        <w:rPr>
          <w:rFonts w:ascii="Verdana" w:hAnsi="Verdana"/>
          <w:sz w:val="18"/>
          <w:szCs w:val="18"/>
        </w:rPr>
        <w:t>2:</w:t>
      </w:r>
      <w:r w:rsidRPr="00A22E80">
        <w:rPr>
          <w:rFonts w:ascii="Verdana" w:hAnsi="Verdana"/>
          <w:sz w:val="18"/>
          <w:szCs w:val="18"/>
        </w:rPr>
        <w:t>115 BW), het agenderingsrecht (artikel 2:114a BW), het bijwonen van de algemene vergadering en het uitoefenen van het stemrecht (artikel</w:t>
      </w:r>
      <w:r w:rsidR="00CF27D8" w:rsidRPr="00A22E80">
        <w:rPr>
          <w:rFonts w:ascii="Verdana" w:hAnsi="Verdana"/>
          <w:sz w:val="18"/>
          <w:szCs w:val="18"/>
        </w:rPr>
        <w:t>en</w:t>
      </w:r>
      <w:r w:rsidRPr="00A22E80">
        <w:rPr>
          <w:rFonts w:ascii="Verdana" w:hAnsi="Verdana"/>
          <w:sz w:val="18"/>
          <w:szCs w:val="18"/>
        </w:rPr>
        <w:t xml:space="preserve"> 2:117, </w:t>
      </w:r>
      <w:r w:rsidR="00CF27D8" w:rsidRPr="00A22E80">
        <w:rPr>
          <w:rFonts w:ascii="Verdana" w:hAnsi="Verdana"/>
          <w:sz w:val="18"/>
          <w:szCs w:val="18"/>
        </w:rPr>
        <w:t>2:</w:t>
      </w:r>
      <w:r w:rsidRPr="00A22E80">
        <w:rPr>
          <w:rFonts w:ascii="Verdana" w:hAnsi="Verdana"/>
          <w:sz w:val="18"/>
          <w:szCs w:val="18"/>
        </w:rPr>
        <w:t xml:space="preserve">117a en </w:t>
      </w:r>
      <w:r w:rsidR="00CF27D8" w:rsidRPr="00A22E80">
        <w:rPr>
          <w:rFonts w:ascii="Verdana" w:hAnsi="Verdana"/>
          <w:sz w:val="18"/>
          <w:szCs w:val="18"/>
        </w:rPr>
        <w:t>2:</w:t>
      </w:r>
      <w:r w:rsidRPr="00A22E80">
        <w:rPr>
          <w:rFonts w:ascii="Verdana" w:hAnsi="Verdana"/>
          <w:sz w:val="18"/>
          <w:szCs w:val="18"/>
        </w:rPr>
        <w:t>117b BW) en het vaststellen van de stemmingsresultaten (artikel 2:120 BW).</w:t>
      </w:r>
      <w:r w:rsidR="0019622A" w:rsidRPr="00A22E80">
        <w:rPr>
          <w:rFonts w:ascii="Verdana" w:hAnsi="Verdana"/>
          <w:sz w:val="18"/>
          <w:szCs w:val="18"/>
        </w:rPr>
        <w:t xml:space="preserve"> </w:t>
      </w:r>
    </w:p>
    <w:p w:rsidR="0019622A" w:rsidRPr="00A22E80" w:rsidRDefault="0019622A" w:rsidP="00A22E80">
      <w:pPr>
        <w:spacing w:line="260" w:lineRule="exact"/>
        <w:rPr>
          <w:rFonts w:ascii="Verdana" w:hAnsi="Verdana"/>
          <w:sz w:val="18"/>
          <w:szCs w:val="18"/>
        </w:rPr>
      </w:pPr>
    </w:p>
    <w:p w:rsidR="00EB338D" w:rsidRPr="00A22E80" w:rsidRDefault="00EB338D" w:rsidP="00A22E80">
      <w:pPr>
        <w:spacing w:line="260" w:lineRule="exact"/>
        <w:rPr>
          <w:rFonts w:ascii="Verdana" w:hAnsi="Verdana"/>
          <w:sz w:val="18"/>
          <w:szCs w:val="18"/>
        </w:rPr>
      </w:pPr>
      <w:r w:rsidRPr="00A22E80">
        <w:rPr>
          <w:rFonts w:ascii="Verdana" w:hAnsi="Verdana"/>
          <w:sz w:val="18"/>
          <w:szCs w:val="18"/>
        </w:rPr>
        <w:t>Ook de andere hierboven genoemde EU-richtlijnen kennen procedurele voorschriften die in de afwikkelingsfase niet van toepassing zijn. Dit betreft voor de richtlijnen over (grensoverschrijdende) fusie en splitsing voorschriften over het voorstel tot fusie of splitsing en de toelichting daarop (artikel</w:t>
      </w:r>
      <w:r w:rsidR="0019622A" w:rsidRPr="00A22E80">
        <w:rPr>
          <w:rFonts w:ascii="Verdana" w:hAnsi="Verdana"/>
          <w:sz w:val="18"/>
          <w:szCs w:val="18"/>
        </w:rPr>
        <w:t>en</w:t>
      </w:r>
      <w:r w:rsidRPr="00A22E80">
        <w:rPr>
          <w:rFonts w:ascii="Verdana" w:hAnsi="Verdana"/>
          <w:sz w:val="18"/>
          <w:szCs w:val="18"/>
        </w:rPr>
        <w:t xml:space="preserve"> 2:312-</w:t>
      </w:r>
      <w:r w:rsidR="0019622A" w:rsidRPr="00A22E80">
        <w:rPr>
          <w:rFonts w:ascii="Verdana" w:hAnsi="Verdana"/>
          <w:sz w:val="18"/>
          <w:szCs w:val="18"/>
        </w:rPr>
        <w:t>2:</w:t>
      </w:r>
      <w:r w:rsidRPr="00A22E80">
        <w:rPr>
          <w:rFonts w:ascii="Verdana" w:hAnsi="Verdana"/>
          <w:sz w:val="18"/>
          <w:szCs w:val="18"/>
        </w:rPr>
        <w:t xml:space="preserve">315, </w:t>
      </w:r>
      <w:r w:rsidR="0019622A" w:rsidRPr="00A22E80">
        <w:rPr>
          <w:rFonts w:ascii="Verdana" w:hAnsi="Verdana"/>
          <w:sz w:val="18"/>
          <w:szCs w:val="18"/>
        </w:rPr>
        <w:t>2:</w:t>
      </w:r>
      <w:r w:rsidRPr="00A22E80">
        <w:rPr>
          <w:rFonts w:ascii="Verdana" w:hAnsi="Verdana"/>
          <w:sz w:val="18"/>
          <w:szCs w:val="18"/>
        </w:rPr>
        <w:t>326</w:t>
      </w:r>
      <w:r w:rsidR="003561B6" w:rsidRPr="00A22E80">
        <w:rPr>
          <w:rFonts w:ascii="Verdana" w:hAnsi="Verdana"/>
          <w:sz w:val="18"/>
          <w:szCs w:val="18"/>
        </w:rPr>
        <w:t xml:space="preserve"> tot en met 2:</w:t>
      </w:r>
      <w:r w:rsidRPr="00A22E80">
        <w:rPr>
          <w:rFonts w:ascii="Verdana" w:hAnsi="Verdana"/>
          <w:sz w:val="18"/>
          <w:szCs w:val="18"/>
        </w:rPr>
        <w:t xml:space="preserve">329, </w:t>
      </w:r>
      <w:r w:rsidR="0019622A" w:rsidRPr="00A22E80">
        <w:rPr>
          <w:rFonts w:ascii="Verdana" w:hAnsi="Verdana"/>
          <w:sz w:val="18"/>
          <w:szCs w:val="18"/>
        </w:rPr>
        <w:t>2:</w:t>
      </w:r>
      <w:r w:rsidRPr="00A22E80">
        <w:rPr>
          <w:rFonts w:ascii="Verdana" w:hAnsi="Verdana"/>
          <w:sz w:val="18"/>
          <w:szCs w:val="18"/>
        </w:rPr>
        <w:t>333d</w:t>
      </w:r>
      <w:r w:rsidR="00037684" w:rsidRPr="00A22E80">
        <w:rPr>
          <w:rFonts w:ascii="Verdana" w:hAnsi="Verdana"/>
          <w:sz w:val="18"/>
          <w:szCs w:val="18"/>
        </w:rPr>
        <w:t xml:space="preserve"> tot en met </w:t>
      </w:r>
      <w:r w:rsidR="0019622A" w:rsidRPr="00A22E80">
        <w:rPr>
          <w:rFonts w:ascii="Verdana" w:hAnsi="Verdana"/>
          <w:sz w:val="18"/>
          <w:szCs w:val="18"/>
        </w:rPr>
        <w:t>2:</w:t>
      </w:r>
      <w:r w:rsidRPr="00A22E80">
        <w:rPr>
          <w:rFonts w:ascii="Verdana" w:hAnsi="Verdana"/>
          <w:sz w:val="18"/>
          <w:szCs w:val="18"/>
        </w:rPr>
        <w:t xml:space="preserve">333g en </w:t>
      </w:r>
      <w:r w:rsidR="0019622A" w:rsidRPr="00A22E80">
        <w:rPr>
          <w:rFonts w:ascii="Verdana" w:hAnsi="Verdana"/>
          <w:sz w:val="18"/>
          <w:szCs w:val="18"/>
        </w:rPr>
        <w:t>2:</w:t>
      </w:r>
      <w:r w:rsidRPr="00A22E80">
        <w:rPr>
          <w:rFonts w:ascii="Verdana" w:hAnsi="Verdana"/>
          <w:sz w:val="18"/>
          <w:szCs w:val="18"/>
        </w:rPr>
        <w:t>334f</w:t>
      </w:r>
      <w:r w:rsidR="00037684" w:rsidRPr="00A22E80">
        <w:rPr>
          <w:rFonts w:ascii="Verdana" w:hAnsi="Verdana"/>
          <w:sz w:val="18"/>
          <w:szCs w:val="18"/>
        </w:rPr>
        <w:t xml:space="preserve"> tot en met </w:t>
      </w:r>
      <w:r w:rsidR="0019622A" w:rsidRPr="00A22E80">
        <w:rPr>
          <w:rFonts w:ascii="Verdana" w:hAnsi="Verdana"/>
          <w:sz w:val="18"/>
          <w:szCs w:val="18"/>
        </w:rPr>
        <w:t>2:</w:t>
      </w:r>
      <w:r w:rsidRPr="00A22E80">
        <w:rPr>
          <w:rFonts w:ascii="Verdana" w:hAnsi="Verdana"/>
          <w:sz w:val="18"/>
          <w:szCs w:val="18"/>
        </w:rPr>
        <w:t>334i BW), het verzet door schuldeisers (artikel</w:t>
      </w:r>
      <w:r w:rsidR="0019622A" w:rsidRPr="00A22E80">
        <w:rPr>
          <w:rFonts w:ascii="Verdana" w:hAnsi="Verdana"/>
          <w:sz w:val="18"/>
          <w:szCs w:val="18"/>
        </w:rPr>
        <w:t>en</w:t>
      </w:r>
      <w:r w:rsidRPr="00A22E80">
        <w:rPr>
          <w:rFonts w:ascii="Verdana" w:hAnsi="Verdana"/>
          <w:sz w:val="18"/>
          <w:szCs w:val="18"/>
        </w:rPr>
        <w:t xml:space="preserve"> 2:316 en </w:t>
      </w:r>
      <w:r w:rsidR="0019622A" w:rsidRPr="00A22E80">
        <w:rPr>
          <w:rFonts w:ascii="Verdana" w:hAnsi="Verdana"/>
          <w:sz w:val="18"/>
          <w:szCs w:val="18"/>
        </w:rPr>
        <w:t>2:</w:t>
      </w:r>
      <w:r w:rsidRPr="00A22E80">
        <w:rPr>
          <w:rFonts w:ascii="Verdana" w:hAnsi="Verdana"/>
          <w:sz w:val="18"/>
          <w:szCs w:val="18"/>
        </w:rPr>
        <w:t xml:space="preserve">334k en </w:t>
      </w:r>
      <w:r w:rsidR="0019622A" w:rsidRPr="00A22E80">
        <w:rPr>
          <w:rFonts w:ascii="Verdana" w:hAnsi="Verdana"/>
          <w:sz w:val="18"/>
          <w:szCs w:val="18"/>
        </w:rPr>
        <w:t>2:</w:t>
      </w:r>
      <w:r w:rsidRPr="00A22E80">
        <w:rPr>
          <w:rFonts w:ascii="Verdana" w:hAnsi="Verdana"/>
          <w:sz w:val="18"/>
          <w:szCs w:val="18"/>
        </w:rPr>
        <w:t>334l BW), schadeloosstelling van aandeelhouders (artikel</w:t>
      </w:r>
      <w:r w:rsidR="006D52EB" w:rsidRPr="00A22E80">
        <w:rPr>
          <w:rFonts w:ascii="Verdana" w:hAnsi="Verdana"/>
          <w:sz w:val="18"/>
          <w:szCs w:val="18"/>
        </w:rPr>
        <w:t>en</w:t>
      </w:r>
      <w:r w:rsidRPr="00A22E80">
        <w:rPr>
          <w:rFonts w:ascii="Verdana" w:hAnsi="Verdana"/>
          <w:sz w:val="18"/>
          <w:szCs w:val="18"/>
        </w:rPr>
        <w:t xml:space="preserve"> 2:330a</w:t>
      </w:r>
      <w:r w:rsidR="006D52EB" w:rsidRPr="00A22E80">
        <w:rPr>
          <w:rFonts w:ascii="Verdana" w:hAnsi="Verdana"/>
          <w:sz w:val="18"/>
          <w:szCs w:val="18"/>
        </w:rPr>
        <w:t xml:space="preserve"> en</w:t>
      </w:r>
      <w:r w:rsidRPr="00A22E80">
        <w:rPr>
          <w:rFonts w:ascii="Verdana" w:hAnsi="Verdana"/>
          <w:sz w:val="18"/>
          <w:szCs w:val="18"/>
        </w:rPr>
        <w:t xml:space="preserve"> </w:t>
      </w:r>
      <w:r w:rsidR="0019622A" w:rsidRPr="00A22E80">
        <w:rPr>
          <w:rFonts w:ascii="Verdana" w:hAnsi="Verdana"/>
          <w:sz w:val="18"/>
          <w:szCs w:val="18"/>
        </w:rPr>
        <w:t>2:</w:t>
      </w:r>
      <w:r w:rsidRPr="00A22E80">
        <w:rPr>
          <w:rFonts w:ascii="Verdana" w:hAnsi="Verdana"/>
          <w:sz w:val="18"/>
          <w:szCs w:val="18"/>
        </w:rPr>
        <w:t>333h BW) en regelingen over medezeggenschap (artikel 2:333k BW).</w:t>
      </w:r>
    </w:p>
    <w:p w:rsidR="00EB338D" w:rsidRPr="00A22E80" w:rsidRDefault="00EB338D" w:rsidP="00A22E80">
      <w:pPr>
        <w:spacing w:line="260" w:lineRule="exact"/>
        <w:rPr>
          <w:rFonts w:ascii="Verdana" w:hAnsi="Verdana"/>
          <w:sz w:val="18"/>
          <w:szCs w:val="18"/>
        </w:rPr>
      </w:pPr>
      <w:r w:rsidRPr="00A22E80">
        <w:rPr>
          <w:rFonts w:ascii="Verdana" w:hAnsi="Verdana"/>
          <w:sz w:val="18"/>
          <w:szCs w:val="18"/>
        </w:rPr>
        <w:t>De richtlijn betref</w:t>
      </w:r>
      <w:r w:rsidR="00DD18C9" w:rsidRPr="00A22E80">
        <w:rPr>
          <w:rFonts w:ascii="Verdana" w:hAnsi="Verdana"/>
          <w:sz w:val="18"/>
          <w:szCs w:val="18"/>
        </w:rPr>
        <w:t>fende</w:t>
      </w:r>
      <w:r w:rsidRPr="00A22E80">
        <w:rPr>
          <w:rFonts w:ascii="Verdana" w:hAnsi="Verdana"/>
          <w:sz w:val="18"/>
          <w:szCs w:val="18"/>
        </w:rPr>
        <w:t xml:space="preserve"> de oprichting van de NV en de instandhouding en wijziging van haar kapitaal</w:t>
      </w:r>
      <w:r w:rsidR="00BA7608" w:rsidRPr="00A22E80">
        <w:rPr>
          <w:rStyle w:val="Voetnootmarkering"/>
          <w:rFonts w:ascii="Verdana" w:hAnsi="Verdana"/>
          <w:sz w:val="18"/>
          <w:szCs w:val="18"/>
        </w:rPr>
        <w:footnoteReference w:id="8"/>
      </w:r>
      <w:r w:rsidRPr="00A22E80">
        <w:rPr>
          <w:rFonts w:ascii="Verdana" w:hAnsi="Verdana"/>
          <w:sz w:val="18"/>
          <w:szCs w:val="18"/>
        </w:rPr>
        <w:t xml:space="preserve"> kent procedurele voorschriften over de volgende onderwerpen die niet van toepassin</w:t>
      </w:r>
      <w:r w:rsidR="00EC3B3C" w:rsidRPr="00A22E80">
        <w:rPr>
          <w:rFonts w:ascii="Verdana" w:hAnsi="Verdana"/>
          <w:sz w:val="18"/>
          <w:szCs w:val="18"/>
        </w:rPr>
        <w:t xml:space="preserve">g zijn in de afwikkelingsfase. </w:t>
      </w:r>
      <w:r w:rsidRPr="00A22E80">
        <w:rPr>
          <w:rFonts w:ascii="Verdana" w:hAnsi="Verdana"/>
          <w:sz w:val="18"/>
          <w:szCs w:val="18"/>
        </w:rPr>
        <w:t xml:space="preserve">De accountantsverklaring over inbreng in </w:t>
      </w:r>
      <w:proofErr w:type="spellStart"/>
      <w:r w:rsidRPr="00A22E80">
        <w:rPr>
          <w:rFonts w:ascii="Verdana" w:hAnsi="Verdana"/>
          <w:sz w:val="18"/>
          <w:szCs w:val="18"/>
        </w:rPr>
        <w:t>natura</w:t>
      </w:r>
      <w:proofErr w:type="spellEnd"/>
      <w:r w:rsidRPr="00A22E80">
        <w:rPr>
          <w:rFonts w:ascii="Verdana" w:hAnsi="Verdana"/>
          <w:sz w:val="18"/>
          <w:szCs w:val="18"/>
        </w:rPr>
        <w:t xml:space="preserve"> voor en na oprichting (artikel 2:94a en </w:t>
      </w:r>
      <w:r w:rsidR="00CC0555" w:rsidRPr="00A22E80">
        <w:rPr>
          <w:rFonts w:ascii="Verdana" w:hAnsi="Verdana"/>
          <w:sz w:val="18"/>
          <w:szCs w:val="18"/>
        </w:rPr>
        <w:t>2:</w:t>
      </w:r>
      <w:r w:rsidRPr="00A22E80">
        <w:rPr>
          <w:rFonts w:ascii="Verdana" w:hAnsi="Verdana"/>
          <w:sz w:val="18"/>
          <w:szCs w:val="18"/>
        </w:rPr>
        <w:t>94b BW), het voorkeursrecht van aandeelhouders bij de uitgifte van aandelen (artikel 2:96a BW), het verzet door schuldeisers (artikel 2:100 BW) en het bijeenroepen van een algemene vergadering bij een sterke vermogensdaling (artikel 2:108a BW).</w:t>
      </w:r>
    </w:p>
    <w:p w:rsidR="001E4E7A" w:rsidRPr="00A22E80" w:rsidRDefault="001E4E7A" w:rsidP="00A22E80">
      <w:pPr>
        <w:widowControl w:val="0"/>
        <w:tabs>
          <w:tab w:val="num" w:pos="720"/>
        </w:tabs>
        <w:spacing w:line="260" w:lineRule="exact"/>
        <w:rPr>
          <w:rFonts w:ascii="Verdana" w:hAnsi="Verdana" w:cs="Arial"/>
          <w:sz w:val="18"/>
          <w:szCs w:val="18"/>
        </w:rPr>
      </w:pPr>
    </w:p>
    <w:p w:rsidR="00CE62F1"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MM</w:t>
      </w:r>
    </w:p>
    <w:p w:rsidR="000910E4" w:rsidRPr="00A22E80" w:rsidRDefault="000910E4" w:rsidP="00A22E80">
      <w:pPr>
        <w:widowControl w:val="0"/>
        <w:tabs>
          <w:tab w:val="num" w:pos="720"/>
        </w:tabs>
        <w:spacing w:line="260" w:lineRule="exact"/>
        <w:rPr>
          <w:rFonts w:ascii="Verdana" w:hAnsi="Verdana" w:cs="Arial"/>
          <w:sz w:val="18"/>
          <w:szCs w:val="18"/>
        </w:rPr>
      </w:pPr>
    </w:p>
    <w:p w:rsidR="00943042" w:rsidRPr="00A22E80" w:rsidRDefault="00C65B3E" w:rsidP="00A22E80">
      <w:pPr>
        <w:spacing w:line="260" w:lineRule="exact"/>
        <w:rPr>
          <w:rFonts w:ascii="Verdana" w:hAnsi="Verdana"/>
          <w:sz w:val="18"/>
          <w:szCs w:val="18"/>
        </w:rPr>
      </w:pPr>
      <w:r w:rsidRPr="00A22E80">
        <w:rPr>
          <w:rFonts w:ascii="Verdana" w:hAnsi="Verdana"/>
          <w:sz w:val="18"/>
          <w:szCs w:val="18"/>
        </w:rPr>
        <w:t xml:space="preserve">De voorgestelde wijziging expliciteert dat DNB een aantal overwegingen in aanmerking neemt bij het bepalen van de inhoud, bijzonderheden en frequentie van het afwikkelingsplan, de voor het (opstellen van het) afwikkelingsplan vereiste informatie en de beoordeling van de afwikkelbaarheid. </w:t>
      </w:r>
      <w:r w:rsidR="00DD18C9" w:rsidRPr="00A22E80">
        <w:rPr>
          <w:rFonts w:ascii="Verdana" w:hAnsi="Verdana"/>
          <w:sz w:val="18"/>
          <w:szCs w:val="18"/>
        </w:rPr>
        <w:t xml:space="preserve">Dit volgt uit artikel 4, eerste lid, aanhef, van de richtlijn herstel en afwikkeling van banken en beleggingsondernemingen. </w:t>
      </w:r>
      <w:r w:rsidRPr="00A22E80">
        <w:rPr>
          <w:rFonts w:ascii="Verdana" w:hAnsi="Verdana"/>
          <w:sz w:val="18"/>
          <w:szCs w:val="18"/>
        </w:rPr>
        <w:t xml:space="preserve">Het gaat daarbij om overwegingen als het risicoprofiel van de instelling en de verwevenheid met andere instellingen of het financieel stelsel in het algemeen. In artikel 3A:9, vijfde lid, </w:t>
      </w:r>
      <w:r w:rsidR="009B3D2E">
        <w:rPr>
          <w:rFonts w:ascii="Verdana" w:hAnsi="Verdana"/>
          <w:sz w:val="18"/>
          <w:szCs w:val="18"/>
        </w:rPr>
        <w:t xml:space="preserve">van de </w:t>
      </w:r>
      <w:proofErr w:type="spellStart"/>
      <w:r w:rsidR="009B3D2E">
        <w:rPr>
          <w:rFonts w:ascii="Verdana" w:hAnsi="Verdana"/>
          <w:sz w:val="18"/>
          <w:szCs w:val="18"/>
        </w:rPr>
        <w:t>Wft</w:t>
      </w:r>
      <w:proofErr w:type="spellEnd"/>
      <w:r w:rsidR="009B3D2E">
        <w:rPr>
          <w:rFonts w:ascii="Verdana" w:hAnsi="Verdana"/>
          <w:sz w:val="18"/>
          <w:szCs w:val="18"/>
        </w:rPr>
        <w:t xml:space="preserve"> </w:t>
      </w:r>
      <w:r w:rsidRPr="00A22E80">
        <w:rPr>
          <w:rFonts w:ascii="Verdana" w:hAnsi="Verdana"/>
          <w:sz w:val="18"/>
          <w:szCs w:val="18"/>
        </w:rPr>
        <w:t xml:space="preserve">is reeds opgenomen dat deze </w:t>
      </w:r>
      <w:r w:rsidRPr="00A22E80">
        <w:rPr>
          <w:rFonts w:ascii="Verdana" w:hAnsi="Verdana"/>
          <w:sz w:val="18"/>
          <w:szCs w:val="18"/>
        </w:rPr>
        <w:lastRenderedPageBreak/>
        <w:t>overwegingen door DNB in aanmerking worden genomen bij een besluit tot vereenvoudigde verplichtingen of het verlenen van ontheffing kan worden verleend voor het opstellen van het afwikkelingsplan.</w:t>
      </w:r>
      <w:r w:rsidR="00D37A76" w:rsidRPr="00A22E80">
        <w:rPr>
          <w:rFonts w:ascii="Verdana" w:hAnsi="Verdana"/>
          <w:sz w:val="18"/>
          <w:szCs w:val="18"/>
        </w:rPr>
        <w:t xml:space="preserve"> Dit wordt nu aangevuld met de voorgestelde wijzigingen.</w:t>
      </w:r>
      <w:r w:rsidRPr="00A22E80">
        <w:rPr>
          <w:rFonts w:ascii="Verdana" w:hAnsi="Verdana"/>
          <w:sz w:val="18"/>
          <w:szCs w:val="18"/>
        </w:rPr>
        <w:t xml:space="preserve"> </w:t>
      </w:r>
    </w:p>
    <w:p w:rsidR="00D37A76" w:rsidRPr="00A22E80" w:rsidRDefault="00D37A76" w:rsidP="00A22E80">
      <w:pPr>
        <w:spacing w:line="260" w:lineRule="exact"/>
        <w:rPr>
          <w:rFonts w:ascii="Verdana" w:hAnsi="Verdana"/>
          <w:sz w:val="18"/>
          <w:szCs w:val="18"/>
        </w:rPr>
      </w:pPr>
    </w:p>
    <w:p w:rsidR="00C65B3E" w:rsidRPr="00A22E80" w:rsidRDefault="00C65B3E" w:rsidP="00A22E80">
      <w:pPr>
        <w:spacing w:line="260" w:lineRule="exact"/>
        <w:rPr>
          <w:rFonts w:ascii="Verdana" w:hAnsi="Verdana"/>
          <w:sz w:val="18"/>
          <w:szCs w:val="18"/>
        </w:rPr>
      </w:pPr>
      <w:r w:rsidRPr="00A22E80">
        <w:rPr>
          <w:rFonts w:ascii="Verdana" w:hAnsi="Verdana"/>
          <w:sz w:val="18"/>
          <w:szCs w:val="18"/>
        </w:rPr>
        <w:t>Omdat de verordening gemeenschappelijk afwikkelingsmechanisme parallelle voorschriften bevat, wordt omwille van de consistentie verwezen naar de voorschriften</w:t>
      </w:r>
      <w:r w:rsidR="00943042" w:rsidRPr="00A22E80">
        <w:rPr>
          <w:rFonts w:ascii="Verdana" w:hAnsi="Verdana"/>
          <w:sz w:val="18"/>
          <w:szCs w:val="18"/>
        </w:rPr>
        <w:t xml:space="preserve"> in de verordening in plaats van naar de richtlijn</w:t>
      </w:r>
      <w:r w:rsidRPr="00A22E80">
        <w:rPr>
          <w:rFonts w:ascii="Verdana" w:hAnsi="Verdana"/>
          <w:sz w:val="18"/>
          <w:szCs w:val="18"/>
        </w:rPr>
        <w:t>.</w:t>
      </w:r>
    </w:p>
    <w:p w:rsidR="00A464B8" w:rsidRPr="00A22E80" w:rsidRDefault="00A464B8" w:rsidP="00A22E80">
      <w:pPr>
        <w:widowControl w:val="0"/>
        <w:tabs>
          <w:tab w:val="num" w:pos="720"/>
        </w:tabs>
        <w:spacing w:line="260" w:lineRule="exact"/>
        <w:rPr>
          <w:rFonts w:ascii="Verdana" w:hAnsi="Verdana" w:cs="Arial"/>
          <w:sz w:val="18"/>
          <w:szCs w:val="18"/>
        </w:rPr>
      </w:pPr>
    </w:p>
    <w:p w:rsidR="00A464B8"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NN</w:t>
      </w:r>
    </w:p>
    <w:p w:rsidR="00A464B8" w:rsidRPr="00A22E80" w:rsidRDefault="00A464B8" w:rsidP="00A22E80">
      <w:pPr>
        <w:widowControl w:val="0"/>
        <w:tabs>
          <w:tab w:val="num" w:pos="720"/>
        </w:tabs>
        <w:spacing w:line="260" w:lineRule="exact"/>
        <w:rPr>
          <w:rFonts w:ascii="Verdana" w:hAnsi="Verdana" w:cs="Arial"/>
          <w:sz w:val="18"/>
          <w:szCs w:val="18"/>
        </w:rPr>
      </w:pPr>
    </w:p>
    <w:p w:rsidR="00D90102" w:rsidRPr="00A22E80" w:rsidRDefault="00647610" w:rsidP="00A22E80">
      <w:pPr>
        <w:spacing w:line="260" w:lineRule="exact"/>
        <w:rPr>
          <w:rFonts w:ascii="Verdana" w:hAnsi="Verdana"/>
          <w:sz w:val="18"/>
          <w:szCs w:val="18"/>
        </w:rPr>
      </w:pPr>
      <w:r w:rsidRPr="00A22E80">
        <w:rPr>
          <w:rFonts w:ascii="Verdana" w:hAnsi="Verdana"/>
          <w:sz w:val="18"/>
          <w:szCs w:val="18"/>
        </w:rPr>
        <w:t>Met h</w:t>
      </w:r>
      <w:r w:rsidR="00D90102" w:rsidRPr="00A22E80">
        <w:rPr>
          <w:rFonts w:ascii="Verdana" w:hAnsi="Verdana"/>
          <w:sz w:val="18"/>
          <w:szCs w:val="18"/>
        </w:rPr>
        <w:t xml:space="preserve">et voorgestelde artikel </w:t>
      </w:r>
      <w:r w:rsidR="00485371" w:rsidRPr="00A22E80">
        <w:rPr>
          <w:rFonts w:ascii="Verdana" w:hAnsi="Verdana"/>
          <w:sz w:val="18"/>
          <w:szCs w:val="18"/>
        </w:rPr>
        <w:t xml:space="preserve">3A:11a </w:t>
      </w:r>
      <w:proofErr w:type="spellStart"/>
      <w:r w:rsidR="005D68D6" w:rsidRPr="00A22E80">
        <w:rPr>
          <w:rFonts w:ascii="Verdana" w:hAnsi="Verdana"/>
          <w:sz w:val="18"/>
          <w:szCs w:val="18"/>
        </w:rPr>
        <w:t>Wft</w:t>
      </w:r>
      <w:proofErr w:type="spellEnd"/>
      <w:r w:rsidR="005D68D6" w:rsidRPr="00A22E80">
        <w:rPr>
          <w:rFonts w:ascii="Verdana" w:hAnsi="Verdana"/>
          <w:sz w:val="18"/>
          <w:szCs w:val="18"/>
        </w:rPr>
        <w:t xml:space="preserve"> </w:t>
      </w:r>
      <w:r w:rsidRPr="00A22E80">
        <w:rPr>
          <w:rFonts w:ascii="Verdana" w:hAnsi="Verdana"/>
          <w:sz w:val="18"/>
          <w:szCs w:val="18"/>
        </w:rPr>
        <w:t xml:space="preserve">wordt </w:t>
      </w:r>
      <w:r w:rsidR="00D90102" w:rsidRPr="00A22E80">
        <w:rPr>
          <w:rFonts w:ascii="Verdana" w:hAnsi="Verdana"/>
          <w:sz w:val="18"/>
          <w:szCs w:val="18"/>
        </w:rPr>
        <w:t xml:space="preserve">een mogelijke omissie </w:t>
      </w:r>
      <w:r w:rsidRPr="00A22E80">
        <w:rPr>
          <w:rFonts w:ascii="Verdana" w:hAnsi="Verdana"/>
          <w:sz w:val="18"/>
          <w:szCs w:val="18"/>
        </w:rPr>
        <w:t xml:space="preserve">hersteld </w:t>
      </w:r>
      <w:r w:rsidR="00D90102" w:rsidRPr="00A22E80">
        <w:rPr>
          <w:rFonts w:ascii="Verdana" w:hAnsi="Verdana"/>
          <w:sz w:val="18"/>
          <w:szCs w:val="18"/>
        </w:rPr>
        <w:t>bij de implementatie van d</w:t>
      </w:r>
      <w:r w:rsidR="00C06603" w:rsidRPr="00A22E80">
        <w:rPr>
          <w:rFonts w:ascii="Verdana" w:hAnsi="Verdana"/>
          <w:sz w:val="18"/>
          <w:szCs w:val="18"/>
        </w:rPr>
        <w:t xml:space="preserve">e verordening gemeenschappelijk </w:t>
      </w:r>
      <w:r w:rsidR="00D90102" w:rsidRPr="00A22E80">
        <w:rPr>
          <w:rFonts w:ascii="Verdana" w:hAnsi="Verdana"/>
          <w:sz w:val="18"/>
          <w:szCs w:val="18"/>
        </w:rPr>
        <w:t xml:space="preserve">afwikkelingsmechanisme. </w:t>
      </w:r>
      <w:r w:rsidR="003816FB">
        <w:rPr>
          <w:rFonts w:ascii="Verdana" w:hAnsi="Verdana"/>
          <w:sz w:val="18"/>
          <w:szCs w:val="18"/>
        </w:rPr>
        <w:t xml:space="preserve">De </w:t>
      </w:r>
      <w:proofErr w:type="spellStart"/>
      <w:r w:rsidR="003816FB">
        <w:rPr>
          <w:rFonts w:ascii="Verdana" w:hAnsi="Verdana"/>
          <w:sz w:val="18"/>
          <w:szCs w:val="18"/>
        </w:rPr>
        <w:t>Nederlandsche</w:t>
      </w:r>
      <w:proofErr w:type="spellEnd"/>
      <w:r w:rsidR="003816FB">
        <w:rPr>
          <w:rFonts w:ascii="Verdana" w:hAnsi="Verdana"/>
          <w:sz w:val="18"/>
          <w:szCs w:val="18"/>
        </w:rPr>
        <w:t xml:space="preserve"> Bank</w:t>
      </w:r>
      <w:r w:rsidR="00D90102" w:rsidRPr="00A22E80">
        <w:rPr>
          <w:rFonts w:ascii="Verdana" w:hAnsi="Verdana"/>
          <w:sz w:val="18"/>
          <w:szCs w:val="18"/>
        </w:rPr>
        <w:t xml:space="preserve"> oefent op grond van de taakverdeling tussen de Afwikkelingsraad en nationale afwikkelingsautoriteiten in artikel 7 van de verordening, bevoegdheden uit die zijn voorzien in de verordening voor de Afwikkelingsraad. Hieronder vallen echter niet de bevoegdheden, opgesomd in artikel 10, elfde lid, van de verordening</w:t>
      </w:r>
      <w:r w:rsidR="0019622A" w:rsidRPr="00A22E80">
        <w:rPr>
          <w:rFonts w:ascii="Verdana" w:hAnsi="Verdana"/>
          <w:sz w:val="18"/>
          <w:szCs w:val="18"/>
        </w:rPr>
        <w:t>,</w:t>
      </w:r>
      <w:r w:rsidR="00D90102" w:rsidRPr="00A22E80">
        <w:rPr>
          <w:rFonts w:ascii="Verdana" w:hAnsi="Verdana"/>
          <w:sz w:val="18"/>
          <w:szCs w:val="18"/>
        </w:rPr>
        <w:t xml:space="preserve"> die kunnen worden opgelegd om belemmeringen voor afwikkelbaarheid te verminderen of weg te nemen. Dit zijn maatregelen die uitsluitend door de autoriteiten van de lidstaten kunnen worden opgelegd en</w:t>
      </w:r>
      <w:r w:rsidR="0019622A" w:rsidRPr="00A22E80">
        <w:rPr>
          <w:rFonts w:ascii="Verdana" w:hAnsi="Verdana"/>
          <w:sz w:val="18"/>
          <w:szCs w:val="18"/>
        </w:rPr>
        <w:t>,</w:t>
      </w:r>
      <w:r w:rsidR="00D90102" w:rsidRPr="00A22E80">
        <w:rPr>
          <w:rFonts w:ascii="Verdana" w:hAnsi="Verdana"/>
          <w:sz w:val="18"/>
          <w:szCs w:val="18"/>
        </w:rPr>
        <w:t xml:space="preserve"> indien de Afwikkelingsraad bevoegd is, op diens instructie. Op grond van de slotzin van het elfde lid van artikel 10 van de verordening is bij de implementatie verondersteld dat de</w:t>
      </w:r>
      <w:r w:rsidR="0019622A" w:rsidRPr="00A22E80">
        <w:rPr>
          <w:rFonts w:ascii="Verdana" w:hAnsi="Verdana"/>
          <w:sz w:val="18"/>
          <w:szCs w:val="18"/>
        </w:rPr>
        <w:t>ze</w:t>
      </w:r>
      <w:r w:rsidR="00D90102" w:rsidRPr="00A22E80">
        <w:rPr>
          <w:rFonts w:ascii="Verdana" w:hAnsi="Verdana"/>
          <w:sz w:val="18"/>
          <w:szCs w:val="18"/>
        </w:rPr>
        <w:t xml:space="preserve"> bevoegdheden </w:t>
      </w:r>
      <w:r w:rsidR="0019622A" w:rsidRPr="00A22E80">
        <w:rPr>
          <w:rFonts w:ascii="Verdana" w:hAnsi="Verdana"/>
          <w:sz w:val="18"/>
          <w:szCs w:val="18"/>
        </w:rPr>
        <w:t xml:space="preserve">voor de nationale afwikkelingsautoriteiten </w:t>
      </w:r>
      <w:r w:rsidR="00D90102" w:rsidRPr="00A22E80">
        <w:rPr>
          <w:rFonts w:ascii="Verdana" w:hAnsi="Verdana"/>
          <w:sz w:val="18"/>
          <w:szCs w:val="18"/>
        </w:rPr>
        <w:t xml:space="preserve">rechtsreeks uit de verordening volgen. Bij nader inzien verdient het de voorkeur om buiten twijfel te stellen dat </w:t>
      </w:r>
      <w:r w:rsidR="00302EF3">
        <w:rPr>
          <w:rFonts w:ascii="Verdana" w:hAnsi="Verdana"/>
          <w:sz w:val="18"/>
          <w:szCs w:val="18"/>
        </w:rPr>
        <w:t>d</w:t>
      </w:r>
      <w:r w:rsidR="003816FB">
        <w:rPr>
          <w:rFonts w:ascii="Verdana" w:hAnsi="Verdana"/>
          <w:sz w:val="18"/>
          <w:szCs w:val="18"/>
        </w:rPr>
        <w:t xml:space="preserve">e </w:t>
      </w:r>
      <w:proofErr w:type="spellStart"/>
      <w:r w:rsidR="003816FB">
        <w:rPr>
          <w:rFonts w:ascii="Verdana" w:hAnsi="Verdana"/>
          <w:sz w:val="18"/>
          <w:szCs w:val="18"/>
        </w:rPr>
        <w:t>Nederlandsche</w:t>
      </w:r>
      <w:proofErr w:type="spellEnd"/>
      <w:r w:rsidR="003816FB">
        <w:rPr>
          <w:rFonts w:ascii="Verdana" w:hAnsi="Verdana"/>
          <w:sz w:val="18"/>
          <w:szCs w:val="18"/>
        </w:rPr>
        <w:t xml:space="preserve"> Bank</w:t>
      </w:r>
      <w:r w:rsidR="00D90102" w:rsidRPr="00A22E80">
        <w:rPr>
          <w:rFonts w:ascii="Verdana" w:hAnsi="Verdana"/>
          <w:sz w:val="18"/>
          <w:szCs w:val="18"/>
        </w:rPr>
        <w:t xml:space="preserve"> daadwerkelijk over deze bevoegdheden beschikt, door deze bevoegdheden </w:t>
      </w:r>
      <w:r w:rsidR="0019622A" w:rsidRPr="00A22E80">
        <w:rPr>
          <w:rFonts w:ascii="Verdana" w:hAnsi="Verdana"/>
          <w:sz w:val="18"/>
          <w:szCs w:val="18"/>
        </w:rPr>
        <w:t xml:space="preserve">van </w:t>
      </w:r>
      <w:r w:rsidR="00D90102" w:rsidRPr="00A22E80">
        <w:rPr>
          <w:rFonts w:ascii="Verdana" w:hAnsi="Verdana"/>
          <w:sz w:val="18"/>
          <w:szCs w:val="18"/>
        </w:rPr>
        <w:t>een expliciete grondslag van nationaal recht te</w:t>
      </w:r>
      <w:r w:rsidR="0019622A" w:rsidRPr="00A22E80">
        <w:rPr>
          <w:rFonts w:ascii="Verdana" w:hAnsi="Verdana"/>
          <w:sz w:val="18"/>
          <w:szCs w:val="18"/>
        </w:rPr>
        <w:t xml:space="preserve"> voorzien</w:t>
      </w:r>
      <w:r w:rsidR="00D90102" w:rsidRPr="00A22E80">
        <w:rPr>
          <w:rFonts w:ascii="Verdana" w:hAnsi="Verdana"/>
          <w:sz w:val="18"/>
          <w:szCs w:val="18"/>
        </w:rPr>
        <w:t>. Het voorgestelde artikel strekt daartoe.</w:t>
      </w:r>
    </w:p>
    <w:p w:rsidR="00E55B72" w:rsidRPr="00A22E80" w:rsidRDefault="00E55B72" w:rsidP="00A22E80">
      <w:pPr>
        <w:widowControl w:val="0"/>
        <w:tabs>
          <w:tab w:val="num" w:pos="720"/>
        </w:tabs>
        <w:spacing w:line="260" w:lineRule="exact"/>
        <w:rPr>
          <w:rFonts w:ascii="Verdana" w:hAnsi="Verdana" w:cs="Arial"/>
          <w:sz w:val="18"/>
          <w:szCs w:val="18"/>
        </w:rPr>
      </w:pPr>
    </w:p>
    <w:p w:rsidR="00554035"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OO</w:t>
      </w:r>
    </w:p>
    <w:p w:rsidR="00554035" w:rsidRPr="00A22E80" w:rsidRDefault="00554035" w:rsidP="00A22E80">
      <w:pPr>
        <w:widowControl w:val="0"/>
        <w:tabs>
          <w:tab w:val="num" w:pos="720"/>
        </w:tabs>
        <w:spacing w:line="260" w:lineRule="exact"/>
        <w:rPr>
          <w:rFonts w:ascii="Verdana" w:hAnsi="Verdana" w:cs="Arial"/>
          <w:sz w:val="18"/>
          <w:szCs w:val="18"/>
        </w:rPr>
      </w:pPr>
    </w:p>
    <w:p w:rsidR="00D37A76" w:rsidRPr="00A22E80" w:rsidRDefault="00A33A1E" w:rsidP="00A22E80">
      <w:pPr>
        <w:widowControl w:val="0"/>
        <w:tabs>
          <w:tab w:val="num" w:pos="720"/>
        </w:tabs>
        <w:spacing w:line="260" w:lineRule="exact"/>
        <w:rPr>
          <w:rFonts w:ascii="Verdana" w:hAnsi="Verdana" w:cs="Arial"/>
          <w:sz w:val="18"/>
          <w:szCs w:val="18"/>
          <w:highlight w:val="yellow"/>
        </w:rPr>
      </w:pPr>
      <w:r w:rsidRPr="00A22E80">
        <w:rPr>
          <w:rFonts w:ascii="Verdana" w:hAnsi="Verdana" w:cs="Arial"/>
          <w:sz w:val="18"/>
          <w:szCs w:val="18"/>
        </w:rPr>
        <w:t>Het betreft hier redactionele verbeteringen.</w:t>
      </w:r>
    </w:p>
    <w:p w:rsidR="00554035" w:rsidRPr="00A22E80" w:rsidRDefault="00554035" w:rsidP="00A22E80">
      <w:pPr>
        <w:widowControl w:val="0"/>
        <w:tabs>
          <w:tab w:val="num" w:pos="720"/>
        </w:tabs>
        <w:spacing w:line="260" w:lineRule="exact"/>
        <w:rPr>
          <w:rFonts w:ascii="Verdana" w:hAnsi="Verdana" w:cs="Arial"/>
          <w:sz w:val="18"/>
          <w:szCs w:val="18"/>
        </w:rPr>
      </w:pPr>
    </w:p>
    <w:p w:rsidR="008024E9"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PP</w:t>
      </w:r>
      <w:r w:rsidR="00B859F0" w:rsidRPr="00A22E80">
        <w:rPr>
          <w:rFonts w:ascii="Verdana" w:hAnsi="Verdana" w:cs="Arial"/>
          <w:sz w:val="18"/>
          <w:szCs w:val="18"/>
        </w:rPr>
        <w:t xml:space="preserve"> en </w:t>
      </w:r>
      <w:r w:rsidRPr="00A22E80">
        <w:rPr>
          <w:rFonts w:ascii="Verdana" w:hAnsi="Verdana" w:cs="Arial"/>
          <w:sz w:val="18"/>
          <w:szCs w:val="18"/>
        </w:rPr>
        <w:t>WW</w:t>
      </w:r>
    </w:p>
    <w:p w:rsidR="008024E9" w:rsidRPr="00A22E80" w:rsidRDefault="008024E9" w:rsidP="00A22E80">
      <w:pPr>
        <w:widowControl w:val="0"/>
        <w:tabs>
          <w:tab w:val="num" w:pos="720"/>
        </w:tabs>
        <w:spacing w:line="260" w:lineRule="exact"/>
        <w:rPr>
          <w:rFonts w:ascii="Verdana" w:hAnsi="Verdana" w:cs="Arial"/>
          <w:sz w:val="18"/>
          <w:szCs w:val="18"/>
        </w:rPr>
      </w:pPr>
    </w:p>
    <w:p w:rsidR="00004E00" w:rsidRPr="00A22E80" w:rsidRDefault="00004E00" w:rsidP="00A22E80">
      <w:pPr>
        <w:spacing w:line="260" w:lineRule="exact"/>
        <w:rPr>
          <w:rFonts w:ascii="Verdana" w:hAnsi="Verdana"/>
          <w:sz w:val="18"/>
          <w:szCs w:val="18"/>
        </w:rPr>
      </w:pPr>
      <w:r w:rsidRPr="00A22E80">
        <w:rPr>
          <w:rFonts w:ascii="Verdana" w:hAnsi="Verdana"/>
          <w:sz w:val="18"/>
          <w:szCs w:val="18"/>
        </w:rPr>
        <w:t>Deze wijziging</w:t>
      </w:r>
      <w:r w:rsidR="00FC34BC" w:rsidRPr="00A22E80">
        <w:rPr>
          <w:rFonts w:ascii="Verdana" w:hAnsi="Verdana"/>
          <w:sz w:val="18"/>
          <w:szCs w:val="18"/>
        </w:rPr>
        <w:t>en</w:t>
      </w:r>
      <w:r w:rsidR="001A118A" w:rsidRPr="00A22E80">
        <w:rPr>
          <w:rFonts w:ascii="Verdana" w:hAnsi="Verdana"/>
          <w:sz w:val="18"/>
          <w:szCs w:val="18"/>
        </w:rPr>
        <w:t xml:space="preserve"> strek</w:t>
      </w:r>
      <w:r w:rsidR="00FC34BC" w:rsidRPr="00A22E80">
        <w:rPr>
          <w:rFonts w:ascii="Verdana" w:hAnsi="Verdana"/>
          <w:sz w:val="18"/>
          <w:szCs w:val="18"/>
        </w:rPr>
        <w:t>ken</w:t>
      </w:r>
      <w:r w:rsidRPr="00A22E80">
        <w:rPr>
          <w:rFonts w:ascii="Verdana" w:hAnsi="Verdana"/>
          <w:sz w:val="18"/>
          <w:szCs w:val="18"/>
        </w:rPr>
        <w:t xml:space="preserve"> ertoe te verduidelijken dat bij afschrijving en omzetting van kapitaalinstrumenten (AFOMKI) </w:t>
      </w:r>
      <w:r w:rsidR="001B3C7E" w:rsidRPr="00A22E80">
        <w:rPr>
          <w:rFonts w:ascii="Verdana" w:hAnsi="Verdana"/>
          <w:sz w:val="18"/>
          <w:szCs w:val="18"/>
        </w:rPr>
        <w:t xml:space="preserve">of bij </w:t>
      </w:r>
      <w:proofErr w:type="spellStart"/>
      <w:r w:rsidRPr="00A22E80">
        <w:rPr>
          <w:rFonts w:ascii="Verdana" w:hAnsi="Verdana"/>
          <w:sz w:val="18"/>
          <w:szCs w:val="18"/>
        </w:rPr>
        <w:t>bail-in</w:t>
      </w:r>
      <w:proofErr w:type="spellEnd"/>
      <w:r w:rsidR="001B3C7E" w:rsidRPr="00A22E80">
        <w:rPr>
          <w:rFonts w:ascii="Verdana" w:hAnsi="Verdana"/>
          <w:sz w:val="18"/>
          <w:szCs w:val="18"/>
        </w:rPr>
        <w:t>,</w:t>
      </w:r>
      <w:r w:rsidRPr="00A22E80">
        <w:rPr>
          <w:rFonts w:ascii="Verdana" w:hAnsi="Verdana"/>
          <w:sz w:val="18"/>
          <w:szCs w:val="18"/>
        </w:rPr>
        <w:t xml:space="preserve"> passiva ook kunnen worden omgezet in rechten op nieuw uit te geven eigendomsinstrumenten van andere entiteiten dan de entiteit waarop AFOMKI of </w:t>
      </w:r>
      <w:proofErr w:type="spellStart"/>
      <w:r w:rsidRPr="00A22E80">
        <w:rPr>
          <w:rFonts w:ascii="Verdana" w:hAnsi="Verdana"/>
          <w:sz w:val="18"/>
          <w:szCs w:val="18"/>
        </w:rPr>
        <w:t>bail-in</w:t>
      </w:r>
      <w:proofErr w:type="spellEnd"/>
      <w:r w:rsidRPr="00A22E80">
        <w:rPr>
          <w:rFonts w:ascii="Verdana" w:hAnsi="Verdana"/>
          <w:sz w:val="18"/>
          <w:szCs w:val="18"/>
        </w:rPr>
        <w:t xml:space="preserve"> wordt toegepast. Het betreft dan de moederonderneming van die entiteit</w:t>
      </w:r>
      <w:r w:rsidR="0004737C" w:rsidRPr="00A22E80">
        <w:rPr>
          <w:rFonts w:ascii="Verdana" w:hAnsi="Verdana"/>
          <w:sz w:val="18"/>
          <w:szCs w:val="18"/>
        </w:rPr>
        <w:t>,</w:t>
      </w:r>
      <w:r w:rsidRPr="00A22E80">
        <w:rPr>
          <w:rFonts w:ascii="Verdana" w:hAnsi="Verdana"/>
          <w:sz w:val="18"/>
          <w:szCs w:val="18"/>
        </w:rPr>
        <w:t xml:space="preserve"> mits die </w:t>
      </w:r>
      <w:r w:rsidR="00A0155F" w:rsidRPr="00A22E80">
        <w:rPr>
          <w:rFonts w:ascii="Verdana" w:hAnsi="Verdana"/>
          <w:sz w:val="18"/>
          <w:szCs w:val="18"/>
        </w:rPr>
        <w:t xml:space="preserve">zelf </w:t>
      </w:r>
      <w:r w:rsidR="0004737C" w:rsidRPr="00A22E80">
        <w:rPr>
          <w:rFonts w:ascii="Verdana" w:hAnsi="Verdana"/>
          <w:sz w:val="18"/>
          <w:szCs w:val="18"/>
        </w:rPr>
        <w:t>een bank</w:t>
      </w:r>
      <w:r w:rsidR="00A0155F" w:rsidRPr="00A22E80">
        <w:rPr>
          <w:rFonts w:ascii="Verdana" w:hAnsi="Verdana"/>
          <w:sz w:val="18"/>
          <w:szCs w:val="18"/>
        </w:rPr>
        <w:t xml:space="preserve">, </w:t>
      </w:r>
      <w:r w:rsidR="00D1441B" w:rsidRPr="00A22E80">
        <w:rPr>
          <w:rFonts w:ascii="Verdana" w:hAnsi="Verdana"/>
          <w:sz w:val="18"/>
          <w:szCs w:val="18"/>
        </w:rPr>
        <w:t>beleggingsonderneming,</w:t>
      </w:r>
      <w:r w:rsidR="00A0155F" w:rsidRPr="00A22E80">
        <w:rPr>
          <w:rFonts w:ascii="Verdana" w:hAnsi="Verdana"/>
          <w:sz w:val="18"/>
          <w:szCs w:val="18"/>
        </w:rPr>
        <w:t xml:space="preserve"> </w:t>
      </w:r>
      <w:r w:rsidRPr="00A22E80">
        <w:rPr>
          <w:rFonts w:ascii="Verdana" w:hAnsi="Verdana"/>
          <w:sz w:val="18"/>
          <w:szCs w:val="18"/>
        </w:rPr>
        <w:t xml:space="preserve">financiële holding, </w:t>
      </w:r>
      <w:r w:rsidR="00A0155F" w:rsidRPr="00A22E80">
        <w:rPr>
          <w:rFonts w:ascii="Verdana" w:hAnsi="Verdana"/>
          <w:sz w:val="18"/>
          <w:szCs w:val="18"/>
        </w:rPr>
        <w:t xml:space="preserve">gemengde financiële holding of </w:t>
      </w:r>
      <w:r w:rsidRPr="00A22E80">
        <w:rPr>
          <w:rFonts w:ascii="Verdana" w:hAnsi="Verdana"/>
          <w:sz w:val="18"/>
          <w:szCs w:val="18"/>
        </w:rPr>
        <w:t>gemengde holding is</w:t>
      </w:r>
      <w:r w:rsidR="0004737C" w:rsidRPr="00A22E80">
        <w:rPr>
          <w:rFonts w:ascii="Verdana" w:hAnsi="Verdana"/>
          <w:sz w:val="18"/>
          <w:szCs w:val="18"/>
        </w:rPr>
        <w:t>,</w:t>
      </w:r>
      <w:r w:rsidRPr="00A22E80">
        <w:rPr>
          <w:rFonts w:ascii="Verdana" w:hAnsi="Verdana"/>
          <w:sz w:val="18"/>
          <w:szCs w:val="18"/>
        </w:rPr>
        <w:t xml:space="preserve"> of </w:t>
      </w:r>
      <w:r w:rsidR="0050209D" w:rsidRPr="00A22E80">
        <w:rPr>
          <w:rFonts w:ascii="Verdana" w:hAnsi="Verdana"/>
          <w:sz w:val="18"/>
          <w:szCs w:val="18"/>
        </w:rPr>
        <w:t xml:space="preserve">de </w:t>
      </w:r>
      <w:r w:rsidRPr="00A22E80">
        <w:rPr>
          <w:rFonts w:ascii="Verdana" w:hAnsi="Verdana"/>
          <w:sz w:val="18"/>
          <w:szCs w:val="18"/>
        </w:rPr>
        <w:t>overbruggingsinstelling waaraan activa of passiva van die entiteit worden overgedragen door toepassing van het instrument van de overbruggingsinstelling. Dit volgt uit de artikelen 59, tweede lid, en 63, eerste lid, onderdeel f,</w:t>
      </w:r>
      <w:r w:rsidR="00A65A69" w:rsidRPr="00A22E80">
        <w:rPr>
          <w:rFonts w:ascii="Verdana" w:hAnsi="Verdana"/>
          <w:sz w:val="18"/>
          <w:szCs w:val="18"/>
        </w:rPr>
        <w:t xml:space="preserve"> </w:t>
      </w:r>
      <w:r w:rsidR="0004737C" w:rsidRPr="00A22E80">
        <w:rPr>
          <w:rFonts w:ascii="Verdana" w:hAnsi="Verdana"/>
          <w:sz w:val="18"/>
          <w:szCs w:val="18"/>
        </w:rPr>
        <w:t>van de richtlijn herstel en afwikkeling van banken en beleggingsondernemingen</w:t>
      </w:r>
      <w:r w:rsidRPr="00A22E80">
        <w:rPr>
          <w:rFonts w:ascii="Verdana" w:hAnsi="Verdana"/>
          <w:sz w:val="18"/>
          <w:szCs w:val="18"/>
        </w:rPr>
        <w:t xml:space="preserve">. </w:t>
      </w:r>
    </w:p>
    <w:p w:rsidR="00F132FB" w:rsidRPr="00A22E80" w:rsidRDefault="00F132FB" w:rsidP="00A22E80">
      <w:pPr>
        <w:widowControl w:val="0"/>
        <w:tabs>
          <w:tab w:val="num" w:pos="720"/>
        </w:tabs>
        <w:spacing w:line="260" w:lineRule="exact"/>
        <w:rPr>
          <w:rFonts w:ascii="Verdana" w:hAnsi="Verdana" w:cs="Arial"/>
          <w:sz w:val="18"/>
          <w:szCs w:val="18"/>
        </w:rPr>
      </w:pPr>
    </w:p>
    <w:p w:rsidR="00A471F7"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QQ</w:t>
      </w:r>
      <w:r w:rsidR="00257645" w:rsidRPr="00A22E80">
        <w:rPr>
          <w:rFonts w:ascii="Verdana" w:hAnsi="Verdana" w:cs="Arial"/>
          <w:sz w:val="18"/>
          <w:szCs w:val="18"/>
        </w:rPr>
        <w:t xml:space="preserve">, </w:t>
      </w:r>
      <w:r w:rsidRPr="00A22E80">
        <w:rPr>
          <w:rFonts w:ascii="Verdana" w:hAnsi="Verdana" w:cs="Arial"/>
          <w:sz w:val="18"/>
          <w:szCs w:val="18"/>
        </w:rPr>
        <w:t>RR</w:t>
      </w:r>
      <w:r w:rsidR="00257645" w:rsidRPr="00A22E80">
        <w:rPr>
          <w:rFonts w:ascii="Verdana" w:hAnsi="Verdana" w:cs="Arial"/>
          <w:sz w:val="18"/>
          <w:szCs w:val="18"/>
        </w:rPr>
        <w:t xml:space="preserve">, </w:t>
      </w:r>
      <w:r w:rsidRPr="00A22E80">
        <w:rPr>
          <w:rFonts w:ascii="Verdana" w:hAnsi="Verdana" w:cs="Arial"/>
          <w:sz w:val="18"/>
          <w:szCs w:val="18"/>
        </w:rPr>
        <w:t>SS</w:t>
      </w:r>
      <w:r w:rsidR="00257645" w:rsidRPr="00A22E80">
        <w:rPr>
          <w:rFonts w:ascii="Verdana" w:hAnsi="Verdana" w:cs="Arial"/>
          <w:sz w:val="18"/>
          <w:szCs w:val="18"/>
        </w:rPr>
        <w:t xml:space="preserve"> en </w:t>
      </w:r>
      <w:r w:rsidRPr="00A22E80">
        <w:rPr>
          <w:rFonts w:ascii="Verdana" w:hAnsi="Verdana" w:cs="Arial"/>
          <w:sz w:val="18"/>
          <w:szCs w:val="18"/>
        </w:rPr>
        <w:t>XX</w:t>
      </w:r>
    </w:p>
    <w:p w:rsidR="00A471F7" w:rsidRPr="00A22E80" w:rsidRDefault="00A471F7" w:rsidP="00A22E80">
      <w:pPr>
        <w:spacing w:line="260" w:lineRule="exact"/>
        <w:rPr>
          <w:rFonts w:ascii="Verdana" w:hAnsi="Verdana"/>
          <w:sz w:val="18"/>
          <w:szCs w:val="18"/>
        </w:rPr>
      </w:pPr>
    </w:p>
    <w:p w:rsidR="00A471F7" w:rsidRPr="00A22E80" w:rsidRDefault="00A471F7" w:rsidP="00A22E80">
      <w:pPr>
        <w:spacing w:line="260" w:lineRule="exact"/>
        <w:rPr>
          <w:rFonts w:ascii="Verdana" w:hAnsi="Verdana"/>
          <w:sz w:val="18"/>
          <w:szCs w:val="18"/>
        </w:rPr>
      </w:pPr>
      <w:r w:rsidRPr="00A22E80">
        <w:rPr>
          <w:rFonts w:ascii="Verdana" w:hAnsi="Verdana"/>
          <w:sz w:val="18"/>
          <w:szCs w:val="18"/>
        </w:rPr>
        <w:t xml:space="preserve">In het </w:t>
      </w:r>
      <w:r w:rsidR="00E86A65" w:rsidRPr="00A22E80">
        <w:rPr>
          <w:rFonts w:ascii="Verdana" w:hAnsi="Verdana"/>
          <w:sz w:val="18"/>
          <w:szCs w:val="18"/>
        </w:rPr>
        <w:t xml:space="preserve">huidige </w:t>
      </w:r>
      <w:r w:rsidRPr="00A22E80">
        <w:rPr>
          <w:rFonts w:ascii="Verdana" w:hAnsi="Verdana"/>
          <w:sz w:val="18"/>
          <w:szCs w:val="18"/>
        </w:rPr>
        <w:t xml:space="preserve">artikel 3A:24, onderdeel a, </w:t>
      </w:r>
      <w:r w:rsidR="00B05692">
        <w:rPr>
          <w:rFonts w:ascii="Verdana" w:hAnsi="Verdana"/>
          <w:sz w:val="18"/>
          <w:szCs w:val="18"/>
        </w:rPr>
        <w:t xml:space="preserve">van de </w:t>
      </w:r>
      <w:proofErr w:type="spellStart"/>
      <w:r w:rsidR="00B05692">
        <w:rPr>
          <w:rFonts w:ascii="Verdana" w:hAnsi="Verdana"/>
          <w:sz w:val="18"/>
          <w:szCs w:val="18"/>
        </w:rPr>
        <w:t>Wft</w:t>
      </w:r>
      <w:proofErr w:type="spellEnd"/>
      <w:r w:rsidR="00B05692">
        <w:rPr>
          <w:rFonts w:ascii="Verdana" w:hAnsi="Verdana"/>
          <w:sz w:val="18"/>
          <w:szCs w:val="18"/>
        </w:rPr>
        <w:t xml:space="preserve"> </w:t>
      </w:r>
      <w:r w:rsidRPr="00A22E80">
        <w:rPr>
          <w:rFonts w:ascii="Verdana" w:hAnsi="Verdana"/>
          <w:sz w:val="18"/>
          <w:szCs w:val="18"/>
        </w:rPr>
        <w:t xml:space="preserve">wordt verwezen naar artikel 46, derde lid, van de richtlijn herstel en afwikkeling van banken en </w:t>
      </w:r>
      <w:r w:rsidRPr="00A22E80">
        <w:rPr>
          <w:rFonts w:ascii="Verdana" w:hAnsi="Verdana"/>
          <w:sz w:val="18"/>
          <w:szCs w:val="18"/>
        </w:rPr>
        <w:lastRenderedPageBreak/>
        <w:t xml:space="preserve">beleggingsondernemingen. In die bepaling wordt een regeling getroffen voor de situatie dat de afwikkelingsautoriteit overgaat tot afschrijving of omzetting van kapitaalinstrumenten op basis van een voorlopige waardering en uit de definitieve waardering blijkt dat met een beperktere afschrijving had kunnen worden volstaan. Een voorlopige waardering kan aan de orde zijn indien wegens het spoedeisend karakter van de ingreep geen volwaardige ex ante waardering kan worden gedaan. De BRRD schrijft dan voor dat DNB de hoofdsom van afgeschreven kapitaalinstrumenten weer moet kunnen ophogen. Dat wordt thans </w:t>
      </w:r>
      <w:r w:rsidR="00E86A65" w:rsidRPr="00A22E80">
        <w:rPr>
          <w:rFonts w:ascii="Verdana" w:hAnsi="Verdana"/>
          <w:sz w:val="18"/>
          <w:szCs w:val="18"/>
        </w:rPr>
        <w:t>uitgewerkt in het voorgestelde nieuwe artikel 3A:25a,</w:t>
      </w:r>
      <w:r w:rsidRPr="00A22E80">
        <w:rPr>
          <w:rFonts w:ascii="Verdana" w:hAnsi="Verdana"/>
          <w:sz w:val="18"/>
          <w:szCs w:val="18"/>
        </w:rPr>
        <w:t xml:space="preserve"> in plaats van door middel van </w:t>
      </w:r>
      <w:r w:rsidR="00E86A65" w:rsidRPr="00A22E80">
        <w:rPr>
          <w:rFonts w:ascii="Verdana" w:hAnsi="Verdana"/>
          <w:sz w:val="18"/>
          <w:szCs w:val="18"/>
        </w:rPr>
        <w:t xml:space="preserve">de voornoemde </w:t>
      </w:r>
      <w:r w:rsidRPr="00A22E80">
        <w:rPr>
          <w:rFonts w:ascii="Verdana" w:hAnsi="Verdana"/>
          <w:sz w:val="18"/>
          <w:szCs w:val="18"/>
        </w:rPr>
        <w:t>verwijzing.</w:t>
      </w:r>
      <w:r w:rsidR="00E86A65" w:rsidRPr="00A22E80">
        <w:rPr>
          <w:rFonts w:ascii="Verdana" w:hAnsi="Verdana"/>
          <w:sz w:val="18"/>
          <w:szCs w:val="18"/>
        </w:rPr>
        <w:t xml:space="preserve"> </w:t>
      </w:r>
      <w:r w:rsidRPr="00A22E80">
        <w:rPr>
          <w:rFonts w:ascii="Verdana" w:hAnsi="Verdana"/>
          <w:sz w:val="18"/>
          <w:szCs w:val="18"/>
        </w:rPr>
        <w:t xml:space="preserve">Daarbij wordt in het </w:t>
      </w:r>
      <w:r w:rsidR="00E86A65" w:rsidRPr="00A22E80">
        <w:rPr>
          <w:rFonts w:ascii="Verdana" w:hAnsi="Verdana"/>
          <w:sz w:val="18"/>
          <w:szCs w:val="18"/>
        </w:rPr>
        <w:t xml:space="preserve">tweede </w:t>
      </w:r>
      <w:r w:rsidRPr="00A22E80">
        <w:rPr>
          <w:rFonts w:ascii="Verdana" w:hAnsi="Verdana"/>
          <w:sz w:val="18"/>
          <w:szCs w:val="18"/>
        </w:rPr>
        <w:t xml:space="preserve">lid </w:t>
      </w:r>
      <w:r w:rsidR="004327E6" w:rsidRPr="00A22E80">
        <w:rPr>
          <w:rFonts w:ascii="Verdana" w:hAnsi="Verdana"/>
          <w:sz w:val="18"/>
          <w:szCs w:val="18"/>
        </w:rPr>
        <w:t>van het voorgestelde artikel 3A:2</w:t>
      </w:r>
      <w:r w:rsidR="00E86A65" w:rsidRPr="00A22E80">
        <w:rPr>
          <w:rFonts w:ascii="Verdana" w:hAnsi="Verdana"/>
          <w:sz w:val="18"/>
          <w:szCs w:val="18"/>
        </w:rPr>
        <w:t>5a</w:t>
      </w:r>
      <w:r w:rsidR="004327E6" w:rsidRPr="00A22E80">
        <w:rPr>
          <w:rFonts w:ascii="Verdana" w:hAnsi="Verdana"/>
          <w:sz w:val="18"/>
          <w:szCs w:val="18"/>
        </w:rPr>
        <w:t xml:space="preserve"> </w:t>
      </w:r>
      <w:proofErr w:type="spellStart"/>
      <w:r w:rsidR="004327E6" w:rsidRPr="00A22E80">
        <w:rPr>
          <w:rFonts w:ascii="Verdana" w:hAnsi="Verdana"/>
          <w:sz w:val="18"/>
          <w:szCs w:val="18"/>
        </w:rPr>
        <w:t>Wft</w:t>
      </w:r>
      <w:proofErr w:type="spellEnd"/>
      <w:r w:rsidR="004327E6" w:rsidRPr="00A22E80">
        <w:rPr>
          <w:rFonts w:ascii="Verdana" w:hAnsi="Verdana"/>
          <w:sz w:val="18"/>
          <w:szCs w:val="18"/>
        </w:rPr>
        <w:t xml:space="preserve"> </w:t>
      </w:r>
      <w:r w:rsidRPr="00A22E80">
        <w:rPr>
          <w:rFonts w:ascii="Verdana" w:hAnsi="Verdana"/>
          <w:sz w:val="18"/>
          <w:szCs w:val="18"/>
        </w:rPr>
        <w:t xml:space="preserve">geregeld wat het gevolg is van een ophoging van een kapitaalinstrument dat eerder tot nihil was afgeschreven. In die situatie herleeft de verplichting vanaf het tijdstip dat DNB tot ophoging besluit. Dit heeft geen terugwerkende kracht. Met andere woorden: er kan geen sprake zijn van niet-nakoming van verplichtingen in het tijdvak tussen het moment dat het instrument tot nihil werd afgeschreven en het moment dat het instrument herleeft. </w:t>
      </w:r>
    </w:p>
    <w:p w:rsidR="00E3126B" w:rsidRPr="00A22E80" w:rsidRDefault="00E3126B" w:rsidP="00A22E80">
      <w:pPr>
        <w:spacing w:line="260" w:lineRule="exact"/>
        <w:rPr>
          <w:rFonts w:ascii="Verdana" w:hAnsi="Verdana"/>
          <w:sz w:val="18"/>
          <w:szCs w:val="18"/>
        </w:rPr>
      </w:pPr>
    </w:p>
    <w:p w:rsidR="00E3126B" w:rsidRPr="00A22E80" w:rsidRDefault="00E3126B" w:rsidP="00A22E80">
      <w:pPr>
        <w:spacing w:line="260" w:lineRule="exact"/>
        <w:rPr>
          <w:rFonts w:ascii="Verdana" w:hAnsi="Verdana"/>
          <w:sz w:val="18"/>
          <w:szCs w:val="18"/>
        </w:rPr>
      </w:pPr>
      <w:r w:rsidRPr="00A22E80">
        <w:rPr>
          <w:rFonts w:ascii="Verdana" w:hAnsi="Verdana"/>
          <w:sz w:val="18"/>
          <w:szCs w:val="18"/>
        </w:rPr>
        <w:t xml:space="preserve">Op grond van de artikelen 3A:24 en 3A:25 </w:t>
      </w:r>
      <w:proofErr w:type="spellStart"/>
      <w:r w:rsidR="00B05692">
        <w:rPr>
          <w:rFonts w:ascii="Verdana" w:hAnsi="Verdana"/>
          <w:sz w:val="18"/>
          <w:szCs w:val="18"/>
        </w:rPr>
        <w:t>Wft</w:t>
      </w:r>
      <w:proofErr w:type="spellEnd"/>
      <w:r w:rsidR="00B05692">
        <w:rPr>
          <w:rFonts w:ascii="Verdana" w:hAnsi="Verdana"/>
          <w:sz w:val="18"/>
          <w:szCs w:val="18"/>
        </w:rPr>
        <w:t xml:space="preserve"> </w:t>
      </w:r>
      <w:r w:rsidRPr="00A22E80">
        <w:rPr>
          <w:rFonts w:ascii="Verdana" w:hAnsi="Verdana"/>
          <w:sz w:val="18"/>
          <w:szCs w:val="18"/>
        </w:rPr>
        <w:t xml:space="preserve">kon onduidelijk bestaan over de vraag of een vordering die opeisbaar was in aanmerking kwam voor </w:t>
      </w:r>
      <w:proofErr w:type="spellStart"/>
      <w:r w:rsidRPr="00A22E80">
        <w:rPr>
          <w:rFonts w:ascii="Verdana" w:hAnsi="Verdana"/>
          <w:sz w:val="18"/>
          <w:szCs w:val="18"/>
        </w:rPr>
        <w:t>bail-in</w:t>
      </w:r>
      <w:proofErr w:type="spellEnd"/>
      <w:r w:rsidRPr="00A22E80">
        <w:rPr>
          <w:rFonts w:ascii="Verdana" w:hAnsi="Verdana"/>
          <w:sz w:val="18"/>
          <w:szCs w:val="18"/>
        </w:rPr>
        <w:t xml:space="preserve">. Dit is </w:t>
      </w:r>
      <w:r w:rsidR="00E31588" w:rsidRPr="00A22E80">
        <w:rPr>
          <w:rFonts w:ascii="Verdana" w:hAnsi="Verdana"/>
          <w:sz w:val="18"/>
          <w:szCs w:val="18"/>
        </w:rPr>
        <w:t xml:space="preserve">inderdaad </w:t>
      </w:r>
      <w:r w:rsidRPr="00A22E80">
        <w:rPr>
          <w:rFonts w:ascii="Verdana" w:hAnsi="Verdana"/>
          <w:sz w:val="18"/>
          <w:szCs w:val="18"/>
        </w:rPr>
        <w:t xml:space="preserve">het geval. Enkel de verplichtingen genoemd in artikel 27, derde lid, van de </w:t>
      </w:r>
      <w:r w:rsidR="00E86A65" w:rsidRPr="00A22E80">
        <w:rPr>
          <w:rFonts w:ascii="Verdana" w:hAnsi="Verdana"/>
          <w:sz w:val="18"/>
          <w:szCs w:val="18"/>
        </w:rPr>
        <w:t>v</w:t>
      </w:r>
      <w:r w:rsidRPr="00A22E80">
        <w:rPr>
          <w:rFonts w:ascii="Verdana" w:hAnsi="Verdana"/>
          <w:sz w:val="18"/>
          <w:szCs w:val="18"/>
        </w:rPr>
        <w:t xml:space="preserve">erordening gemeenschappelijk afwikkelingsmechanisme zijn uitgezonderd van </w:t>
      </w:r>
      <w:proofErr w:type="spellStart"/>
      <w:r w:rsidRPr="00A22E80">
        <w:rPr>
          <w:rFonts w:ascii="Verdana" w:hAnsi="Verdana"/>
          <w:sz w:val="18"/>
          <w:szCs w:val="18"/>
        </w:rPr>
        <w:t>bail-in</w:t>
      </w:r>
      <w:proofErr w:type="spellEnd"/>
      <w:r w:rsidRPr="00A22E80">
        <w:rPr>
          <w:rFonts w:ascii="Verdana" w:hAnsi="Verdana"/>
          <w:sz w:val="18"/>
          <w:szCs w:val="18"/>
        </w:rPr>
        <w:t xml:space="preserve">. Wel geldt dat met de aan </w:t>
      </w:r>
      <w:proofErr w:type="spellStart"/>
      <w:r w:rsidRPr="00A22E80">
        <w:rPr>
          <w:rFonts w:ascii="Verdana" w:hAnsi="Verdana"/>
          <w:sz w:val="18"/>
          <w:szCs w:val="18"/>
        </w:rPr>
        <w:t>bail-in</w:t>
      </w:r>
      <w:proofErr w:type="spellEnd"/>
      <w:r w:rsidRPr="00A22E80">
        <w:rPr>
          <w:rFonts w:ascii="Verdana" w:hAnsi="Verdana"/>
          <w:sz w:val="18"/>
          <w:szCs w:val="18"/>
        </w:rPr>
        <w:t xml:space="preserve"> onderworpen vordering samenhangende vorderingen</w:t>
      </w:r>
      <w:r w:rsidR="00A562F0" w:rsidRPr="00A22E80">
        <w:rPr>
          <w:rFonts w:ascii="Verdana" w:hAnsi="Verdana"/>
          <w:sz w:val="18"/>
          <w:szCs w:val="18"/>
        </w:rPr>
        <w:t xml:space="preserve"> die opeisbaar zijn,</w:t>
      </w:r>
      <w:r w:rsidRPr="00A22E80">
        <w:rPr>
          <w:rFonts w:ascii="Verdana" w:hAnsi="Verdana"/>
          <w:sz w:val="18"/>
          <w:szCs w:val="18"/>
        </w:rPr>
        <w:t xml:space="preserve"> niet worden afgeschreven bij toepassing van het instrument van </w:t>
      </w:r>
      <w:proofErr w:type="spellStart"/>
      <w:r w:rsidRPr="00A22E80">
        <w:rPr>
          <w:rFonts w:ascii="Verdana" w:hAnsi="Verdana"/>
          <w:sz w:val="18"/>
          <w:szCs w:val="18"/>
        </w:rPr>
        <w:t>bail-in</w:t>
      </w:r>
      <w:proofErr w:type="spellEnd"/>
      <w:r w:rsidRPr="00A22E80">
        <w:rPr>
          <w:rFonts w:ascii="Verdana" w:hAnsi="Verdana"/>
          <w:sz w:val="18"/>
          <w:szCs w:val="18"/>
        </w:rPr>
        <w:t xml:space="preserve">. Dit wordt thans verduidelijkt. </w:t>
      </w:r>
    </w:p>
    <w:p w:rsidR="00A471F7" w:rsidRPr="00A22E80" w:rsidRDefault="00A471F7" w:rsidP="00A22E80">
      <w:pPr>
        <w:widowControl w:val="0"/>
        <w:tabs>
          <w:tab w:val="num" w:pos="720"/>
        </w:tabs>
        <w:spacing w:line="260" w:lineRule="exact"/>
        <w:rPr>
          <w:rFonts w:ascii="Verdana" w:hAnsi="Verdana" w:cs="Arial"/>
          <w:sz w:val="18"/>
          <w:szCs w:val="18"/>
        </w:rPr>
      </w:pPr>
    </w:p>
    <w:p w:rsidR="00F132FB"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TT</w:t>
      </w:r>
    </w:p>
    <w:p w:rsidR="0079749C" w:rsidRPr="00A22E80" w:rsidRDefault="0079749C" w:rsidP="00A22E80">
      <w:pPr>
        <w:widowControl w:val="0"/>
        <w:tabs>
          <w:tab w:val="num" w:pos="720"/>
        </w:tabs>
        <w:spacing w:line="260" w:lineRule="exact"/>
        <w:rPr>
          <w:rFonts w:ascii="Verdana" w:hAnsi="Verdana" w:cs="Arial"/>
          <w:sz w:val="18"/>
          <w:szCs w:val="18"/>
        </w:rPr>
      </w:pPr>
    </w:p>
    <w:p w:rsidR="00F132FB" w:rsidRPr="00A22E80" w:rsidRDefault="00F132FB"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Zie </w:t>
      </w:r>
      <w:r w:rsidR="00DD18C9" w:rsidRPr="00A22E80">
        <w:rPr>
          <w:rFonts w:ascii="Verdana" w:hAnsi="Verdana" w:cs="Arial"/>
          <w:sz w:val="18"/>
          <w:szCs w:val="18"/>
        </w:rPr>
        <w:t xml:space="preserve">de </w:t>
      </w:r>
      <w:r w:rsidRPr="00A22E80">
        <w:rPr>
          <w:rFonts w:ascii="Verdana" w:hAnsi="Verdana" w:cs="Arial"/>
          <w:sz w:val="18"/>
          <w:szCs w:val="18"/>
        </w:rPr>
        <w:t xml:space="preserve">toelichting bij </w:t>
      </w:r>
      <w:r w:rsidR="003A42F1" w:rsidRPr="00A22E80">
        <w:rPr>
          <w:rFonts w:ascii="Verdana" w:hAnsi="Verdana" w:cs="Arial"/>
          <w:sz w:val="18"/>
          <w:szCs w:val="18"/>
        </w:rPr>
        <w:t xml:space="preserve">de voorgestelde wijziging van artikel 3:95 </w:t>
      </w:r>
      <w:proofErr w:type="spellStart"/>
      <w:r w:rsidR="003A42F1" w:rsidRPr="00A22E80">
        <w:rPr>
          <w:rFonts w:ascii="Verdana" w:hAnsi="Verdana" w:cs="Arial"/>
          <w:sz w:val="18"/>
          <w:szCs w:val="18"/>
        </w:rPr>
        <w:t>Wft</w:t>
      </w:r>
      <w:proofErr w:type="spellEnd"/>
      <w:r w:rsidR="003A42F1" w:rsidRPr="00A22E80">
        <w:rPr>
          <w:rFonts w:ascii="Verdana" w:hAnsi="Verdana" w:cs="Arial"/>
          <w:sz w:val="18"/>
          <w:szCs w:val="18"/>
        </w:rPr>
        <w:t xml:space="preserve"> in </w:t>
      </w:r>
      <w:r w:rsidRPr="00A22E80">
        <w:rPr>
          <w:rFonts w:ascii="Verdana" w:hAnsi="Verdana" w:cs="Arial"/>
          <w:sz w:val="18"/>
          <w:szCs w:val="18"/>
        </w:rPr>
        <w:t>onderdeel</w:t>
      </w:r>
      <w:r w:rsidR="003953FF" w:rsidRPr="00A22E80">
        <w:rPr>
          <w:rFonts w:ascii="Verdana" w:hAnsi="Verdana" w:cs="Arial"/>
          <w:sz w:val="18"/>
          <w:szCs w:val="18"/>
        </w:rPr>
        <w:t xml:space="preserve"> </w:t>
      </w:r>
      <w:r w:rsidR="00B47C87" w:rsidRPr="00A22E80">
        <w:rPr>
          <w:rFonts w:ascii="Verdana" w:hAnsi="Verdana" w:cs="Arial"/>
          <w:sz w:val="18"/>
          <w:szCs w:val="18"/>
        </w:rPr>
        <w:t>R</w:t>
      </w:r>
      <w:r w:rsidRPr="00A22E80">
        <w:rPr>
          <w:rFonts w:ascii="Verdana" w:hAnsi="Verdana" w:cs="Arial"/>
          <w:sz w:val="18"/>
          <w:szCs w:val="18"/>
        </w:rPr>
        <w:t>.</w:t>
      </w:r>
    </w:p>
    <w:p w:rsidR="007A1D23" w:rsidRPr="00A22E80" w:rsidRDefault="007A1D23" w:rsidP="00A22E80">
      <w:pPr>
        <w:widowControl w:val="0"/>
        <w:tabs>
          <w:tab w:val="num" w:pos="720"/>
        </w:tabs>
        <w:spacing w:line="260" w:lineRule="exact"/>
        <w:rPr>
          <w:rFonts w:ascii="Verdana" w:hAnsi="Verdana" w:cs="Arial"/>
          <w:sz w:val="18"/>
          <w:szCs w:val="18"/>
        </w:rPr>
      </w:pPr>
    </w:p>
    <w:p w:rsidR="007A51F2" w:rsidRPr="00A22E80" w:rsidRDefault="007130CE"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VV</w:t>
      </w:r>
    </w:p>
    <w:p w:rsidR="007A51F2" w:rsidRPr="00A22E80" w:rsidRDefault="007A51F2" w:rsidP="00A22E80">
      <w:pPr>
        <w:widowControl w:val="0"/>
        <w:tabs>
          <w:tab w:val="num" w:pos="720"/>
        </w:tabs>
        <w:spacing w:line="260" w:lineRule="exact"/>
        <w:rPr>
          <w:rFonts w:ascii="Verdana" w:hAnsi="Verdana" w:cs="Arial"/>
          <w:sz w:val="18"/>
          <w:szCs w:val="18"/>
        </w:rPr>
      </w:pPr>
    </w:p>
    <w:p w:rsidR="006754BF" w:rsidRPr="00A22E80" w:rsidRDefault="00AE3252"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In het eerste lid van de</w:t>
      </w:r>
      <w:r w:rsidR="006754BF" w:rsidRPr="00A22E80">
        <w:rPr>
          <w:rFonts w:ascii="Verdana" w:hAnsi="Verdana" w:cs="Arial"/>
          <w:sz w:val="18"/>
          <w:szCs w:val="18"/>
        </w:rPr>
        <w:t xml:space="preserve"> artikelen </w:t>
      </w:r>
      <w:r w:rsidRPr="00A22E80">
        <w:rPr>
          <w:rFonts w:ascii="Verdana" w:hAnsi="Verdana" w:cs="Arial"/>
          <w:sz w:val="18"/>
          <w:szCs w:val="18"/>
        </w:rPr>
        <w:t xml:space="preserve">3A:38 en 3A:42 </w:t>
      </w:r>
      <w:proofErr w:type="spellStart"/>
      <w:r w:rsidR="005D68D6" w:rsidRPr="00A22E80">
        <w:rPr>
          <w:rFonts w:ascii="Verdana" w:hAnsi="Verdana" w:cs="Arial"/>
          <w:sz w:val="18"/>
          <w:szCs w:val="18"/>
        </w:rPr>
        <w:t>Wft</w:t>
      </w:r>
      <w:proofErr w:type="spellEnd"/>
      <w:r w:rsidR="00D37A76" w:rsidRPr="00A22E80">
        <w:rPr>
          <w:rFonts w:ascii="Verdana" w:hAnsi="Verdana" w:cs="Arial"/>
          <w:sz w:val="18"/>
          <w:szCs w:val="18"/>
        </w:rPr>
        <w:t>, die dienen ter implementatie van de richtlijn herstel en afwikkeling van banken en beleggingsondernemingen,</w:t>
      </w:r>
      <w:r w:rsidR="005D68D6" w:rsidRPr="00A22E80">
        <w:rPr>
          <w:rFonts w:ascii="Verdana" w:hAnsi="Verdana" w:cs="Arial"/>
          <w:sz w:val="18"/>
          <w:szCs w:val="18"/>
        </w:rPr>
        <w:t xml:space="preserve"> </w:t>
      </w:r>
      <w:r w:rsidR="006754BF" w:rsidRPr="00A22E80">
        <w:rPr>
          <w:rFonts w:ascii="Verdana" w:hAnsi="Verdana" w:cs="Arial"/>
          <w:sz w:val="18"/>
          <w:szCs w:val="18"/>
        </w:rPr>
        <w:t>wordt gesproken van “het eigendom” waar bedoeld wordt: de eigendom</w:t>
      </w:r>
      <w:r w:rsidR="00DD18C9" w:rsidRPr="00A22E80">
        <w:rPr>
          <w:rFonts w:ascii="Verdana" w:hAnsi="Verdana" w:cs="Arial"/>
          <w:sz w:val="18"/>
          <w:szCs w:val="18"/>
        </w:rPr>
        <w:t xml:space="preserve"> (</w:t>
      </w:r>
      <w:r w:rsidR="00D37A76" w:rsidRPr="00A22E80">
        <w:rPr>
          <w:rFonts w:ascii="Verdana" w:hAnsi="Verdana" w:cs="Arial"/>
          <w:sz w:val="18"/>
          <w:szCs w:val="18"/>
        </w:rPr>
        <w:t xml:space="preserve">niet het voorwerp van bezit, maar </w:t>
      </w:r>
      <w:r w:rsidR="00DD18C9" w:rsidRPr="00A22E80">
        <w:rPr>
          <w:rFonts w:ascii="Verdana" w:hAnsi="Verdana" w:cs="Arial"/>
          <w:sz w:val="18"/>
          <w:szCs w:val="18"/>
        </w:rPr>
        <w:t xml:space="preserve">het </w:t>
      </w:r>
      <w:r w:rsidRPr="00A22E80">
        <w:rPr>
          <w:rFonts w:ascii="Verdana" w:hAnsi="Verdana" w:cs="Arial"/>
          <w:sz w:val="18"/>
          <w:szCs w:val="18"/>
        </w:rPr>
        <w:t>eigendoms</w:t>
      </w:r>
      <w:r w:rsidR="00DD18C9" w:rsidRPr="00A22E80">
        <w:rPr>
          <w:rFonts w:ascii="Verdana" w:hAnsi="Verdana" w:cs="Arial"/>
          <w:sz w:val="18"/>
          <w:szCs w:val="18"/>
        </w:rPr>
        <w:t>recht als zodanig)</w:t>
      </w:r>
      <w:r w:rsidR="006754BF" w:rsidRPr="00A22E80">
        <w:rPr>
          <w:rFonts w:ascii="Verdana" w:hAnsi="Verdana" w:cs="Arial"/>
          <w:sz w:val="18"/>
          <w:szCs w:val="18"/>
        </w:rPr>
        <w:t xml:space="preserve">. </w:t>
      </w:r>
      <w:r w:rsidR="006754BF" w:rsidRPr="00A22E80">
        <w:rPr>
          <w:rFonts w:ascii="Verdana" w:hAnsi="Verdana" w:cs="BOCNH E+ Univers"/>
          <w:sz w:val="18"/>
          <w:szCs w:val="18"/>
        </w:rPr>
        <w:t>D</w:t>
      </w:r>
      <w:r w:rsidRPr="00A22E80">
        <w:rPr>
          <w:rFonts w:ascii="Verdana" w:hAnsi="Verdana" w:cs="BOCNH E+ Univers"/>
          <w:sz w:val="18"/>
          <w:szCs w:val="18"/>
        </w:rPr>
        <w:t>it</w:t>
      </w:r>
      <w:r w:rsidR="006754BF" w:rsidRPr="00A22E80">
        <w:rPr>
          <w:rFonts w:ascii="Verdana" w:hAnsi="Verdana" w:cs="BOCNH E+ Univers"/>
          <w:sz w:val="18"/>
          <w:szCs w:val="18"/>
        </w:rPr>
        <w:t xml:space="preserve"> wordt hierbij</w:t>
      </w:r>
      <w:r w:rsidRPr="00A22E80">
        <w:rPr>
          <w:rFonts w:ascii="Verdana" w:hAnsi="Verdana" w:cs="BOCNH E+ Univers"/>
          <w:sz w:val="18"/>
          <w:szCs w:val="18"/>
        </w:rPr>
        <w:t xml:space="preserve"> hersteld</w:t>
      </w:r>
      <w:r w:rsidR="006754BF" w:rsidRPr="00A22E80">
        <w:rPr>
          <w:rFonts w:ascii="Verdana" w:hAnsi="Verdana" w:cs="BOCNH E+ Univers"/>
          <w:sz w:val="18"/>
          <w:szCs w:val="18"/>
        </w:rPr>
        <w:t>.</w:t>
      </w:r>
    </w:p>
    <w:p w:rsidR="007A51F2" w:rsidRPr="00A22E80" w:rsidRDefault="007A51F2" w:rsidP="00A22E80">
      <w:pPr>
        <w:widowControl w:val="0"/>
        <w:tabs>
          <w:tab w:val="num" w:pos="720"/>
        </w:tabs>
        <w:spacing w:line="260" w:lineRule="exact"/>
        <w:rPr>
          <w:rFonts w:ascii="Verdana" w:hAnsi="Verdana" w:cs="Arial"/>
          <w:sz w:val="18"/>
          <w:szCs w:val="18"/>
        </w:rPr>
      </w:pPr>
    </w:p>
    <w:p w:rsidR="007E46B1" w:rsidRPr="00A22E80" w:rsidRDefault="007130CE" w:rsidP="00A22E80">
      <w:pPr>
        <w:widowControl w:val="0"/>
        <w:spacing w:line="260" w:lineRule="exact"/>
        <w:rPr>
          <w:rFonts w:ascii="Verdana" w:hAnsi="Verdana" w:cs="Arial"/>
          <w:sz w:val="18"/>
          <w:szCs w:val="18"/>
        </w:rPr>
      </w:pPr>
      <w:r w:rsidRPr="00A22E80">
        <w:rPr>
          <w:rFonts w:ascii="Verdana" w:hAnsi="Verdana" w:cs="Arial"/>
          <w:sz w:val="18"/>
          <w:szCs w:val="18"/>
        </w:rPr>
        <w:t>WW</w:t>
      </w:r>
    </w:p>
    <w:p w:rsidR="007E46B1" w:rsidRPr="00A22E80" w:rsidRDefault="007E46B1" w:rsidP="00A22E80">
      <w:pPr>
        <w:widowControl w:val="0"/>
        <w:spacing w:line="260" w:lineRule="exact"/>
        <w:rPr>
          <w:rFonts w:ascii="Verdana" w:hAnsi="Verdana" w:cs="Arial"/>
          <w:sz w:val="18"/>
          <w:szCs w:val="18"/>
        </w:rPr>
      </w:pPr>
    </w:p>
    <w:p w:rsidR="007E46B1" w:rsidRPr="00A22E80" w:rsidRDefault="007E46B1" w:rsidP="00A22E80">
      <w:pPr>
        <w:widowControl w:val="0"/>
        <w:spacing w:line="260" w:lineRule="exact"/>
        <w:rPr>
          <w:rFonts w:ascii="Verdana" w:hAnsi="Verdana" w:cs="Arial"/>
          <w:sz w:val="18"/>
          <w:szCs w:val="18"/>
        </w:rPr>
      </w:pPr>
      <w:r w:rsidRPr="00A22E80">
        <w:rPr>
          <w:rFonts w:ascii="Verdana" w:hAnsi="Verdana" w:cs="Arial"/>
          <w:sz w:val="18"/>
          <w:szCs w:val="18"/>
        </w:rPr>
        <w:t>Zie</w:t>
      </w:r>
      <w:r w:rsidR="00DD18C9" w:rsidRPr="00A22E80">
        <w:rPr>
          <w:rFonts w:ascii="Verdana" w:hAnsi="Verdana" w:cs="Arial"/>
          <w:sz w:val="18"/>
          <w:szCs w:val="18"/>
        </w:rPr>
        <w:t xml:space="preserve"> de</w:t>
      </w:r>
      <w:r w:rsidRPr="00A22E80">
        <w:rPr>
          <w:rFonts w:ascii="Verdana" w:hAnsi="Verdana" w:cs="Arial"/>
          <w:sz w:val="18"/>
          <w:szCs w:val="18"/>
        </w:rPr>
        <w:t xml:space="preserve"> toelichting bij </w:t>
      </w:r>
      <w:r w:rsidR="00B859F0" w:rsidRPr="00A22E80">
        <w:rPr>
          <w:rFonts w:ascii="Verdana" w:hAnsi="Verdana" w:cs="Arial"/>
          <w:sz w:val="18"/>
          <w:szCs w:val="18"/>
        </w:rPr>
        <w:t>de voorgestelde wijziging van artikel 3A:21</w:t>
      </w:r>
      <w:r w:rsidR="005D68D6" w:rsidRPr="00A22E80">
        <w:rPr>
          <w:rFonts w:ascii="Verdana" w:hAnsi="Verdana" w:cs="Arial"/>
          <w:sz w:val="18"/>
          <w:szCs w:val="18"/>
        </w:rPr>
        <w:t xml:space="preserve"> </w:t>
      </w:r>
      <w:proofErr w:type="spellStart"/>
      <w:r w:rsidR="005D68D6" w:rsidRPr="00A22E80">
        <w:rPr>
          <w:rFonts w:ascii="Verdana" w:hAnsi="Verdana" w:cs="Arial"/>
          <w:sz w:val="18"/>
          <w:szCs w:val="18"/>
        </w:rPr>
        <w:t>Wft</w:t>
      </w:r>
      <w:proofErr w:type="spellEnd"/>
      <w:r w:rsidR="00B859F0" w:rsidRPr="00A22E80">
        <w:rPr>
          <w:rFonts w:ascii="Verdana" w:hAnsi="Verdana" w:cs="Arial"/>
          <w:sz w:val="18"/>
          <w:szCs w:val="18"/>
        </w:rPr>
        <w:t xml:space="preserve"> in </w:t>
      </w:r>
      <w:r w:rsidRPr="00A22E80">
        <w:rPr>
          <w:rFonts w:ascii="Verdana" w:hAnsi="Verdana" w:cs="Arial"/>
          <w:sz w:val="18"/>
          <w:szCs w:val="18"/>
        </w:rPr>
        <w:t>onderdeel</w:t>
      </w:r>
      <w:r w:rsidR="005A3A2E" w:rsidRPr="00A22E80">
        <w:rPr>
          <w:rFonts w:ascii="Verdana" w:hAnsi="Verdana" w:cs="Arial"/>
          <w:sz w:val="18"/>
          <w:szCs w:val="18"/>
        </w:rPr>
        <w:t xml:space="preserve"> </w:t>
      </w:r>
      <w:r w:rsidR="00E9598F" w:rsidRPr="00A22E80">
        <w:rPr>
          <w:rFonts w:ascii="Verdana" w:hAnsi="Verdana" w:cs="Arial"/>
          <w:sz w:val="18"/>
          <w:szCs w:val="18"/>
        </w:rPr>
        <w:t>PP</w:t>
      </w:r>
      <w:r w:rsidRPr="00A22E80">
        <w:rPr>
          <w:rFonts w:ascii="Verdana" w:hAnsi="Verdana" w:cs="Arial"/>
          <w:sz w:val="18"/>
          <w:szCs w:val="18"/>
        </w:rPr>
        <w:t>.</w:t>
      </w:r>
    </w:p>
    <w:p w:rsidR="006E226E" w:rsidRPr="00A22E80" w:rsidRDefault="006E226E" w:rsidP="00A22E80">
      <w:pPr>
        <w:widowControl w:val="0"/>
        <w:spacing w:line="260" w:lineRule="exact"/>
        <w:rPr>
          <w:rFonts w:ascii="Verdana" w:hAnsi="Verdana" w:cs="Arial"/>
          <w:sz w:val="18"/>
          <w:szCs w:val="18"/>
        </w:rPr>
      </w:pPr>
    </w:p>
    <w:p w:rsidR="00336F0A" w:rsidRPr="00A22E80" w:rsidRDefault="007130CE" w:rsidP="00A22E80">
      <w:pPr>
        <w:widowControl w:val="0"/>
        <w:spacing w:line="260" w:lineRule="exact"/>
        <w:rPr>
          <w:rFonts w:ascii="Verdana" w:hAnsi="Verdana" w:cs="Arial"/>
          <w:sz w:val="18"/>
          <w:szCs w:val="18"/>
        </w:rPr>
      </w:pPr>
      <w:r w:rsidRPr="00A22E80">
        <w:rPr>
          <w:rFonts w:ascii="Verdana" w:hAnsi="Verdana" w:cs="Arial"/>
          <w:sz w:val="18"/>
          <w:szCs w:val="18"/>
        </w:rPr>
        <w:t>ZZ</w:t>
      </w:r>
    </w:p>
    <w:p w:rsidR="00336F0A" w:rsidRPr="00A22E80" w:rsidRDefault="00336F0A" w:rsidP="00A22E80">
      <w:pPr>
        <w:widowControl w:val="0"/>
        <w:spacing w:line="260" w:lineRule="exact"/>
        <w:rPr>
          <w:rFonts w:ascii="Verdana" w:hAnsi="Verdana" w:cs="Arial"/>
          <w:sz w:val="18"/>
          <w:szCs w:val="18"/>
        </w:rPr>
      </w:pPr>
    </w:p>
    <w:p w:rsidR="00336F0A" w:rsidRPr="00A22E80" w:rsidRDefault="00336F0A" w:rsidP="00A22E80">
      <w:pPr>
        <w:spacing w:line="260" w:lineRule="exact"/>
        <w:rPr>
          <w:rFonts w:ascii="Verdana" w:hAnsi="Verdana"/>
          <w:sz w:val="18"/>
          <w:szCs w:val="18"/>
        </w:rPr>
      </w:pPr>
      <w:r w:rsidRPr="00A22E80">
        <w:rPr>
          <w:rFonts w:ascii="Verdana" w:hAnsi="Verdana"/>
          <w:sz w:val="18"/>
          <w:szCs w:val="18"/>
        </w:rPr>
        <w:t>Zie</w:t>
      </w:r>
      <w:r w:rsidR="00DD18C9" w:rsidRPr="00A22E80">
        <w:rPr>
          <w:rFonts w:ascii="Verdana" w:hAnsi="Verdana"/>
          <w:sz w:val="18"/>
          <w:szCs w:val="18"/>
        </w:rPr>
        <w:t xml:space="preserve"> de</w:t>
      </w:r>
      <w:r w:rsidRPr="00A22E80">
        <w:rPr>
          <w:rFonts w:ascii="Verdana" w:hAnsi="Verdana"/>
          <w:sz w:val="18"/>
          <w:szCs w:val="18"/>
        </w:rPr>
        <w:t xml:space="preserve"> </w:t>
      </w:r>
      <w:proofErr w:type="spellStart"/>
      <w:r w:rsidR="00711920" w:rsidRPr="00A22E80">
        <w:rPr>
          <w:rFonts w:ascii="Verdana" w:hAnsi="Verdana"/>
          <w:sz w:val="18"/>
          <w:szCs w:val="18"/>
        </w:rPr>
        <w:t>artikelsgewijze</w:t>
      </w:r>
      <w:proofErr w:type="spellEnd"/>
      <w:r w:rsidR="00711920" w:rsidRPr="00A22E80">
        <w:rPr>
          <w:rFonts w:ascii="Verdana" w:hAnsi="Verdana"/>
          <w:sz w:val="18"/>
          <w:szCs w:val="18"/>
        </w:rPr>
        <w:t xml:space="preserve"> </w:t>
      </w:r>
      <w:r w:rsidRPr="00A22E80">
        <w:rPr>
          <w:rFonts w:ascii="Verdana" w:hAnsi="Verdana"/>
          <w:sz w:val="18"/>
          <w:szCs w:val="18"/>
        </w:rPr>
        <w:t xml:space="preserve">toelichting bij de voorgestelde invoeging in artikel 1:1 </w:t>
      </w:r>
      <w:proofErr w:type="spellStart"/>
      <w:r w:rsidR="005D68D6" w:rsidRPr="00A22E80">
        <w:rPr>
          <w:rFonts w:ascii="Verdana" w:hAnsi="Verdana"/>
          <w:sz w:val="18"/>
          <w:szCs w:val="18"/>
        </w:rPr>
        <w:t>Wft</w:t>
      </w:r>
      <w:proofErr w:type="spellEnd"/>
      <w:r w:rsidR="005D68D6" w:rsidRPr="00A22E80">
        <w:rPr>
          <w:rFonts w:ascii="Verdana" w:hAnsi="Verdana"/>
          <w:sz w:val="18"/>
          <w:szCs w:val="18"/>
        </w:rPr>
        <w:t xml:space="preserve"> </w:t>
      </w:r>
      <w:r w:rsidRPr="00A22E80">
        <w:rPr>
          <w:rFonts w:ascii="Verdana" w:hAnsi="Verdana"/>
          <w:sz w:val="18"/>
          <w:szCs w:val="18"/>
        </w:rPr>
        <w:t>van de de</w:t>
      </w:r>
      <w:r w:rsidR="00B859F0" w:rsidRPr="00A22E80">
        <w:rPr>
          <w:rFonts w:ascii="Verdana" w:hAnsi="Verdana"/>
          <w:sz w:val="18"/>
          <w:szCs w:val="18"/>
        </w:rPr>
        <w:t>finitie van “</w:t>
      </w:r>
      <w:proofErr w:type="spellStart"/>
      <w:r w:rsidR="00B859F0" w:rsidRPr="00A22E80">
        <w:rPr>
          <w:rFonts w:ascii="Verdana" w:hAnsi="Verdana"/>
          <w:sz w:val="18"/>
          <w:szCs w:val="18"/>
        </w:rPr>
        <w:t>beëindigingsrecht</w:t>
      </w:r>
      <w:proofErr w:type="spellEnd"/>
      <w:r w:rsidR="00B859F0" w:rsidRPr="00A22E80">
        <w:rPr>
          <w:rFonts w:ascii="Verdana" w:hAnsi="Verdana"/>
          <w:sz w:val="18"/>
          <w:szCs w:val="18"/>
        </w:rPr>
        <w:t xml:space="preserve">” in </w:t>
      </w:r>
      <w:r w:rsidR="00711920" w:rsidRPr="00A22E80">
        <w:rPr>
          <w:rFonts w:ascii="Verdana" w:hAnsi="Verdana"/>
          <w:sz w:val="18"/>
          <w:szCs w:val="18"/>
        </w:rPr>
        <w:t xml:space="preserve">subonderdelen 2, 4 en 6 van </w:t>
      </w:r>
      <w:r w:rsidR="00B859F0" w:rsidRPr="00A22E80">
        <w:rPr>
          <w:rFonts w:ascii="Verdana" w:hAnsi="Verdana"/>
          <w:sz w:val="18"/>
          <w:szCs w:val="18"/>
        </w:rPr>
        <w:t>onderdeel A.</w:t>
      </w:r>
    </w:p>
    <w:p w:rsidR="00336F0A" w:rsidRPr="00A22E80" w:rsidRDefault="00336F0A" w:rsidP="00A22E80">
      <w:pPr>
        <w:widowControl w:val="0"/>
        <w:spacing w:line="260" w:lineRule="exact"/>
        <w:rPr>
          <w:rFonts w:ascii="Verdana" w:hAnsi="Verdana" w:cs="Arial"/>
          <w:sz w:val="18"/>
          <w:szCs w:val="18"/>
        </w:rPr>
      </w:pPr>
    </w:p>
    <w:p w:rsidR="003E6E1B" w:rsidRPr="00A22E80" w:rsidRDefault="007130CE" w:rsidP="00A22E80">
      <w:pPr>
        <w:widowControl w:val="0"/>
        <w:spacing w:line="260" w:lineRule="exact"/>
        <w:rPr>
          <w:rFonts w:ascii="Verdana" w:hAnsi="Verdana" w:cs="Arial"/>
          <w:sz w:val="18"/>
          <w:szCs w:val="18"/>
        </w:rPr>
      </w:pPr>
      <w:r w:rsidRPr="00A22E80">
        <w:rPr>
          <w:rFonts w:ascii="Verdana" w:hAnsi="Verdana" w:cs="Arial"/>
          <w:sz w:val="18"/>
          <w:szCs w:val="18"/>
        </w:rPr>
        <w:t>AAA</w:t>
      </w:r>
    </w:p>
    <w:p w:rsidR="003E6E1B" w:rsidRPr="00A22E80" w:rsidRDefault="003E6E1B" w:rsidP="00A22E80">
      <w:pPr>
        <w:widowControl w:val="0"/>
        <w:spacing w:line="260" w:lineRule="exact"/>
        <w:rPr>
          <w:rFonts w:ascii="Verdana" w:hAnsi="Verdana" w:cs="Arial"/>
          <w:sz w:val="18"/>
          <w:szCs w:val="18"/>
        </w:rPr>
      </w:pPr>
    </w:p>
    <w:p w:rsidR="003E6E1B" w:rsidRPr="00A22E80" w:rsidRDefault="003E6E1B" w:rsidP="00A22E80">
      <w:pPr>
        <w:widowControl w:val="0"/>
        <w:spacing w:line="260" w:lineRule="exact"/>
        <w:rPr>
          <w:rFonts w:ascii="Verdana" w:hAnsi="Verdana" w:cs="Arial"/>
          <w:sz w:val="18"/>
          <w:szCs w:val="18"/>
        </w:rPr>
      </w:pPr>
      <w:r w:rsidRPr="00A22E80">
        <w:rPr>
          <w:rFonts w:ascii="Verdana" w:hAnsi="Verdana" w:cs="Arial"/>
          <w:sz w:val="18"/>
          <w:szCs w:val="18"/>
        </w:rPr>
        <w:lastRenderedPageBreak/>
        <w:t xml:space="preserve">Zie de </w:t>
      </w:r>
      <w:proofErr w:type="spellStart"/>
      <w:r w:rsidR="00BE638E" w:rsidRPr="00A22E80">
        <w:rPr>
          <w:rFonts w:ascii="Verdana" w:hAnsi="Verdana" w:cs="Arial"/>
          <w:sz w:val="18"/>
          <w:szCs w:val="18"/>
        </w:rPr>
        <w:t>artikelsgewijze</w:t>
      </w:r>
      <w:proofErr w:type="spellEnd"/>
      <w:r w:rsidR="00BE638E" w:rsidRPr="00A22E80">
        <w:rPr>
          <w:rFonts w:ascii="Verdana" w:hAnsi="Verdana" w:cs="Arial"/>
          <w:sz w:val="18"/>
          <w:szCs w:val="18"/>
        </w:rPr>
        <w:t xml:space="preserve"> </w:t>
      </w:r>
      <w:r w:rsidRPr="00A22E80">
        <w:rPr>
          <w:rFonts w:ascii="Verdana" w:hAnsi="Verdana" w:cs="Arial"/>
          <w:sz w:val="18"/>
          <w:szCs w:val="18"/>
        </w:rPr>
        <w:t xml:space="preserve">toelichting bij de voorgestelde wijziging van artikel 3A:1 </w:t>
      </w:r>
      <w:proofErr w:type="spellStart"/>
      <w:r w:rsidR="005D68D6" w:rsidRPr="00A22E80">
        <w:rPr>
          <w:rFonts w:ascii="Verdana" w:hAnsi="Verdana" w:cs="Arial"/>
          <w:sz w:val="18"/>
          <w:szCs w:val="18"/>
        </w:rPr>
        <w:t>Wft</w:t>
      </w:r>
      <w:proofErr w:type="spellEnd"/>
      <w:r w:rsidR="005D68D6" w:rsidRPr="00A22E80">
        <w:rPr>
          <w:rFonts w:ascii="Verdana" w:hAnsi="Verdana" w:cs="Arial"/>
          <w:sz w:val="18"/>
          <w:szCs w:val="18"/>
        </w:rPr>
        <w:t xml:space="preserve"> </w:t>
      </w:r>
      <w:r w:rsidRPr="00A22E80">
        <w:rPr>
          <w:rFonts w:ascii="Verdana" w:hAnsi="Verdana" w:cs="Arial"/>
          <w:sz w:val="18"/>
          <w:szCs w:val="18"/>
        </w:rPr>
        <w:t xml:space="preserve">in onderdeel </w:t>
      </w:r>
      <w:r w:rsidR="007A0609" w:rsidRPr="00A22E80">
        <w:rPr>
          <w:rFonts w:ascii="Verdana" w:hAnsi="Verdana" w:cs="Arial"/>
          <w:sz w:val="18"/>
          <w:szCs w:val="18"/>
        </w:rPr>
        <w:t>JJ</w:t>
      </w:r>
      <w:r w:rsidRPr="00A22E80">
        <w:rPr>
          <w:rFonts w:ascii="Verdana" w:hAnsi="Verdana" w:cs="Arial"/>
          <w:sz w:val="18"/>
          <w:szCs w:val="18"/>
        </w:rPr>
        <w:t>.</w:t>
      </w:r>
    </w:p>
    <w:p w:rsidR="00833CC2" w:rsidRPr="00A22E80" w:rsidRDefault="00833CC2" w:rsidP="00A22E80">
      <w:pPr>
        <w:widowControl w:val="0"/>
        <w:spacing w:line="260" w:lineRule="exact"/>
        <w:rPr>
          <w:rFonts w:ascii="Verdana" w:hAnsi="Verdana"/>
          <w:sz w:val="18"/>
          <w:szCs w:val="18"/>
        </w:rPr>
      </w:pPr>
    </w:p>
    <w:p w:rsidR="00294FC9" w:rsidRPr="00A22E80" w:rsidRDefault="007130CE" w:rsidP="00A22E80">
      <w:pPr>
        <w:widowControl w:val="0"/>
        <w:spacing w:line="260" w:lineRule="exact"/>
        <w:rPr>
          <w:rFonts w:ascii="Verdana" w:hAnsi="Verdana"/>
          <w:sz w:val="18"/>
          <w:szCs w:val="18"/>
        </w:rPr>
      </w:pPr>
      <w:r w:rsidRPr="00A22E80">
        <w:rPr>
          <w:rFonts w:ascii="Verdana" w:hAnsi="Verdana"/>
          <w:sz w:val="18"/>
          <w:szCs w:val="18"/>
        </w:rPr>
        <w:t>BBB</w:t>
      </w:r>
    </w:p>
    <w:p w:rsidR="00294FC9" w:rsidRPr="00A22E80" w:rsidRDefault="00294FC9" w:rsidP="00A22E80">
      <w:pPr>
        <w:widowControl w:val="0"/>
        <w:spacing w:line="260" w:lineRule="exact"/>
        <w:rPr>
          <w:rFonts w:ascii="Verdana" w:hAnsi="Verdana"/>
          <w:sz w:val="18"/>
          <w:szCs w:val="18"/>
        </w:rPr>
      </w:pPr>
    </w:p>
    <w:p w:rsidR="00294FC9" w:rsidRPr="00A22E80" w:rsidRDefault="00294FC9" w:rsidP="00A22E80">
      <w:pPr>
        <w:widowControl w:val="0"/>
        <w:spacing w:line="260" w:lineRule="exact"/>
        <w:rPr>
          <w:rFonts w:ascii="Verdana" w:hAnsi="Verdana"/>
          <w:sz w:val="18"/>
          <w:szCs w:val="18"/>
        </w:rPr>
      </w:pPr>
      <w:r w:rsidRPr="00A22E80">
        <w:rPr>
          <w:rFonts w:ascii="Verdana" w:hAnsi="Verdana"/>
          <w:sz w:val="18"/>
          <w:szCs w:val="18"/>
        </w:rPr>
        <w:t>Het betreft hier een redactionele verbetering.</w:t>
      </w:r>
    </w:p>
    <w:p w:rsidR="00294FC9" w:rsidRPr="00A22E80" w:rsidRDefault="00294FC9" w:rsidP="00A22E80">
      <w:pPr>
        <w:widowControl w:val="0"/>
        <w:spacing w:line="260" w:lineRule="exact"/>
        <w:rPr>
          <w:rFonts w:ascii="Verdana" w:hAnsi="Verdana"/>
          <w:sz w:val="18"/>
          <w:szCs w:val="18"/>
        </w:rPr>
      </w:pPr>
    </w:p>
    <w:p w:rsidR="000B7B50" w:rsidRPr="00A22E80" w:rsidRDefault="007130CE" w:rsidP="00A22E80">
      <w:pPr>
        <w:widowControl w:val="0"/>
        <w:spacing w:line="260" w:lineRule="exact"/>
        <w:rPr>
          <w:rFonts w:ascii="Verdana" w:hAnsi="Verdana"/>
          <w:sz w:val="18"/>
          <w:szCs w:val="18"/>
        </w:rPr>
      </w:pPr>
      <w:r w:rsidRPr="00A22E80">
        <w:rPr>
          <w:rFonts w:ascii="Verdana" w:hAnsi="Verdana"/>
          <w:sz w:val="18"/>
          <w:szCs w:val="18"/>
        </w:rPr>
        <w:t>CCC</w:t>
      </w:r>
    </w:p>
    <w:p w:rsidR="000B7B50" w:rsidRPr="00A22E80" w:rsidRDefault="000B7B50" w:rsidP="00A22E80">
      <w:pPr>
        <w:widowControl w:val="0"/>
        <w:spacing w:line="260" w:lineRule="exact"/>
        <w:rPr>
          <w:rFonts w:ascii="Verdana" w:hAnsi="Verdana"/>
          <w:sz w:val="18"/>
          <w:szCs w:val="18"/>
        </w:rPr>
      </w:pPr>
    </w:p>
    <w:p w:rsidR="000B7B50" w:rsidRPr="00A22E80" w:rsidRDefault="00294FC9" w:rsidP="00A22E80">
      <w:pPr>
        <w:widowControl w:val="0"/>
        <w:spacing w:line="260" w:lineRule="exact"/>
        <w:rPr>
          <w:rFonts w:ascii="Verdana" w:hAnsi="Verdana"/>
          <w:sz w:val="18"/>
          <w:szCs w:val="18"/>
        </w:rPr>
      </w:pPr>
      <w:r w:rsidRPr="00A22E80">
        <w:rPr>
          <w:rFonts w:ascii="Verdana" w:hAnsi="Verdana"/>
          <w:sz w:val="18"/>
          <w:szCs w:val="18"/>
        </w:rPr>
        <w:t>Dit onderdeel voorziet in de correctie van de (eigen)naam van het Afwikkelingsfonds, een publiekrechtelijke rechtspersoon met een wettelijke taak, die met een hoofdletter behoort te worden geschreven.</w:t>
      </w:r>
      <w:r w:rsidRPr="00A22E80" w:rsidDel="00294FC9">
        <w:rPr>
          <w:rFonts w:ascii="Verdana" w:hAnsi="Verdana"/>
          <w:sz w:val="18"/>
          <w:szCs w:val="18"/>
          <w:highlight w:val="yellow"/>
        </w:rPr>
        <w:t xml:space="preserve"> </w:t>
      </w:r>
    </w:p>
    <w:p w:rsidR="00A11CCE" w:rsidRPr="00A22E80" w:rsidRDefault="00A11CCE" w:rsidP="00A22E80">
      <w:pPr>
        <w:widowControl w:val="0"/>
        <w:spacing w:line="260" w:lineRule="exact"/>
        <w:rPr>
          <w:rFonts w:ascii="Verdana" w:hAnsi="Verdana"/>
          <w:sz w:val="18"/>
          <w:szCs w:val="18"/>
        </w:rPr>
      </w:pPr>
    </w:p>
    <w:p w:rsidR="00EF29D9" w:rsidRPr="00A22E80" w:rsidRDefault="00460EC9" w:rsidP="00A22E80">
      <w:pPr>
        <w:widowControl w:val="0"/>
        <w:spacing w:line="260" w:lineRule="exact"/>
        <w:rPr>
          <w:rFonts w:ascii="Verdana" w:hAnsi="Verdana"/>
          <w:sz w:val="18"/>
          <w:szCs w:val="18"/>
        </w:rPr>
      </w:pPr>
      <w:r w:rsidRPr="00A22E80">
        <w:rPr>
          <w:rFonts w:ascii="Verdana" w:hAnsi="Verdana"/>
          <w:sz w:val="18"/>
          <w:szCs w:val="18"/>
        </w:rPr>
        <w:t>DDD</w:t>
      </w:r>
    </w:p>
    <w:p w:rsidR="00EF29D9" w:rsidRPr="00A22E80" w:rsidRDefault="00EF29D9" w:rsidP="00A22E80">
      <w:pPr>
        <w:widowControl w:val="0"/>
        <w:spacing w:line="260" w:lineRule="exact"/>
        <w:rPr>
          <w:rFonts w:ascii="Verdana" w:hAnsi="Verdana"/>
          <w:sz w:val="18"/>
          <w:szCs w:val="18"/>
          <w:highlight w:val="yellow"/>
        </w:rPr>
      </w:pPr>
    </w:p>
    <w:p w:rsidR="008E16CC" w:rsidRDefault="00134E83" w:rsidP="00A22E80">
      <w:pPr>
        <w:widowControl w:val="0"/>
        <w:spacing w:line="260" w:lineRule="exact"/>
        <w:rPr>
          <w:rFonts w:ascii="Verdana" w:hAnsi="Verdana"/>
          <w:sz w:val="18"/>
          <w:szCs w:val="18"/>
        </w:rPr>
      </w:pPr>
      <w:r w:rsidRPr="00A22E80">
        <w:rPr>
          <w:rFonts w:ascii="Verdana" w:hAnsi="Verdana"/>
          <w:sz w:val="18"/>
          <w:szCs w:val="18"/>
        </w:rPr>
        <w:t xml:space="preserve">Dit onderdeel bevat redactionele verbeteringen tot herstel van omissies en gebreken in de Implementatiewet wijziging richtlijn </w:t>
      </w:r>
      <w:proofErr w:type="spellStart"/>
      <w:r w:rsidRPr="00A22E80">
        <w:rPr>
          <w:rFonts w:ascii="Verdana" w:hAnsi="Verdana"/>
          <w:sz w:val="18"/>
          <w:szCs w:val="18"/>
        </w:rPr>
        <w:t>icbe’s</w:t>
      </w:r>
      <w:proofErr w:type="spellEnd"/>
      <w:r w:rsidRPr="00A22E80">
        <w:rPr>
          <w:rFonts w:ascii="Verdana" w:hAnsi="Verdana"/>
          <w:sz w:val="18"/>
          <w:szCs w:val="18"/>
        </w:rPr>
        <w:t>.</w:t>
      </w:r>
      <w:r w:rsidR="008E16CC">
        <w:rPr>
          <w:rFonts w:ascii="Verdana" w:hAnsi="Verdana"/>
          <w:sz w:val="18"/>
          <w:szCs w:val="18"/>
        </w:rPr>
        <w:t xml:space="preserve"> </w:t>
      </w:r>
      <w:r w:rsidR="008E16CC" w:rsidRPr="008E16CC">
        <w:rPr>
          <w:rFonts w:ascii="Verdana" w:hAnsi="Verdana"/>
          <w:sz w:val="18"/>
          <w:szCs w:val="18"/>
        </w:rPr>
        <w:t xml:space="preserve">Artikel </w:t>
      </w:r>
      <w:r w:rsidR="008E16CC">
        <w:rPr>
          <w:rFonts w:ascii="Verdana" w:hAnsi="Verdana"/>
          <w:sz w:val="18"/>
          <w:szCs w:val="18"/>
        </w:rPr>
        <w:t xml:space="preserve">4:26, eerste lid, </w:t>
      </w:r>
      <w:r w:rsidR="000405A8">
        <w:rPr>
          <w:rFonts w:ascii="Verdana" w:hAnsi="Verdana"/>
          <w:sz w:val="18"/>
          <w:szCs w:val="18"/>
        </w:rPr>
        <w:t xml:space="preserve">van de </w:t>
      </w:r>
      <w:proofErr w:type="spellStart"/>
      <w:r w:rsidR="000405A8">
        <w:rPr>
          <w:rFonts w:ascii="Verdana" w:hAnsi="Verdana"/>
          <w:sz w:val="18"/>
          <w:szCs w:val="18"/>
        </w:rPr>
        <w:t>Wft</w:t>
      </w:r>
      <w:proofErr w:type="spellEnd"/>
      <w:r w:rsidR="000405A8">
        <w:rPr>
          <w:rFonts w:ascii="Verdana" w:hAnsi="Verdana"/>
          <w:sz w:val="18"/>
          <w:szCs w:val="18"/>
        </w:rPr>
        <w:t xml:space="preserve"> </w:t>
      </w:r>
      <w:r w:rsidR="008E16CC">
        <w:rPr>
          <w:rFonts w:ascii="Verdana" w:hAnsi="Verdana"/>
          <w:sz w:val="18"/>
          <w:szCs w:val="18"/>
        </w:rPr>
        <w:t xml:space="preserve">wordt zo aangepast dat wordt verwezen naar het derde lid van artikel 2:68, waarin de betreffende gegevens zijn opgenomen ten aanzien waarvan wijzigingen gemeld dienen te worden aan de Autoriteit </w:t>
      </w:r>
      <w:r w:rsidR="003846D3">
        <w:rPr>
          <w:rFonts w:ascii="Verdana" w:hAnsi="Verdana"/>
          <w:sz w:val="18"/>
          <w:szCs w:val="18"/>
        </w:rPr>
        <w:t>Financiële</w:t>
      </w:r>
      <w:r w:rsidR="008E16CC">
        <w:rPr>
          <w:rFonts w:ascii="Verdana" w:hAnsi="Verdana"/>
          <w:sz w:val="18"/>
          <w:szCs w:val="18"/>
        </w:rPr>
        <w:t xml:space="preserve"> Markten (AFM). In het vijfde lid wordt het begrip “instelling voor collectieve belegging in effecten” vervangen door “</w:t>
      </w:r>
      <w:proofErr w:type="spellStart"/>
      <w:r w:rsidR="008E16CC">
        <w:rPr>
          <w:rFonts w:ascii="Verdana" w:hAnsi="Verdana"/>
          <w:sz w:val="18"/>
          <w:szCs w:val="18"/>
        </w:rPr>
        <w:t>icbe</w:t>
      </w:r>
      <w:proofErr w:type="spellEnd"/>
      <w:r w:rsidR="008E16CC">
        <w:rPr>
          <w:rFonts w:ascii="Verdana" w:hAnsi="Verdana"/>
          <w:sz w:val="18"/>
          <w:szCs w:val="18"/>
        </w:rPr>
        <w:t>”, omdat sinds de implementatie van de richtlijn beheerders van alternatieve beleggingsinstellingen</w:t>
      </w:r>
      <w:r w:rsidR="004E3A76">
        <w:rPr>
          <w:rStyle w:val="Voetnootmarkering"/>
          <w:rFonts w:ascii="Verdana" w:hAnsi="Verdana"/>
          <w:sz w:val="18"/>
          <w:szCs w:val="18"/>
        </w:rPr>
        <w:footnoteReference w:id="9"/>
      </w:r>
      <w:r w:rsidR="008E16CC">
        <w:rPr>
          <w:rFonts w:ascii="Verdana" w:hAnsi="Verdana"/>
          <w:sz w:val="18"/>
          <w:szCs w:val="18"/>
        </w:rPr>
        <w:t xml:space="preserve"> het begrip “</w:t>
      </w:r>
      <w:proofErr w:type="spellStart"/>
      <w:r w:rsidR="008E16CC">
        <w:rPr>
          <w:rFonts w:ascii="Verdana" w:hAnsi="Verdana"/>
          <w:sz w:val="18"/>
          <w:szCs w:val="18"/>
        </w:rPr>
        <w:t>icbe</w:t>
      </w:r>
      <w:proofErr w:type="spellEnd"/>
      <w:r w:rsidR="008E16CC">
        <w:rPr>
          <w:rFonts w:ascii="Verdana" w:hAnsi="Verdana"/>
          <w:sz w:val="18"/>
          <w:szCs w:val="18"/>
        </w:rPr>
        <w:t>” gehanteerd wordt in plaats van “instelling voor collectieve belegging in effecten”.</w:t>
      </w:r>
    </w:p>
    <w:p w:rsidR="008E16CC" w:rsidRPr="00A22E80" w:rsidRDefault="008E16CC" w:rsidP="00A22E80">
      <w:pPr>
        <w:widowControl w:val="0"/>
        <w:spacing w:line="260" w:lineRule="exact"/>
        <w:rPr>
          <w:rFonts w:ascii="Verdana" w:hAnsi="Verdana"/>
          <w:sz w:val="18"/>
          <w:szCs w:val="18"/>
        </w:rPr>
      </w:pPr>
    </w:p>
    <w:p w:rsidR="00833CC2" w:rsidRPr="00A22E80" w:rsidRDefault="00460EC9" w:rsidP="00A22E80">
      <w:pPr>
        <w:widowControl w:val="0"/>
        <w:spacing w:line="260" w:lineRule="exact"/>
        <w:rPr>
          <w:rFonts w:ascii="Verdana" w:hAnsi="Verdana" w:cs="Arial"/>
          <w:sz w:val="18"/>
          <w:szCs w:val="18"/>
        </w:rPr>
      </w:pPr>
      <w:r w:rsidRPr="00A22E80">
        <w:rPr>
          <w:rFonts w:ascii="Verdana" w:hAnsi="Verdana"/>
          <w:sz w:val="18"/>
          <w:szCs w:val="18"/>
        </w:rPr>
        <w:t>EEE</w:t>
      </w:r>
    </w:p>
    <w:p w:rsidR="00833CC2" w:rsidRPr="00A22E80" w:rsidRDefault="00833CC2" w:rsidP="00A22E80">
      <w:pPr>
        <w:widowControl w:val="0"/>
        <w:spacing w:line="260" w:lineRule="exact"/>
        <w:rPr>
          <w:rFonts w:ascii="Verdana" w:hAnsi="Verdana"/>
          <w:sz w:val="18"/>
          <w:szCs w:val="18"/>
        </w:rPr>
      </w:pPr>
    </w:p>
    <w:p w:rsidR="00387C46" w:rsidRPr="00A22E80" w:rsidRDefault="00833CC2" w:rsidP="00A22E80">
      <w:pPr>
        <w:pStyle w:val="Lijstalinea"/>
        <w:widowControl w:val="0"/>
        <w:spacing w:after="0" w:line="260" w:lineRule="exact"/>
        <w:ind w:left="0"/>
        <w:rPr>
          <w:szCs w:val="18"/>
        </w:rPr>
      </w:pPr>
      <w:r w:rsidRPr="00A22E80">
        <w:rPr>
          <w:szCs w:val="18"/>
        </w:rPr>
        <w:t xml:space="preserve">In het derde en het negende lid van artikel 4:37j </w:t>
      </w:r>
      <w:proofErr w:type="spellStart"/>
      <w:r w:rsidR="005D68D6" w:rsidRPr="00A22E80">
        <w:rPr>
          <w:szCs w:val="18"/>
        </w:rPr>
        <w:t>Wft</w:t>
      </w:r>
      <w:proofErr w:type="spellEnd"/>
      <w:r w:rsidR="005D68D6" w:rsidRPr="00A22E80">
        <w:rPr>
          <w:szCs w:val="18"/>
        </w:rPr>
        <w:t xml:space="preserve"> </w:t>
      </w:r>
      <w:r w:rsidRPr="00A22E80">
        <w:rPr>
          <w:szCs w:val="18"/>
        </w:rPr>
        <w:t>was dezelfde ontheffingsmogelij</w:t>
      </w:r>
      <w:r w:rsidR="0028352A" w:rsidRPr="00A22E80">
        <w:rPr>
          <w:szCs w:val="18"/>
        </w:rPr>
        <w:t xml:space="preserve">kheid opgenomen. Het </w:t>
      </w:r>
      <w:r w:rsidR="009B3FC3" w:rsidRPr="00A22E80">
        <w:rPr>
          <w:szCs w:val="18"/>
        </w:rPr>
        <w:t xml:space="preserve">negende </w:t>
      </w:r>
      <w:r w:rsidR="0028352A" w:rsidRPr="00A22E80">
        <w:rPr>
          <w:szCs w:val="18"/>
        </w:rPr>
        <w:t xml:space="preserve">lid </w:t>
      </w:r>
      <w:r w:rsidR="00DD18C9" w:rsidRPr="00A22E80">
        <w:rPr>
          <w:szCs w:val="18"/>
        </w:rPr>
        <w:t xml:space="preserve">kan daarom </w:t>
      </w:r>
      <w:r w:rsidRPr="00A22E80">
        <w:rPr>
          <w:szCs w:val="18"/>
        </w:rPr>
        <w:t>verval</w:t>
      </w:r>
      <w:r w:rsidR="00DD18C9" w:rsidRPr="00A22E80">
        <w:rPr>
          <w:szCs w:val="18"/>
        </w:rPr>
        <w:t>len</w:t>
      </w:r>
      <w:r w:rsidRPr="00A22E80">
        <w:rPr>
          <w:szCs w:val="18"/>
        </w:rPr>
        <w:t>.</w:t>
      </w:r>
    </w:p>
    <w:p w:rsidR="008D6B80" w:rsidRPr="00A22E80" w:rsidRDefault="008D6B80" w:rsidP="00A22E80">
      <w:pPr>
        <w:widowControl w:val="0"/>
        <w:tabs>
          <w:tab w:val="num" w:pos="720"/>
        </w:tabs>
        <w:spacing w:line="260" w:lineRule="exact"/>
        <w:rPr>
          <w:rFonts w:ascii="Verdana" w:hAnsi="Verdana" w:cs="Arial"/>
          <w:sz w:val="18"/>
          <w:szCs w:val="18"/>
        </w:rPr>
      </w:pPr>
    </w:p>
    <w:p w:rsidR="008D6B80" w:rsidRPr="00A22E80" w:rsidRDefault="00460EC9"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FFF</w:t>
      </w:r>
    </w:p>
    <w:p w:rsidR="008D6B80" w:rsidRPr="00A22E80" w:rsidRDefault="008D6B80" w:rsidP="00A22E80">
      <w:pPr>
        <w:widowControl w:val="0"/>
        <w:tabs>
          <w:tab w:val="num" w:pos="720"/>
        </w:tabs>
        <w:spacing w:line="260" w:lineRule="exact"/>
        <w:rPr>
          <w:rFonts w:ascii="Verdana" w:hAnsi="Verdana" w:cs="Arial"/>
          <w:sz w:val="18"/>
          <w:szCs w:val="18"/>
        </w:rPr>
      </w:pPr>
    </w:p>
    <w:p w:rsidR="0081191C" w:rsidRPr="00A22E80" w:rsidRDefault="00B878F4" w:rsidP="00A22E80">
      <w:pPr>
        <w:spacing w:line="260" w:lineRule="exact"/>
        <w:rPr>
          <w:rFonts w:ascii="Verdana" w:hAnsi="Verdana" w:cs="Arial"/>
          <w:sz w:val="18"/>
          <w:szCs w:val="18"/>
        </w:rPr>
      </w:pPr>
      <w:r w:rsidRPr="00A22E80">
        <w:rPr>
          <w:rFonts w:ascii="Verdana" w:hAnsi="Verdana"/>
          <w:sz w:val="18"/>
          <w:szCs w:val="18"/>
        </w:rPr>
        <w:t xml:space="preserve">In artikel 4:37p, eerste lid, </w:t>
      </w:r>
      <w:r w:rsidR="00A65A69" w:rsidRPr="00A22E80">
        <w:rPr>
          <w:rFonts w:ascii="Verdana" w:hAnsi="Verdana"/>
          <w:sz w:val="18"/>
          <w:szCs w:val="18"/>
        </w:rPr>
        <w:t xml:space="preserve">van de </w:t>
      </w:r>
      <w:proofErr w:type="spellStart"/>
      <w:r w:rsidR="00A65A69" w:rsidRPr="00A22E80">
        <w:rPr>
          <w:rFonts w:ascii="Verdana" w:hAnsi="Verdana"/>
          <w:sz w:val="18"/>
          <w:szCs w:val="18"/>
        </w:rPr>
        <w:t>Wft</w:t>
      </w:r>
      <w:proofErr w:type="spellEnd"/>
      <w:r w:rsidR="00A65A69" w:rsidRPr="00A22E80">
        <w:rPr>
          <w:rFonts w:ascii="Verdana" w:hAnsi="Verdana"/>
          <w:sz w:val="18"/>
          <w:szCs w:val="18"/>
        </w:rPr>
        <w:t xml:space="preserve"> </w:t>
      </w:r>
      <w:r w:rsidRPr="00A22E80">
        <w:rPr>
          <w:rFonts w:ascii="Verdana" w:hAnsi="Verdana"/>
          <w:sz w:val="18"/>
          <w:szCs w:val="18"/>
        </w:rPr>
        <w:t>is een grondslag opgenomen om bij of krachtens algemene maatregel van bestuur aanvullende regels te stellen met betrekking tot</w:t>
      </w:r>
      <w:r w:rsidR="0099097B" w:rsidRPr="00A22E80">
        <w:rPr>
          <w:rFonts w:ascii="Verdana" w:hAnsi="Verdana"/>
          <w:sz w:val="18"/>
          <w:szCs w:val="18"/>
        </w:rPr>
        <w:t>,</w:t>
      </w:r>
      <w:r w:rsidRPr="00A22E80">
        <w:rPr>
          <w:rFonts w:ascii="Verdana" w:hAnsi="Verdana"/>
          <w:sz w:val="18"/>
          <w:szCs w:val="18"/>
        </w:rPr>
        <w:t xml:space="preserve"> onder andere</w:t>
      </w:r>
      <w:r w:rsidR="0099097B" w:rsidRPr="00A22E80">
        <w:rPr>
          <w:rFonts w:ascii="Verdana" w:hAnsi="Verdana"/>
          <w:sz w:val="18"/>
          <w:szCs w:val="18"/>
        </w:rPr>
        <w:t xml:space="preserve">, de bewaarder. Een </w:t>
      </w:r>
      <w:r w:rsidRPr="00A22E80">
        <w:rPr>
          <w:rFonts w:ascii="Verdana" w:hAnsi="Verdana"/>
          <w:sz w:val="18"/>
          <w:szCs w:val="18"/>
        </w:rPr>
        <w:t xml:space="preserve">grondslag om </w:t>
      </w:r>
      <w:r w:rsidR="0099097B" w:rsidRPr="00A22E80">
        <w:rPr>
          <w:rFonts w:ascii="Verdana" w:hAnsi="Verdana"/>
          <w:sz w:val="18"/>
          <w:szCs w:val="18"/>
        </w:rPr>
        <w:t xml:space="preserve">dergelijke </w:t>
      </w:r>
      <w:r w:rsidRPr="00A22E80">
        <w:rPr>
          <w:rFonts w:ascii="Verdana" w:hAnsi="Verdana"/>
          <w:sz w:val="18"/>
          <w:szCs w:val="18"/>
        </w:rPr>
        <w:t xml:space="preserve">nadere regels te stellen </w:t>
      </w:r>
      <w:r w:rsidR="0099097B" w:rsidRPr="00A22E80">
        <w:rPr>
          <w:rFonts w:ascii="Verdana" w:hAnsi="Verdana"/>
          <w:sz w:val="18"/>
          <w:szCs w:val="18"/>
        </w:rPr>
        <w:t xml:space="preserve">is </w:t>
      </w:r>
      <w:r w:rsidRPr="00A22E80">
        <w:rPr>
          <w:rFonts w:ascii="Verdana" w:hAnsi="Verdana"/>
          <w:sz w:val="18"/>
          <w:szCs w:val="18"/>
        </w:rPr>
        <w:t xml:space="preserve">met betrekking tot de bewaarder </w:t>
      </w:r>
      <w:r w:rsidR="0099097B" w:rsidRPr="00A22E80">
        <w:rPr>
          <w:rFonts w:ascii="Verdana" w:hAnsi="Verdana"/>
          <w:sz w:val="18"/>
          <w:szCs w:val="18"/>
        </w:rPr>
        <w:t>reeds opgenomen in paragraaf 4.3.1.4e.</w:t>
      </w:r>
      <w:r w:rsidRPr="00A22E80">
        <w:rPr>
          <w:rFonts w:ascii="Verdana" w:hAnsi="Verdana"/>
          <w:sz w:val="18"/>
          <w:szCs w:val="18"/>
        </w:rPr>
        <w:t xml:space="preserve"> </w:t>
      </w:r>
      <w:r w:rsidR="0099097B" w:rsidRPr="00A22E80">
        <w:rPr>
          <w:rFonts w:ascii="Verdana" w:hAnsi="Verdana"/>
          <w:sz w:val="18"/>
          <w:szCs w:val="18"/>
        </w:rPr>
        <w:t>De bewaarder kan daarom uit deze grondslag</w:t>
      </w:r>
      <w:r w:rsidR="00DD18C9" w:rsidRPr="00A22E80">
        <w:rPr>
          <w:rFonts w:ascii="Verdana" w:hAnsi="Verdana"/>
          <w:sz w:val="18"/>
          <w:szCs w:val="18"/>
        </w:rPr>
        <w:t xml:space="preserve"> </w:t>
      </w:r>
      <w:r w:rsidR="0099097B" w:rsidRPr="00A22E80">
        <w:rPr>
          <w:rFonts w:ascii="Verdana" w:hAnsi="Verdana"/>
          <w:sz w:val="18"/>
          <w:szCs w:val="18"/>
        </w:rPr>
        <w:t>worden geschrapt.</w:t>
      </w:r>
    </w:p>
    <w:p w:rsidR="0099097B" w:rsidRPr="00A22E80" w:rsidRDefault="0099097B" w:rsidP="00A22E80">
      <w:pPr>
        <w:widowControl w:val="0"/>
        <w:spacing w:line="260" w:lineRule="exact"/>
        <w:rPr>
          <w:rFonts w:ascii="Verdana" w:hAnsi="Verdana" w:cs="Arial"/>
          <w:sz w:val="18"/>
          <w:szCs w:val="18"/>
        </w:rPr>
      </w:pPr>
    </w:p>
    <w:p w:rsidR="00115E92" w:rsidRPr="00A22E80" w:rsidRDefault="00460EC9" w:rsidP="00A22E80">
      <w:pPr>
        <w:widowControl w:val="0"/>
        <w:spacing w:line="260" w:lineRule="exact"/>
        <w:rPr>
          <w:rFonts w:ascii="Verdana" w:hAnsi="Verdana" w:cs="Arial"/>
          <w:sz w:val="18"/>
          <w:szCs w:val="18"/>
        </w:rPr>
      </w:pPr>
      <w:r w:rsidRPr="00A22E80">
        <w:rPr>
          <w:rFonts w:ascii="Verdana" w:hAnsi="Verdana" w:cs="Arial"/>
          <w:sz w:val="18"/>
          <w:szCs w:val="18"/>
        </w:rPr>
        <w:t>GGG</w:t>
      </w:r>
    </w:p>
    <w:p w:rsidR="00115E92" w:rsidRPr="00A22E80" w:rsidRDefault="00115E92" w:rsidP="00A22E80">
      <w:pPr>
        <w:widowControl w:val="0"/>
        <w:spacing w:line="260" w:lineRule="exact"/>
        <w:rPr>
          <w:rFonts w:ascii="Verdana" w:hAnsi="Verdana" w:cs="Arial"/>
          <w:sz w:val="18"/>
          <w:szCs w:val="18"/>
        </w:rPr>
      </w:pPr>
    </w:p>
    <w:p w:rsidR="00115E92" w:rsidRPr="00A22E80" w:rsidRDefault="004C2C5A" w:rsidP="00A22E80">
      <w:pPr>
        <w:widowControl w:val="0"/>
        <w:spacing w:line="260" w:lineRule="exact"/>
        <w:rPr>
          <w:rFonts w:ascii="Verdana" w:hAnsi="Verdana" w:cs="Arial"/>
          <w:sz w:val="18"/>
          <w:szCs w:val="18"/>
        </w:rPr>
      </w:pPr>
      <w:r w:rsidRPr="00A22E80">
        <w:rPr>
          <w:rFonts w:ascii="Verdana" w:hAnsi="Verdana" w:cs="Arial"/>
          <w:sz w:val="18"/>
          <w:szCs w:val="18"/>
        </w:rPr>
        <w:t xml:space="preserve">Door het vervallen van het derde lid van artikel 4:60 </w:t>
      </w:r>
      <w:proofErr w:type="spellStart"/>
      <w:r w:rsidRPr="00A22E80">
        <w:rPr>
          <w:rFonts w:ascii="Verdana" w:hAnsi="Verdana" w:cs="Arial"/>
          <w:sz w:val="18"/>
          <w:szCs w:val="18"/>
        </w:rPr>
        <w:t>Wft</w:t>
      </w:r>
      <w:proofErr w:type="spellEnd"/>
      <w:r w:rsidRPr="00A22E80">
        <w:rPr>
          <w:rFonts w:ascii="Verdana" w:hAnsi="Verdana" w:cs="Arial"/>
          <w:sz w:val="18"/>
          <w:szCs w:val="18"/>
        </w:rPr>
        <w:t xml:space="preserve"> </w:t>
      </w:r>
      <w:r w:rsidR="00220B01" w:rsidRPr="00A22E80">
        <w:rPr>
          <w:rFonts w:ascii="Verdana" w:hAnsi="Verdana" w:cs="Arial"/>
          <w:sz w:val="18"/>
          <w:szCs w:val="18"/>
        </w:rPr>
        <w:t xml:space="preserve">ingevolge </w:t>
      </w:r>
      <w:r w:rsidRPr="00A22E80">
        <w:rPr>
          <w:rFonts w:ascii="Verdana" w:hAnsi="Verdana" w:cs="Arial"/>
          <w:sz w:val="18"/>
          <w:szCs w:val="18"/>
        </w:rPr>
        <w:t>de Wijzigingswet financiële markten 2016 kloppen de verwijzingen in het derde en vierde lid naar andere artikelleden niet meer. Dit wordt door de voorgestelde wijziging hersteld.</w:t>
      </w:r>
    </w:p>
    <w:p w:rsidR="00115E92" w:rsidRPr="00A22E80" w:rsidRDefault="00115E92" w:rsidP="00A22E80">
      <w:pPr>
        <w:widowControl w:val="0"/>
        <w:spacing w:line="260" w:lineRule="exact"/>
        <w:rPr>
          <w:rFonts w:ascii="Verdana" w:hAnsi="Verdana" w:cs="Arial"/>
          <w:sz w:val="18"/>
          <w:szCs w:val="18"/>
        </w:rPr>
      </w:pPr>
    </w:p>
    <w:p w:rsidR="004F277C" w:rsidRPr="00A22E80" w:rsidRDefault="00460EC9" w:rsidP="00A22E80">
      <w:pPr>
        <w:widowControl w:val="0"/>
        <w:spacing w:line="260" w:lineRule="exact"/>
        <w:rPr>
          <w:rFonts w:ascii="Verdana" w:hAnsi="Verdana" w:cs="Arial"/>
          <w:sz w:val="18"/>
          <w:szCs w:val="18"/>
        </w:rPr>
      </w:pPr>
      <w:r w:rsidRPr="00A22E80">
        <w:rPr>
          <w:rFonts w:ascii="Verdana" w:hAnsi="Verdana" w:cs="Arial"/>
          <w:sz w:val="18"/>
          <w:szCs w:val="18"/>
        </w:rPr>
        <w:t>HHH</w:t>
      </w:r>
    </w:p>
    <w:p w:rsidR="004F277C" w:rsidRPr="00A22E80" w:rsidRDefault="004F277C" w:rsidP="00A22E80">
      <w:pPr>
        <w:widowControl w:val="0"/>
        <w:spacing w:line="260" w:lineRule="exact"/>
        <w:rPr>
          <w:rFonts w:ascii="Verdana" w:hAnsi="Verdana" w:cs="Arial"/>
          <w:sz w:val="18"/>
          <w:szCs w:val="18"/>
        </w:rPr>
      </w:pPr>
    </w:p>
    <w:p w:rsidR="00257DEB" w:rsidRPr="00A22E80" w:rsidRDefault="00F23348" w:rsidP="00A22E80">
      <w:pPr>
        <w:widowControl w:val="0"/>
        <w:spacing w:line="260" w:lineRule="exact"/>
        <w:rPr>
          <w:rFonts w:ascii="Verdana" w:hAnsi="Verdana" w:cs="Arial"/>
          <w:sz w:val="18"/>
          <w:szCs w:val="18"/>
        </w:rPr>
      </w:pPr>
      <w:r w:rsidRPr="00A22E80">
        <w:rPr>
          <w:rFonts w:ascii="Verdana" w:hAnsi="Verdana" w:cs="Arial"/>
          <w:sz w:val="18"/>
          <w:szCs w:val="18"/>
        </w:rPr>
        <w:t xml:space="preserve">Zie de </w:t>
      </w:r>
      <w:proofErr w:type="spellStart"/>
      <w:r w:rsidR="00257DEB" w:rsidRPr="00A22E80">
        <w:rPr>
          <w:rFonts w:ascii="Verdana" w:hAnsi="Verdana" w:cs="Arial"/>
          <w:sz w:val="18"/>
          <w:szCs w:val="18"/>
        </w:rPr>
        <w:t>artikelsgewijze</w:t>
      </w:r>
      <w:proofErr w:type="spellEnd"/>
      <w:r w:rsidR="00257DEB" w:rsidRPr="00A22E80">
        <w:rPr>
          <w:rFonts w:ascii="Verdana" w:hAnsi="Verdana" w:cs="Arial"/>
          <w:sz w:val="18"/>
          <w:szCs w:val="18"/>
        </w:rPr>
        <w:t xml:space="preserve"> </w:t>
      </w:r>
      <w:r w:rsidRPr="00A22E80">
        <w:rPr>
          <w:rFonts w:ascii="Verdana" w:hAnsi="Verdana" w:cs="Arial"/>
          <w:sz w:val="18"/>
          <w:szCs w:val="18"/>
        </w:rPr>
        <w:t xml:space="preserve">toelichting </w:t>
      </w:r>
      <w:r w:rsidR="00257DEB" w:rsidRPr="00A22E80">
        <w:rPr>
          <w:rFonts w:ascii="Verdana" w:hAnsi="Verdana" w:cs="Arial"/>
          <w:sz w:val="18"/>
          <w:szCs w:val="18"/>
        </w:rPr>
        <w:t xml:space="preserve">op subonderdeel 5 van onderdeel A </w:t>
      </w:r>
      <w:r w:rsidR="00257DEB" w:rsidRPr="00A22E80">
        <w:rPr>
          <w:rFonts w:ascii="Verdana" w:hAnsi="Verdana" w:cs="Arial"/>
          <w:sz w:val="18"/>
          <w:szCs w:val="18"/>
        </w:rPr>
        <w:lastRenderedPageBreak/>
        <w:t xml:space="preserve">aangaande </w:t>
      </w:r>
      <w:r w:rsidRPr="00A22E80">
        <w:rPr>
          <w:rFonts w:ascii="Verdana" w:hAnsi="Verdana" w:cs="Arial"/>
          <w:sz w:val="18"/>
          <w:szCs w:val="18"/>
        </w:rPr>
        <w:t xml:space="preserve">de wijziging van de definitie van “verbonden agent” in </w:t>
      </w:r>
      <w:r w:rsidR="00257DEB" w:rsidRPr="00A22E80">
        <w:rPr>
          <w:rFonts w:ascii="Verdana" w:hAnsi="Verdana" w:cs="Arial"/>
          <w:sz w:val="18"/>
          <w:szCs w:val="18"/>
        </w:rPr>
        <w:t xml:space="preserve">artikel 1:1 </w:t>
      </w:r>
      <w:proofErr w:type="spellStart"/>
      <w:r w:rsidR="00257DEB" w:rsidRPr="00A22E80">
        <w:rPr>
          <w:rFonts w:ascii="Verdana" w:hAnsi="Verdana" w:cs="Arial"/>
          <w:sz w:val="18"/>
          <w:szCs w:val="18"/>
        </w:rPr>
        <w:t>Wft</w:t>
      </w:r>
      <w:proofErr w:type="spellEnd"/>
      <w:r w:rsidR="00257DEB" w:rsidRPr="00A22E80">
        <w:rPr>
          <w:rFonts w:ascii="Verdana" w:hAnsi="Verdana" w:cs="Arial"/>
          <w:sz w:val="18"/>
          <w:szCs w:val="18"/>
        </w:rPr>
        <w:t>.</w:t>
      </w:r>
    </w:p>
    <w:p w:rsidR="00257DEB" w:rsidRPr="00A22E80" w:rsidRDefault="00257DEB" w:rsidP="00A22E80">
      <w:pPr>
        <w:widowControl w:val="0"/>
        <w:spacing w:line="260" w:lineRule="exact"/>
        <w:rPr>
          <w:rFonts w:ascii="Verdana" w:hAnsi="Verdana" w:cs="Arial"/>
          <w:sz w:val="18"/>
          <w:szCs w:val="18"/>
        </w:rPr>
      </w:pPr>
    </w:p>
    <w:p w:rsidR="00A45989" w:rsidRPr="00A22E80" w:rsidRDefault="00460EC9" w:rsidP="00A22E80">
      <w:pPr>
        <w:widowControl w:val="0"/>
        <w:spacing w:line="260" w:lineRule="exact"/>
        <w:rPr>
          <w:rFonts w:ascii="Verdana" w:hAnsi="Verdana" w:cs="Arial"/>
          <w:sz w:val="18"/>
          <w:szCs w:val="18"/>
        </w:rPr>
      </w:pPr>
      <w:r w:rsidRPr="00A22E80">
        <w:rPr>
          <w:rFonts w:ascii="Verdana" w:hAnsi="Verdana" w:cs="Arial"/>
          <w:sz w:val="18"/>
          <w:szCs w:val="18"/>
        </w:rPr>
        <w:t>III</w:t>
      </w:r>
    </w:p>
    <w:p w:rsidR="00910208" w:rsidRPr="00A22E80" w:rsidRDefault="00910208" w:rsidP="00A22E80">
      <w:pPr>
        <w:widowControl w:val="0"/>
        <w:spacing w:line="260" w:lineRule="exact"/>
        <w:rPr>
          <w:rFonts w:ascii="Verdana" w:hAnsi="Verdana" w:cs="Arial"/>
          <w:sz w:val="18"/>
          <w:szCs w:val="18"/>
        </w:rPr>
      </w:pPr>
    </w:p>
    <w:p w:rsidR="00A45989" w:rsidRPr="00A22E80" w:rsidRDefault="00D11526" w:rsidP="00A22E80">
      <w:pPr>
        <w:widowControl w:val="0"/>
        <w:spacing w:line="260" w:lineRule="exact"/>
        <w:rPr>
          <w:rFonts w:ascii="Verdana" w:hAnsi="Verdana" w:cs="Arial"/>
          <w:sz w:val="18"/>
          <w:szCs w:val="18"/>
        </w:rPr>
      </w:pPr>
      <w:r w:rsidRPr="00A22E80">
        <w:rPr>
          <w:rFonts w:ascii="Verdana" w:hAnsi="Verdana" w:cs="Arial"/>
          <w:sz w:val="18"/>
          <w:szCs w:val="18"/>
        </w:rPr>
        <w:t>De leden van a</w:t>
      </w:r>
      <w:r w:rsidR="00A45989" w:rsidRPr="00A22E80">
        <w:rPr>
          <w:rFonts w:ascii="Verdana" w:hAnsi="Verdana" w:cs="Arial"/>
          <w:sz w:val="18"/>
          <w:szCs w:val="18"/>
        </w:rPr>
        <w:t xml:space="preserve">rtikel 5:25m </w:t>
      </w:r>
      <w:r w:rsidRPr="00A22E80">
        <w:rPr>
          <w:rFonts w:ascii="Verdana" w:hAnsi="Verdana" w:cs="Arial"/>
          <w:sz w:val="18"/>
          <w:szCs w:val="18"/>
        </w:rPr>
        <w:t>zijn</w:t>
      </w:r>
      <w:r w:rsidR="00A45989" w:rsidRPr="00A22E80">
        <w:rPr>
          <w:rFonts w:ascii="Verdana" w:hAnsi="Verdana" w:cs="Arial"/>
          <w:sz w:val="18"/>
          <w:szCs w:val="18"/>
        </w:rPr>
        <w:t xml:space="preserve"> door de Wet implementatie verordening en richtlijn marktmisbruik vernummerd. Per abuis is de vernummering niet consequent doorgevoerd in het vijfde lid, waardoor dat lid nu naar het vijfde lid verwijst in plaat</w:t>
      </w:r>
      <w:r w:rsidR="003D2E74">
        <w:rPr>
          <w:rFonts w:ascii="Verdana" w:hAnsi="Verdana" w:cs="Arial"/>
          <w:sz w:val="18"/>
          <w:szCs w:val="18"/>
        </w:rPr>
        <w:t>s</w:t>
      </w:r>
      <w:r w:rsidR="00A45989" w:rsidRPr="00A22E80">
        <w:rPr>
          <w:rFonts w:ascii="Verdana" w:hAnsi="Verdana" w:cs="Arial"/>
          <w:sz w:val="18"/>
          <w:szCs w:val="18"/>
        </w:rPr>
        <w:t xml:space="preserve"> van naar het vierde lid. Deze omissie wordt met dit wijzigingsartikel hersteld.</w:t>
      </w:r>
    </w:p>
    <w:p w:rsidR="00A45989" w:rsidRPr="00A22E80" w:rsidRDefault="00A45989" w:rsidP="00A22E80">
      <w:pPr>
        <w:widowControl w:val="0"/>
        <w:spacing w:line="260" w:lineRule="exact"/>
        <w:rPr>
          <w:rFonts w:ascii="Verdana" w:hAnsi="Verdana" w:cs="Arial"/>
          <w:sz w:val="18"/>
          <w:szCs w:val="18"/>
        </w:rPr>
      </w:pPr>
    </w:p>
    <w:p w:rsidR="00BE199C" w:rsidRPr="00A22E80" w:rsidRDefault="00460EC9" w:rsidP="00A22E80">
      <w:pPr>
        <w:widowControl w:val="0"/>
        <w:spacing w:line="260" w:lineRule="exact"/>
        <w:rPr>
          <w:rFonts w:ascii="Verdana" w:hAnsi="Verdana" w:cs="Arial"/>
          <w:sz w:val="18"/>
          <w:szCs w:val="18"/>
        </w:rPr>
      </w:pPr>
      <w:r w:rsidRPr="00A22E80">
        <w:rPr>
          <w:rFonts w:ascii="Verdana" w:hAnsi="Verdana" w:cs="Arial"/>
          <w:sz w:val="18"/>
          <w:szCs w:val="18"/>
        </w:rPr>
        <w:t>JJJ</w:t>
      </w:r>
    </w:p>
    <w:p w:rsidR="000516E2" w:rsidRPr="00A22E80" w:rsidRDefault="000516E2" w:rsidP="00A22E80">
      <w:pPr>
        <w:widowControl w:val="0"/>
        <w:spacing w:line="260" w:lineRule="exact"/>
        <w:rPr>
          <w:rFonts w:ascii="Verdana" w:hAnsi="Verdana" w:cs="Arial"/>
          <w:sz w:val="18"/>
          <w:szCs w:val="18"/>
        </w:rPr>
      </w:pPr>
    </w:p>
    <w:p w:rsidR="00BE199C" w:rsidRPr="00A22E80" w:rsidRDefault="00BE199C" w:rsidP="00A22E80">
      <w:pPr>
        <w:widowControl w:val="0"/>
        <w:tabs>
          <w:tab w:val="num" w:pos="720"/>
        </w:tabs>
        <w:spacing w:line="260" w:lineRule="exact"/>
        <w:rPr>
          <w:rFonts w:ascii="Verdana" w:hAnsi="Verdana" w:cs="Arial"/>
          <w:sz w:val="18"/>
          <w:szCs w:val="18"/>
        </w:rPr>
      </w:pPr>
      <w:r w:rsidRPr="00A22E80">
        <w:rPr>
          <w:rFonts w:ascii="Verdana" w:hAnsi="Verdana"/>
          <w:sz w:val="18"/>
          <w:szCs w:val="18"/>
        </w:rPr>
        <w:t>D</w:t>
      </w:r>
      <w:r w:rsidR="00FA3812" w:rsidRPr="00A22E80">
        <w:rPr>
          <w:rFonts w:ascii="Verdana" w:hAnsi="Verdana"/>
          <w:sz w:val="18"/>
          <w:szCs w:val="18"/>
        </w:rPr>
        <w:t>e</w:t>
      </w:r>
      <w:r w:rsidRPr="00A22E80">
        <w:rPr>
          <w:rFonts w:ascii="Verdana" w:hAnsi="Verdana"/>
          <w:sz w:val="18"/>
          <w:szCs w:val="18"/>
        </w:rPr>
        <w:t xml:space="preserve"> </w:t>
      </w:r>
      <w:r w:rsidR="00FA3812" w:rsidRPr="00A22E80">
        <w:rPr>
          <w:rFonts w:ascii="Verdana" w:hAnsi="Verdana"/>
          <w:sz w:val="18"/>
          <w:szCs w:val="18"/>
        </w:rPr>
        <w:t xml:space="preserve">eerste </w:t>
      </w:r>
      <w:r w:rsidRPr="00A22E80">
        <w:rPr>
          <w:rFonts w:ascii="Verdana" w:hAnsi="Verdana"/>
          <w:sz w:val="18"/>
          <w:szCs w:val="18"/>
        </w:rPr>
        <w:t>wijzigingso</w:t>
      </w:r>
      <w:r w:rsidR="00FA3812" w:rsidRPr="00A22E80">
        <w:rPr>
          <w:rFonts w:ascii="Verdana" w:hAnsi="Verdana"/>
          <w:sz w:val="18"/>
          <w:szCs w:val="18"/>
        </w:rPr>
        <w:t>pdracht</w:t>
      </w:r>
      <w:r w:rsidRPr="00A22E80">
        <w:rPr>
          <w:rFonts w:ascii="Verdana" w:hAnsi="Verdana"/>
          <w:sz w:val="18"/>
          <w:szCs w:val="18"/>
        </w:rPr>
        <w:t xml:space="preserve"> </w:t>
      </w:r>
      <w:r w:rsidR="00DD18C9" w:rsidRPr="00A22E80">
        <w:rPr>
          <w:rFonts w:ascii="Verdana" w:hAnsi="Verdana"/>
          <w:sz w:val="18"/>
          <w:szCs w:val="18"/>
        </w:rPr>
        <w:t>hangt samen met</w:t>
      </w:r>
      <w:r w:rsidR="00352AA8" w:rsidRPr="00A22E80">
        <w:rPr>
          <w:rFonts w:ascii="Verdana" w:hAnsi="Verdana"/>
          <w:sz w:val="18"/>
          <w:szCs w:val="18"/>
        </w:rPr>
        <w:t xml:space="preserve"> de in onderdeel </w:t>
      </w:r>
      <w:r w:rsidR="002C0E4C" w:rsidRPr="00A22E80">
        <w:rPr>
          <w:rFonts w:ascii="Verdana" w:hAnsi="Verdana"/>
          <w:sz w:val="18"/>
          <w:szCs w:val="18"/>
        </w:rPr>
        <w:t>Z</w:t>
      </w:r>
      <w:r w:rsidR="00F23348" w:rsidRPr="00A22E80">
        <w:rPr>
          <w:rFonts w:ascii="Verdana" w:hAnsi="Verdana"/>
          <w:sz w:val="18"/>
          <w:szCs w:val="18"/>
        </w:rPr>
        <w:t xml:space="preserve"> voorgestelde herziene redactie van artikel 3:264 </w:t>
      </w:r>
      <w:proofErr w:type="spellStart"/>
      <w:r w:rsidR="00F23348" w:rsidRPr="00A22E80">
        <w:rPr>
          <w:rFonts w:ascii="Verdana" w:hAnsi="Verdana"/>
          <w:sz w:val="18"/>
          <w:szCs w:val="18"/>
        </w:rPr>
        <w:t>Wft</w:t>
      </w:r>
      <w:proofErr w:type="spellEnd"/>
      <w:r w:rsidR="00F23348" w:rsidRPr="00A22E80">
        <w:rPr>
          <w:rFonts w:ascii="Verdana" w:hAnsi="Verdana"/>
          <w:sz w:val="18"/>
          <w:szCs w:val="18"/>
        </w:rPr>
        <w:t>.</w:t>
      </w:r>
      <w:r w:rsidR="00FA3812" w:rsidRPr="00A22E80">
        <w:rPr>
          <w:rFonts w:ascii="Verdana" w:hAnsi="Verdana"/>
          <w:sz w:val="18"/>
          <w:szCs w:val="18"/>
        </w:rPr>
        <w:t xml:space="preserve"> De tweede wijzigingsopdracht houdt verband met de Wet implementatie verordening en richtlijn marktmisbruik waarbij de zinsnede “artikel 5:25m, eerste, tweede, vijfde en zevende lid” is ingevoegd in de bijlagen. Met de invoeging van het woord “artikel” is daarbij is echter niet aangesloten bij de systematiek van de bijlagen. Onderhavige wijzigingsopdracht laat het woord “artikel” daarom vervallen.</w:t>
      </w:r>
    </w:p>
    <w:p w:rsidR="00BE199C" w:rsidRPr="00A22E80" w:rsidRDefault="00BE199C" w:rsidP="00A22E80">
      <w:pPr>
        <w:widowControl w:val="0"/>
        <w:tabs>
          <w:tab w:val="num" w:pos="720"/>
        </w:tabs>
        <w:spacing w:line="260" w:lineRule="exact"/>
        <w:rPr>
          <w:rFonts w:ascii="Verdana" w:hAnsi="Verdana" w:cs="Arial"/>
          <w:sz w:val="18"/>
          <w:szCs w:val="18"/>
        </w:rPr>
      </w:pPr>
    </w:p>
    <w:p w:rsidR="00BE199C" w:rsidRPr="00A22E80" w:rsidRDefault="00BE199C" w:rsidP="00A22E80">
      <w:pPr>
        <w:widowControl w:val="0"/>
        <w:tabs>
          <w:tab w:val="num" w:pos="720"/>
        </w:tabs>
        <w:spacing w:line="260" w:lineRule="exact"/>
        <w:rPr>
          <w:rFonts w:ascii="Verdana" w:hAnsi="Verdana" w:cs="Arial"/>
          <w:sz w:val="18"/>
          <w:szCs w:val="18"/>
        </w:rPr>
      </w:pPr>
    </w:p>
    <w:p w:rsidR="00B5654A" w:rsidRPr="00A22E80" w:rsidRDefault="00AD7244" w:rsidP="00A22E80">
      <w:pPr>
        <w:widowControl w:val="0"/>
        <w:tabs>
          <w:tab w:val="num" w:pos="720"/>
        </w:tabs>
        <w:spacing w:line="260" w:lineRule="exact"/>
        <w:rPr>
          <w:rFonts w:ascii="Verdana" w:hAnsi="Verdana" w:cs="Arial"/>
          <w:sz w:val="18"/>
          <w:szCs w:val="18"/>
        </w:rPr>
      </w:pPr>
      <w:r w:rsidRPr="00A22E80">
        <w:rPr>
          <w:rFonts w:ascii="Verdana" w:hAnsi="Verdana" w:cs="Arial"/>
          <w:b/>
          <w:sz w:val="18"/>
          <w:szCs w:val="18"/>
        </w:rPr>
        <w:t>ARTIKEL II</w:t>
      </w:r>
    </w:p>
    <w:p w:rsidR="00B5654A" w:rsidRPr="00A22E80" w:rsidRDefault="00B5654A" w:rsidP="00A22E80">
      <w:pPr>
        <w:widowControl w:val="0"/>
        <w:tabs>
          <w:tab w:val="num" w:pos="720"/>
        </w:tabs>
        <w:spacing w:line="260" w:lineRule="exact"/>
        <w:rPr>
          <w:rFonts w:ascii="Verdana" w:hAnsi="Verdana" w:cs="Arial"/>
          <w:sz w:val="18"/>
          <w:szCs w:val="18"/>
        </w:rPr>
      </w:pPr>
    </w:p>
    <w:p w:rsidR="00E92D24" w:rsidRPr="00A22E80" w:rsidRDefault="00AA4E75" w:rsidP="00A22E80">
      <w:pPr>
        <w:widowControl w:val="0"/>
        <w:tabs>
          <w:tab w:val="left" w:pos="720"/>
        </w:tabs>
        <w:spacing w:line="260" w:lineRule="exact"/>
        <w:rPr>
          <w:rFonts w:ascii="Verdana" w:hAnsi="Verdana" w:cs="Arial"/>
          <w:sz w:val="18"/>
          <w:szCs w:val="18"/>
        </w:rPr>
      </w:pPr>
      <w:r w:rsidRPr="00A22E80">
        <w:rPr>
          <w:rFonts w:ascii="Verdana" w:hAnsi="Verdana" w:cs="Arial"/>
          <w:sz w:val="18"/>
          <w:szCs w:val="18"/>
        </w:rPr>
        <w:t>A en B</w:t>
      </w:r>
    </w:p>
    <w:p w:rsidR="00172CC9" w:rsidRPr="00A22E80" w:rsidRDefault="00172CC9" w:rsidP="00A22E80">
      <w:pPr>
        <w:spacing w:line="260" w:lineRule="exact"/>
        <w:contextualSpacing/>
        <w:rPr>
          <w:rFonts w:ascii="Verdana" w:hAnsi="Verdana"/>
          <w:sz w:val="18"/>
          <w:szCs w:val="18"/>
        </w:rPr>
      </w:pPr>
    </w:p>
    <w:p w:rsidR="007334AB" w:rsidRPr="00A22E80" w:rsidRDefault="00F23348" w:rsidP="00A22E80">
      <w:pPr>
        <w:spacing w:line="260" w:lineRule="exact"/>
        <w:contextualSpacing/>
        <w:rPr>
          <w:rFonts w:ascii="Verdana" w:hAnsi="Verdana"/>
          <w:sz w:val="18"/>
          <w:szCs w:val="18"/>
        </w:rPr>
      </w:pPr>
      <w:r w:rsidRPr="00A22E80">
        <w:rPr>
          <w:rFonts w:ascii="Verdana" w:hAnsi="Verdana"/>
          <w:sz w:val="18"/>
          <w:szCs w:val="18"/>
        </w:rPr>
        <w:t xml:space="preserve">Om het systeemrisico - </w:t>
      </w:r>
      <w:r w:rsidR="007334AB" w:rsidRPr="00A22E80">
        <w:rPr>
          <w:rFonts w:ascii="Verdana" w:hAnsi="Verdana"/>
          <w:sz w:val="18"/>
          <w:szCs w:val="18"/>
        </w:rPr>
        <w:t>het risico dat een probleem bij één financiële instelling overslaat naar andere financiële instellingen en zich zo voortpl</w:t>
      </w:r>
      <w:r w:rsidRPr="00A22E80">
        <w:rPr>
          <w:rFonts w:ascii="Verdana" w:hAnsi="Verdana"/>
          <w:sz w:val="18"/>
          <w:szCs w:val="18"/>
        </w:rPr>
        <w:t>ant door het financiële stelsel -</w:t>
      </w:r>
      <w:r w:rsidR="007334AB" w:rsidRPr="00A22E80">
        <w:rPr>
          <w:rFonts w:ascii="Verdana" w:hAnsi="Verdana"/>
          <w:sz w:val="18"/>
          <w:szCs w:val="18"/>
        </w:rPr>
        <w:t xml:space="preserve"> te minimaliseren en de stabiliteit van betalingssystemen en </w:t>
      </w:r>
      <w:proofErr w:type="spellStart"/>
      <w:r w:rsidR="007334AB" w:rsidRPr="00A22E80">
        <w:rPr>
          <w:rFonts w:ascii="Verdana" w:hAnsi="Verdana"/>
          <w:sz w:val="18"/>
          <w:szCs w:val="18"/>
        </w:rPr>
        <w:t>effectenafwikkelingssystemen</w:t>
      </w:r>
      <w:proofErr w:type="spellEnd"/>
      <w:r w:rsidR="007334AB" w:rsidRPr="00A22E80">
        <w:rPr>
          <w:rFonts w:ascii="Verdana" w:hAnsi="Verdana"/>
          <w:sz w:val="18"/>
          <w:szCs w:val="18"/>
        </w:rPr>
        <w:t xml:space="preserve"> te waarborgen, bepaalt de </w:t>
      </w:r>
      <w:proofErr w:type="spellStart"/>
      <w:r w:rsidR="007334AB" w:rsidRPr="00A22E80">
        <w:rPr>
          <w:rFonts w:ascii="Verdana" w:hAnsi="Verdana"/>
          <w:sz w:val="18"/>
          <w:szCs w:val="18"/>
        </w:rPr>
        <w:t>Finaliteitsrichtlijn</w:t>
      </w:r>
      <w:proofErr w:type="spellEnd"/>
      <w:r w:rsidR="00F84181" w:rsidRPr="00A22E80">
        <w:rPr>
          <w:rFonts w:ascii="Verdana" w:hAnsi="Verdana"/>
          <w:sz w:val="18"/>
          <w:szCs w:val="18"/>
        </w:rPr>
        <w:t xml:space="preserve"> </w:t>
      </w:r>
      <w:r w:rsidR="007334AB" w:rsidRPr="00A22E80">
        <w:rPr>
          <w:rFonts w:ascii="Verdana" w:hAnsi="Verdana"/>
          <w:sz w:val="18"/>
          <w:szCs w:val="18"/>
        </w:rPr>
        <w:t xml:space="preserve">dat eenmaal in dergelijke systemen ingevoerde </w:t>
      </w:r>
      <w:proofErr w:type="spellStart"/>
      <w:r w:rsidR="007334AB" w:rsidRPr="00A22E80">
        <w:rPr>
          <w:rFonts w:ascii="Verdana" w:hAnsi="Verdana"/>
          <w:sz w:val="18"/>
          <w:szCs w:val="18"/>
        </w:rPr>
        <w:t>overboekingsopdrachten</w:t>
      </w:r>
      <w:proofErr w:type="spellEnd"/>
      <w:r w:rsidR="007334AB" w:rsidRPr="00A22E80">
        <w:rPr>
          <w:rFonts w:ascii="Verdana" w:hAnsi="Verdana"/>
          <w:sz w:val="18"/>
          <w:szCs w:val="18"/>
        </w:rPr>
        <w:t xml:space="preserve"> niet meer kunnen worden herroepen noch anderszins geannuleerd. De bescherming bestaat dus erin dat aan de afwikkeling en de verrekening van </w:t>
      </w:r>
      <w:proofErr w:type="spellStart"/>
      <w:r w:rsidR="007334AB" w:rsidRPr="00A22E80">
        <w:rPr>
          <w:rFonts w:ascii="Verdana" w:hAnsi="Verdana"/>
          <w:sz w:val="18"/>
          <w:szCs w:val="18"/>
        </w:rPr>
        <w:t>overboekingsopdrachten</w:t>
      </w:r>
      <w:proofErr w:type="spellEnd"/>
      <w:r w:rsidR="007334AB" w:rsidRPr="00A22E80">
        <w:rPr>
          <w:rFonts w:ascii="Verdana" w:hAnsi="Verdana"/>
          <w:sz w:val="18"/>
          <w:szCs w:val="18"/>
        </w:rPr>
        <w:t xml:space="preserve"> die in een aangewezen of aangemeld systeem zijn ingevoerd, een onherroepelijk en definitief karakter wordt gegeven, ook ingeval tegen een binnen- of buitenlandse deelnemer aan een dergelijk systeem een insolventieprocedure wordt geopend. De </w:t>
      </w:r>
      <w:proofErr w:type="spellStart"/>
      <w:r w:rsidR="007334AB" w:rsidRPr="00A22E80">
        <w:rPr>
          <w:rFonts w:ascii="Verdana" w:hAnsi="Verdana"/>
          <w:sz w:val="18"/>
          <w:szCs w:val="18"/>
        </w:rPr>
        <w:t>Finaliteitsrichtlijn</w:t>
      </w:r>
      <w:proofErr w:type="spellEnd"/>
      <w:r w:rsidR="007334AB" w:rsidRPr="00A22E80">
        <w:rPr>
          <w:rFonts w:ascii="Verdana" w:hAnsi="Verdana"/>
          <w:sz w:val="18"/>
          <w:szCs w:val="18"/>
        </w:rPr>
        <w:t xml:space="preserve"> strekt ertoe een categorie van systemen tot stand te brengen die de door de richtlijn geboden bescherming genieten, met name die welke onde</w:t>
      </w:r>
      <w:r w:rsidR="007A5CA2" w:rsidRPr="00A22E80">
        <w:rPr>
          <w:rFonts w:ascii="Verdana" w:hAnsi="Verdana"/>
          <w:sz w:val="18"/>
          <w:szCs w:val="18"/>
        </w:rPr>
        <w:t>r de functionele definitie van “</w:t>
      </w:r>
      <w:r w:rsidR="007334AB" w:rsidRPr="00A22E80">
        <w:rPr>
          <w:rFonts w:ascii="Verdana" w:hAnsi="Verdana"/>
          <w:sz w:val="18"/>
          <w:szCs w:val="18"/>
        </w:rPr>
        <w:t>een systeem</w:t>
      </w:r>
      <w:r w:rsidR="007A5CA2" w:rsidRPr="00A22E80">
        <w:rPr>
          <w:rFonts w:ascii="Verdana" w:hAnsi="Verdana"/>
          <w:sz w:val="18"/>
          <w:szCs w:val="18"/>
        </w:rPr>
        <w:t xml:space="preserve">” </w:t>
      </w:r>
      <w:r w:rsidR="00F020C1" w:rsidRPr="00A22E80">
        <w:rPr>
          <w:rFonts w:ascii="Verdana" w:hAnsi="Verdana"/>
          <w:sz w:val="18"/>
          <w:szCs w:val="18"/>
        </w:rPr>
        <w:t>vallen, en als zodanig door de m</w:t>
      </w:r>
      <w:r w:rsidR="007334AB" w:rsidRPr="00A22E80">
        <w:rPr>
          <w:rFonts w:ascii="Verdana" w:hAnsi="Verdana"/>
          <w:sz w:val="18"/>
          <w:szCs w:val="18"/>
        </w:rPr>
        <w:t>inister van Financiën zijn aangewezen</w:t>
      </w:r>
      <w:r w:rsidR="007A5CA2" w:rsidRPr="00A22E80">
        <w:rPr>
          <w:rFonts w:ascii="Verdana" w:hAnsi="Verdana"/>
          <w:sz w:val="18"/>
          <w:szCs w:val="18"/>
        </w:rPr>
        <w:t>.</w:t>
      </w:r>
    </w:p>
    <w:p w:rsidR="00C120CB" w:rsidRPr="00A22E80" w:rsidRDefault="00C120CB" w:rsidP="00A22E80">
      <w:pPr>
        <w:spacing w:line="260" w:lineRule="exact"/>
        <w:contextualSpacing/>
        <w:rPr>
          <w:rFonts w:ascii="Verdana" w:hAnsi="Verdana"/>
          <w:sz w:val="18"/>
          <w:szCs w:val="18"/>
        </w:rPr>
      </w:pPr>
    </w:p>
    <w:p w:rsidR="007334AB" w:rsidRPr="00A22E80" w:rsidRDefault="007334AB" w:rsidP="00A22E80">
      <w:pPr>
        <w:spacing w:line="260" w:lineRule="exact"/>
        <w:contextualSpacing/>
        <w:rPr>
          <w:rFonts w:ascii="Verdana" w:hAnsi="Verdana"/>
          <w:sz w:val="18"/>
          <w:szCs w:val="18"/>
        </w:rPr>
      </w:pPr>
      <w:r w:rsidRPr="00A22E80">
        <w:rPr>
          <w:rFonts w:ascii="Verdana" w:hAnsi="Verdana"/>
          <w:sz w:val="18"/>
          <w:szCs w:val="18"/>
        </w:rPr>
        <w:t xml:space="preserve">Bij de herziening van de </w:t>
      </w:r>
      <w:proofErr w:type="spellStart"/>
      <w:r w:rsidRPr="00A22E80">
        <w:rPr>
          <w:rFonts w:ascii="Verdana" w:hAnsi="Verdana"/>
          <w:sz w:val="18"/>
          <w:szCs w:val="18"/>
        </w:rPr>
        <w:t>Finaliteitsrichtlijn</w:t>
      </w:r>
      <w:proofErr w:type="spellEnd"/>
      <w:r w:rsidRPr="00A22E80">
        <w:rPr>
          <w:rFonts w:ascii="Verdana" w:hAnsi="Verdana"/>
          <w:sz w:val="18"/>
          <w:szCs w:val="18"/>
        </w:rPr>
        <w:t xml:space="preserve"> zijn de verantwoordelijkheden van de systeemexploitant duidelijker vastgelegd.</w:t>
      </w:r>
      <w:r w:rsidR="00CA1745" w:rsidRPr="00A22E80">
        <w:rPr>
          <w:rFonts w:ascii="Verdana" w:hAnsi="Verdana"/>
          <w:sz w:val="18"/>
          <w:szCs w:val="18"/>
        </w:rPr>
        <w:t xml:space="preserve"> In de wet t</w:t>
      </w:r>
      <w:r w:rsidRPr="00A22E80">
        <w:rPr>
          <w:rFonts w:ascii="Verdana" w:hAnsi="Verdana"/>
          <w:sz w:val="18"/>
          <w:szCs w:val="18"/>
        </w:rPr>
        <w:t>er implementatie van de herziening</w:t>
      </w:r>
      <w:r w:rsidR="00CA1745" w:rsidRPr="00A22E80">
        <w:rPr>
          <w:rFonts w:ascii="Verdana" w:hAnsi="Verdana"/>
          <w:sz w:val="18"/>
          <w:szCs w:val="18"/>
        </w:rPr>
        <w:t>srichtlijn</w:t>
      </w:r>
      <w:r w:rsidR="00CA1745" w:rsidRPr="00A22E80">
        <w:rPr>
          <w:rStyle w:val="Voetnootmarkering"/>
          <w:rFonts w:ascii="Verdana" w:hAnsi="Verdana"/>
          <w:sz w:val="18"/>
          <w:szCs w:val="18"/>
        </w:rPr>
        <w:footnoteReference w:id="10"/>
      </w:r>
      <w:r w:rsidR="00CA1745" w:rsidRPr="00A22E80">
        <w:rPr>
          <w:rFonts w:ascii="Verdana" w:hAnsi="Verdana"/>
          <w:sz w:val="18"/>
          <w:szCs w:val="18"/>
        </w:rPr>
        <w:t xml:space="preserve"> </w:t>
      </w:r>
      <w:r w:rsidRPr="00A22E80">
        <w:rPr>
          <w:rFonts w:ascii="Verdana" w:hAnsi="Verdana"/>
          <w:sz w:val="18"/>
          <w:szCs w:val="18"/>
        </w:rPr>
        <w:t xml:space="preserve">is </w:t>
      </w:r>
      <w:r w:rsidR="00CA1745" w:rsidRPr="00A22E80">
        <w:rPr>
          <w:rFonts w:ascii="Verdana" w:hAnsi="Verdana"/>
          <w:sz w:val="18"/>
          <w:szCs w:val="18"/>
        </w:rPr>
        <w:t>bepaald dat de Minister van Financiën ook systeemexploitanten kan aanwijzen: zie artikelen 212a, onderdeel q, en 212d, eerste lid, laatste volzin, van de Faillissementswet</w:t>
      </w:r>
      <w:r w:rsidR="00066AE4" w:rsidRPr="00A22E80">
        <w:rPr>
          <w:rFonts w:ascii="Verdana" w:hAnsi="Verdana"/>
          <w:sz w:val="18"/>
          <w:szCs w:val="18"/>
        </w:rPr>
        <w:t xml:space="preserve"> (</w:t>
      </w:r>
      <w:proofErr w:type="spellStart"/>
      <w:r w:rsidR="00066AE4" w:rsidRPr="00A22E80">
        <w:rPr>
          <w:rFonts w:ascii="Verdana" w:hAnsi="Verdana"/>
          <w:sz w:val="18"/>
          <w:szCs w:val="18"/>
        </w:rPr>
        <w:t>Fw</w:t>
      </w:r>
      <w:proofErr w:type="spellEnd"/>
      <w:r w:rsidR="00066AE4" w:rsidRPr="00A22E80">
        <w:rPr>
          <w:rFonts w:ascii="Verdana" w:hAnsi="Verdana"/>
          <w:sz w:val="18"/>
          <w:szCs w:val="18"/>
        </w:rPr>
        <w:t>)</w:t>
      </w:r>
      <w:r w:rsidRPr="00A22E80">
        <w:rPr>
          <w:rFonts w:ascii="Verdana" w:hAnsi="Verdana"/>
          <w:sz w:val="18"/>
          <w:szCs w:val="18"/>
        </w:rPr>
        <w:t>.</w:t>
      </w:r>
      <w:r w:rsidR="007A5CA2" w:rsidRPr="00A22E80">
        <w:rPr>
          <w:rFonts w:ascii="Verdana" w:hAnsi="Verdana"/>
          <w:sz w:val="18"/>
          <w:szCs w:val="18"/>
        </w:rPr>
        <w:t xml:space="preserve"> </w:t>
      </w:r>
      <w:r w:rsidRPr="00A22E80">
        <w:rPr>
          <w:rFonts w:ascii="Verdana" w:hAnsi="Verdana"/>
          <w:sz w:val="18"/>
          <w:szCs w:val="18"/>
        </w:rPr>
        <w:t>Bij nader inzien is deze laatste aanwijzingsbevoegdheid minder juist.</w:t>
      </w:r>
      <w:r w:rsidRPr="00A22E80" w:rsidDel="00606D74">
        <w:rPr>
          <w:rStyle w:val="Voetnootmarkering"/>
          <w:rFonts w:ascii="Verdana" w:hAnsi="Verdana"/>
          <w:sz w:val="18"/>
          <w:szCs w:val="18"/>
        </w:rPr>
        <w:t xml:space="preserve"> </w:t>
      </w:r>
      <w:r w:rsidRPr="00A22E80">
        <w:rPr>
          <w:rFonts w:ascii="Verdana" w:hAnsi="Verdana"/>
          <w:sz w:val="18"/>
          <w:szCs w:val="18"/>
        </w:rPr>
        <w:t xml:space="preserve">De </w:t>
      </w:r>
      <w:proofErr w:type="spellStart"/>
      <w:r w:rsidRPr="00A22E80">
        <w:rPr>
          <w:rFonts w:ascii="Verdana" w:hAnsi="Verdana"/>
          <w:sz w:val="18"/>
          <w:szCs w:val="18"/>
        </w:rPr>
        <w:t>Finaliteitsrichtlijn</w:t>
      </w:r>
      <w:proofErr w:type="spellEnd"/>
      <w:r w:rsidRPr="00A22E80">
        <w:rPr>
          <w:rFonts w:ascii="Verdana" w:hAnsi="Verdana"/>
          <w:sz w:val="18"/>
          <w:szCs w:val="18"/>
        </w:rPr>
        <w:t xml:space="preserve"> definieert “systeemexploitant” als de “entiteit of entiteiten die wettelijk </w:t>
      </w:r>
      <w:r w:rsidRPr="00A22E80">
        <w:rPr>
          <w:rFonts w:ascii="Verdana" w:hAnsi="Verdana"/>
          <w:sz w:val="18"/>
          <w:szCs w:val="18"/>
        </w:rPr>
        <w:lastRenderedPageBreak/>
        <w:t>aansprakelijk zijn voor de werking van een systeem”, zonder dat de richtlijn de mogelijkheid biedt da</w:t>
      </w:r>
      <w:r w:rsidR="00C130EE" w:rsidRPr="00A22E80">
        <w:rPr>
          <w:rFonts w:ascii="Verdana" w:hAnsi="Verdana"/>
          <w:sz w:val="18"/>
          <w:szCs w:val="18"/>
        </w:rPr>
        <w:t>t een l</w:t>
      </w:r>
      <w:r w:rsidRPr="00A22E80">
        <w:rPr>
          <w:rFonts w:ascii="Verdana" w:hAnsi="Verdana"/>
          <w:sz w:val="18"/>
          <w:szCs w:val="18"/>
        </w:rPr>
        <w:t xml:space="preserve">idstaat een systeemexploitant aanwijst. Een </w:t>
      </w:r>
      <w:r w:rsidR="007A5CA2" w:rsidRPr="00A22E80">
        <w:rPr>
          <w:rFonts w:ascii="Verdana" w:hAnsi="Verdana"/>
          <w:sz w:val="18"/>
          <w:szCs w:val="18"/>
        </w:rPr>
        <w:t>l</w:t>
      </w:r>
      <w:r w:rsidRPr="00A22E80">
        <w:rPr>
          <w:rFonts w:ascii="Verdana" w:hAnsi="Verdana"/>
          <w:sz w:val="18"/>
          <w:szCs w:val="18"/>
        </w:rPr>
        <w:t xml:space="preserve">idstaat kan een systeem aanwijzen, en </w:t>
      </w:r>
      <w:r w:rsidR="00CA1745" w:rsidRPr="00A22E80">
        <w:rPr>
          <w:rFonts w:ascii="Verdana" w:hAnsi="Verdana"/>
          <w:sz w:val="18"/>
          <w:szCs w:val="18"/>
        </w:rPr>
        <w:t xml:space="preserve">uit de verantwoordelijkheid voor het systeem volgt </w:t>
      </w:r>
      <w:r w:rsidRPr="00A22E80">
        <w:rPr>
          <w:rFonts w:ascii="Verdana" w:hAnsi="Verdana"/>
          <w:sz w:val="18"/>
          <w:szCs w:val="18"/>
        </w:rPr>
        <w:t>wie de systeemexploitant is.</w:t>
      </w:r>
    </w:p>
    <w:p w:rsidR="00C120CB" w:rsidRPr="00A22E80" w:rsidRDefault="00C120CB" w:rsidP="00A22E80">
      <w:pPr>
        <w:spacing w:line="260" w:lineRule="exact"/>
        <w:contextualSpacing/>
        <w:rPr>
          <w:rFonts w:ascii="Verdana" w:hAnsi="Verdana"/>
          <w:sz w:val="18"/>
          <w:szCs w:val="18"/>
        </w:rPr>
      </w:pPr>
    </w:p>
    <w:p w:rsidR="007334AB" w:rsidRPr="00A22E80" w:rsidRDefault="007334AB" w:rsidP="00A22E80">
      <w:pPr>
        <w:spacing w:line="260" w:lineRule="exact"/>
        <w:contextualSpacing/>
        <w:rPr>
          <w:rFonts w:ascii="Verdana" w:hAnsi="Verdana"/>
          <w:sz w:val="18"/>
          <w:szCs w:val="18"/>
        </w:rPr>
      </w:pPr>
      <w:r w:rsidRPr="00A22E80">
        <w:rPr>
          <w:rFonts w:ascii="Verdana" w:hAnsi="Verdana"/>
          <w:sz w:val="18"/>
          <w:szCs w:val="18"/>
        </w:rPr>
        <w:t xml:space="preserve">De tekst van de artikelen 212a, onderdeel q en 212d, eerste lid, laatste volzin, </w:t>
      </w:r>
      <w:r w:rsidR="00066AE4" w:rsidRPr="00A22E80">
        <w:rPr>
          <w:rFonts w:ascii="Verdana" w:hAnsi="Verdana"/>
          <w:sz w:val="18"/>
          <w:szCs w:val="18"/>
        </w:rPr>
        <w:t xml:space="preserve">van de Faillissementswet </w:t>
      </w:r>
      <w:r w:rsidRPr="00A22E80">
        <w:rPr>
          <w:rFonts w:ascii="Verdana" w:hAnsi="Verdana"/>
          <w:sz w:val="18"/>
          <w:szCs w:val="18"/>
        </w:rPr>
        <w:t>worden in overeenstemming gebracht met de richtlijn. In dit verband wordt erop gewezen dat “wette</w:t>
      </w:r>
      <w:r w:rsidR="00066AE4" w:rsidRPr="00A22E80">
        <w:rPr>
          <w:rFonts w:ascii="Verdana" w:hAnsi="Verdana"/>
          <w:sz w:val="18"/>
          <w:szCs w:val="18"/>
        </w:rPr>
        <w:t>lijk aansprakelijk” in ruim</w:t>
      </w:r>
      <w:r w:rsidRPr="00A22E80">
        <w:rPr>
          <w:rFonts w:ascii="Verdana" w:hAnsi="Verdana"/>
          <w:sz w:val="18"/>
          <w:szCs w:val="18"/>
        </w:rPr>
        <w:t xml:space="preserve">e zin </w:t>
      </w:r>
      <w:r w:rsidR="00066AE4" w:rsidRPr="00A22E80">
        <w:rPr>
          <w:rFonts w:ascii="Verdana" w:hAnsi="Verdana"/>
          <w:sz w:val="18"/>
          <w:szCs w:val="18"/>
        </w:rPr>
        <w:t xml:space="preserve">moet </w:t>
      </w:r>
      <w:r w:rsidRPr="00A22E80">
        <w:rPr>
          <w:rFonts w:ascii="Verdana" w:hAnsi="Verdana"/>
          <w:sz w:val="18"/>
          <w:szCs w:val="18"/>
        </w:rPr>
        <w:t xml:space="preserve">worden opgevat. Vergelijk in dit verband artikel 6:1 van </w:t>
      </w:r>
      <w:r w:rsidR="00066AE4" w:rsidRPr="00A22E80">
        <w:rPr>
          <w:rFonts w:ascii="Verdana" w:hAnsi="Verdana"/>
          <w:sz w:val="18"/>
          <w:szCs w:val="18"/>
        </w:rPr>
        <w:t xml:space="preserve">het </w:t>
      </w:r>
      <w:r w:rsidRPr="00A22E80">
        <w:rPr>
          <w:rFonts w:ascii="Verdana" w:hAnsi="Verdana"/>
          <w:sz w:val="18"/>
          <w:szCs w:val="18"/>
        </w:rPr>
        <w:t xml:space="preserve">Burgerlijk Wetboek, waarin is bepaald dat verbintenissen slechts kunnen ontstaan indien dit uit de wet voortvloeit. Dat artikel wordt zo uitgelegd, dat voldoende is dat het ontstaan van de verbintenis op enigerlei wijze is terug te voeren op de wet, zodat als ontstaansbronnen van verbintenissen niet alleen de wet zelf (onrechtmatige daad, </w:t>
      </w:r>
      <w:r w:rsidR="00B26664" w:rsidRPr="00A22E80">
        <w:rPr>
          <w:rFonts w:ascii="Verdana" w:hAnsi="Verdana"/>
          <w:sz w:val="18"/>
          <w:szCs w:val="18"/>
        </w:rPr>
        <w:t xml:space="preserve">wanprestatie, </w:t>
      </w:r>
      <w:r w:rsidRPr="00A22E80">
        <w:rPr>
          <w:rFonts w:ascii="Verdana" w:hAnsi="Verdana"/>
          <w:sz w:val="18"/>
          <w:szCs w:val="18"/>
        </w:rPr>
        <w:t xml:space="preserve">zaakwaarneming, </w:t>
      </w:r>
      <w:r w:rsidR="00B26664" w:rsidRPr="00A22E80">
        <w:rPr>
          <w:rFonts w:ascii="Verdana" w:hAnsi="Verdana"/>
          <w:sz w:val="18"/>
          <w:szCs w:val="18"/>
        </w:rPr>
        <w:t xml:space="preserve">ongerechtvaardigde verrijking, </w:t>
      </w:r>
      <w:r w:rsidRPr="00A22E80">
        <w:rPr>
          <w:rFonts w:ascii="Verdana" w:hAnsi="Verdana"/>
          <w:sz w:val="18"/>
          <w:szCs w:val="18"/>
        </w:rPr>
        <w:t>onverschuldigde betaling</w:t>
      </w:r>
      <w:r w:rsidR="007A5CA2" w:rsidRPr="00A22E80">
        <w:rPr>
          <w:rFonts w:ascii="Verdana" w:hAnsi="Verdana"/>
          <w:sz w:val="18"/>
          <w:szCs w:val="18"/>
        </w:rPr>
        <w:t>,</w:t>
      </w:r>
      <w:r w:rsidRPr="00A22E80">
        <w:rPr>
          <w:rFonts w:ascii="Verdana" w:hAnsi="Verdana"/>
          <w:sz w:val="18"/>
          <w:szCs w:val="18"/>
        </w:rPr>
        <w:t xml:space="preserve"> enz</w:t>
      </w:r>
      <w:r w:rsidR="007A5CA2" w:rsidRPr="00A22E80">
        <w:rPr>
          <w:rFonts w:ascii="Verdana" w:hAnsi="Verdana"/>
          <w:sz w:val="18"/>
          <w:szCs w:val="18"/>
        </w:rPr>
        <w:t>ovoort</w:t>
      </w:r>
      <w:r w:rsidRPr="00A22E80">
        <w:rPr>
          <w:rFonts w:ascii="Verdana" w:hAnsi="Verdana"/>
          <w:sz w:val="18"/>
          <w:szCs w:val="18"/>
        </w:rPr>
        <w:t xml:space="preserve">) wordt aangemerkt, maar ook bronnen </w:t>
      </w:r>
      <w:r w:rsidR="00A20AE3" w:rsidRPr="00A22E80">
        <w:rPr>
          <w:rFonts w:ascii="Verdana" w:hAnsi="Verdana"/>
          <w:sz w:val="18"/>
          <w:szCs w:val="18"/>
        </w:rPr>
        <w:t>van ongeschreven recht, mits deze een rechtens afdwingbare verbintenis in het leven roepen.</w:t>
      </w:r>
    </w:p>
    <w:p w:rsidR="008C74C5" w:rsidRPr="00A22E80" w:rsidRDefault="008C74C5" w:rsidP="00A22E80">
      <w:pPr>
        <w:spacing w:line="260" w:lineRule="exact"/>
        <w:contextualSpacing/>
        <w:rPr>
          <w:rFonts w:ascii="Verdana" w:hAnsi="Verdana"/>
          <w:sz w:val="18"/>
          <w:szCs w:val="18"/>
        </w:rPr>
      </w:pPr>
    </w:p>
    <w:p w:rsidR="008C74C5" w:rsidRPr="00A22E80" w:rsidRDefault="008C74C5" w:rsidP="00A22E80">
      <w:pPr>
        <w:spacing w:line="260" w:lineRule="exact"/>
        <w:contextualSpacing/>
        <w:rPr>
          <w:rFonts w:ascii="Verdana" w:hAnsi="Verdana"/>
          <w:sz w:val="18"/>
          <w:szCs w:val="18"/>
        </w:rPr>
      </w:pPr>
      <w:r w:rsidRPr="00A22E80">
        <w:rPr>
          <w:rFonts w:ascii="Verdana" w:hAnsi="Verdana"/>
          <w:sz w:val="18"/>
          <w:szCs w:val="18"/>
        </w:rPr>
        <w:t>C</w:t>
      </w:r>
    </w:p>
    <w:p w:rsidR="008C74C5" w:rsidRPr="00A22E80" w:rsidRDefault="008C74C5" w:rsidP="00A22E80">
      <w:pPr>
        <w:spacing w:line="260" w:lineRule="exact"/>
        <w:contextualSpacing/>
        <w:rPr>
          <w:rFonts w:ascii="Verdana" w:hAnsi="Verdana"/>
          <w:sz w:val="18"/>
          <w:szCs w:val="18"/>
        </w:rPr>
      </w:pPr>
    </w:p>
    <w:p w:rsidR="00817EF1" w:rsidRPr="00A22E80" w:rsidRDefault="00817EF1" w:rsidP="00A22E80">
      <w:pPr>
        <w:widowControl w:val="0"/>
        <w:spacing w:line="260" w:lineRule="exact"/>
        <w:rPr>
          <w:rFonts w:ascii="Verdana" w:hAnsi="Verdana"/>
          <w:sz w:val="18"/>
          <w:szCs w:val="18"/>
        </w:rPr>
      </w:pPr>
      <w:r w:rsidRPr="00A22E80">
        <w:rPr>
          <w:rFonts w:ascii="Verdana" w:hAnsi="Verdana"/>
          <w:sz w:val="18"/>
          <w:szCs w:val="18"/>
        </w:rPr>
        <w:t>De opgenomen wijziging houdt verband met de richtlijn herstel en afwikkeling van banken en beleggingsondernemingen. Artikel 117 van die richtlijn wijzigt de definitie van “lidstaat van herkomst” in de richtlijn sanering en liquidatie kredietinstellingen.</w:t>
      </w:r>
      <w:r w:rsidRPr="00A22E80">
        <w:rPr>
          <w:rStyle w:val="Voetnootmarkering"/>
          <w:rFonts w:ascii="Verdana" w:hAnsi="Verdana"/>
          <w:sz w:val="18"/>
          <w:szCs w:val="18"/>
        </w:rPr>
        <w:footnoteReference w:id="11"/>
      </w:r>
      <w:r w:rsidRPr="00A22E80">
        <w:rPr>
          <w:rFonts w:ascii="Verdana" w:hAnsi="Verdana"/>
          <w:sz w:val="18"/>
          <w:szCs w:val="18"/>
        </w:rPr>
        <w:t xml:space="preserve"> </w:t>
      </w:r>
      <w:r w:rsidR="00642FA7" w:rsidRPr="00A22E80">
        <w:rPr>
          <w:rFonts w:ascii="Verdana" w:hAnsi="Verdana"/>
          <w:sz w:val="18"/>
          <w:szCs w:val="18"/>
        </w:rPr>
        <w:t xml:space="preserve">De definitie </w:t>
      </w:r>
      <w:r w:rsidRPr="00A22E80">
        <w:rPr>
          <w:rFonts w:ascii="Verdana" w:hAnsi="Verdana"/>
          <w:sz w:val="18"/>
          <w:szCs w:val="18"/>
        </w:rPr>
        <w:t xml:space="preserve">in de Faillissementswet </w:t>
      </w:r>
      <w:r w:rsidR="00642FA7" w:rsidRPr="00A22E80">
        <w:rPr>
          <w:rFonts w:ascii="Verdana" w:hAnsi="Verdana"/>
          <w:sz w:val="18"/>
          <w:szCs w:val="18"/>
        </w:rPr>
        <w:t xml:space="preserve">wordt </w:t>
      </w:r>
      <w:r w:rsidRPr="00A22E80">
        <w:rPr>
          <w:rFonts w:ascii="Verdana" w:hAnsi="Verdana"/>
          <w:sz w:val="18"/>
          <w:szCs w:val="18"/>
        </w:rPr>
        <w:t xml:space="preserve">dienovereenkomstig </w:t>
      </w:r>
      <w:r w:rsidR="00642FA7" w:rsidRPr="00A22E80">
        <w:rPr>
          <w:rFonts w:ascii="Verdana" w:hAnsi="Verdana"/>
          <w:sz w:val="18"/>
          <w:szCs w:val="18"/>
        </w:rPr>
        <w:t>aangepast</w:t>
      </w:r>
      <w:r w:rsidRPr="00A22E80">
        <w:rPr>
          <w:rFonts w:ascii="Verdana" w:hAnsi="Verdana"/>
          <w:sz w:val="18"/>
          <w:szCs w:val="18"/>
        </w:rPr>
        <w:t xml:space="preserve">: </w:t>
      </w:r>
      <w:r w:rsidR="00642FA7" w:rsidRPr="00A22E80">
        <w:rPr>
          <w:rFonts w:ascii="Verdana" w:hAnsi="Verdana"/>
          <w:sz w:val="18"/>
          <w:szCs w:val="18"/>
        </w:rPr>
        <w:t>niet langer wordt verwezen naar de plaats van de zetel of het hoofdbestuur, maar naar de lidstaat waar de vergunning is verleend.</w:t>
      </w:r>
    </w:p>
    <w:p w:rsidR="001B1225" w:rsidRPr="00A22E80" w:rsidRDefault="001B1225" w:rsidP="00A22E80">
      <w:pPr>
        <w:widowControl w:val="0"/>
        <w:spacing w:line="260" w:lineRule="exact"/>
        <w:rPr>
          <w:rFonts w:ascii="Verdana" w:hAnsi="Verdana"/>
          <w:sz w:val="18"/>
          <w:szCs w:val="18"/>
        </w:rPr>
      </w:pPr>
    </w:p>
    <w:p w:rsidR="00642FA7" w:rsidRPr="00A22E80" w:rsidRDefault="00642FA7" w:rsidP="00A22E80">
      <w:pPr>
        <w:widowControl w:val="0"/>
        <w:spacing w:line="260" w:lineRule="exact"/>
        <w:rPr>
          <w:rFonts w:ascii="Verdana" w:hAnsi="Verdana"/>
          <w:sz w:val="18"/>
          <w:szCs w:val="18"/>
        </w:rPr>
      </w:pPr>
      <w:r w:rsidRPr="00A22E80">
        <w:rPr>
          <w:rFonts w:ascii="Verdana" w:hAnsi="Verdana"/>
          <w:sz w:val="18"/>
          <w:szCs w:val="18"/>
        </w:rPr>
        <w:t xml:space="preserve">Voorts wordt de definitie van “toezichthoudende autoriteit” vervangen door een definitie van “bevoegde autoriteit”. Daaronder valt </w:t>
      </w:r>
      <w:r w:rsidR="00817EF1" w:rsidRPr="00A22E80">
        <w:rPr>
          <w:rFonts w:ascii="Verdana" w:hAnsi="Verdana"/>
          <w:sz w:val="18"/>
          <w:szCs w:val="18"/>
        </w:rPr>
        <w:t xml:space="preserve">met de richtlijn herstel en afwikkeling van banken en beleggingsondernemingen </w:t>
      </w:r>
      <w:r w:rsidRPr="00A22E80">
        <w:rPr>
          <w:rFonts w:ascii="Verdana" w:hAnsi="Verdana"/>
          <w:sz w:val="18"/>
          <w:szCs w:val="18"/>
        </w:rPr>
        <w:t>ook de afwikkelingsautoriteit.</w:t>
      </w:r>
    </w:p>
    <w:p w:rsidR="00EF1D0F" w:rsidRPr="00A22E80" w:rsidRDefault="00EF1D0F" w:rsidP="00A22E80">
      <w:pPr>
        <w:widowControl w:val="0"/>
        <w:spacing w:line="260" w:lineRule="exact"/>
        <w:rPr>
          <w:rFonts w:ascii="Verdana" w:hAnsi="Verdana"/>
          <w:sz w:val="18"/>
          <w:szCs w:val="18"/>
        </w:rPr>
      </w:pPr>
    </w:p>
    <w:p w:rsidR="00EF1D0F" w:rsidRPr="00A22E80" w:rsidRDefault="0084407F" w:rsidP="00A22E80">
      <w:pPr>
        <w:widowControl w:val="0"/>
        <w:spacing w:line="260" w:lineRule="exact"/>
        <w:rPr>
          <w:rFonts w:ascii="Verdana" w:hAnsi="Verdana"/>
          <w:sz w:val="18"/>
          <w:szCs w:val="18"/>
        </w:rPr>
      </w:pPr>
      <w:r w:rsidRPr="00A22E80">
        <w:rPr>
          <w:rFonts w:ascii="Verdana" w:hAnsi="Verdana"/>
          <w:sz w:val="18"/>
          <w:szCs w:val="18"/>
        </w:rPr>
        <w:t>D</w:t>
      </w:r>
      <w:r w:rsidR="00FE66DA" w:rsidRPr="00A22E80">
        <w:rPr>
          <w:rFonts w:ascii="Verdana" w:hAnsi="Verdana"/>
          <w:sz w:val="18"/>
          <w:szCs w:val="18"/>
        </w:rPr>
        <w:t xml:space="preserve"> en </w:t>
      </w:r>
      <w:r w:rsidR="001B0DB6" w:rsidRPr="00A22E80">
        <w:rPr>
          <w:rFonts w:ascii="Verdana" w:hAnsi="Verdana"/>
          <w:sz w:val="18"/>
          <w:szCs w:val="18"/>
        </w:rPr>
        <w:t>E</w:t>
      </w:r>
    </w:p>
    <w:p w:rsidR="009E416F" w:rsidRPr="00A22E80" w:rsidRDefault="009E416F" w:rsidP="00A22E80">
      <w:pPr>
        <w:widowControl w:val="0"/>
        <w:spacing w:line="260" w:lineRule="exact"/>
        <w:rPr>
          <w:rFonts w:ascii="Verdana" w:hAnsi="Verdana"/>
          <w:sz w:val="18"/>
          <w:szCs w:val="18"/>
        </w:rPr>
      </w:pPr>
    </w:p>
    <w:p w:rsidR="00C17700" w:rsidRPr="00A22E80" w:rsidRDefault="00C17700" w:rsidP="00A22E80">
      <w:pPr>
        <w:widowControl w:val="0"/>
        <w:spacing w:line="260" w:lineRule="exact"/>
        <w:rPr>
          <w:rFonts w:ascii="Verdana" w:hAnsi="Verdana"/>
          <w:sz w:val="18"/>
          <w:szCs w:val="18"/>
        </w:rPr>
      </w:pPr>
      <w:r w:rsidRPr="00A22E80">
        <w:rPr>
          <w:rFonts w:ascii="Verdana" w:hAnsi="Verdana"/>
          <w:sz w:val="18"/>
          <w:szCs w:val="18"/>
        </w:rPr>
        <w:t>In het verlengde van de vervanging van de definitie van “toezichthoudende autoritei</w:t>
      </w:r>
      <w:r w:rsidR="00066AE4" w:rsidRPr="00A22E80">
        <w:rPr>
          <w:rFonts w:ascii="Verdana" w:hAnsi="Verdana"/>
          <w:sz w:val="18"/>
          <w:szCs w:val="18"/>
        </w:rPr>
        <w:t>t” door “bevoegde autoriteit” zijn</w:t>
      </w:r>
      <w:r w:rsidRPr="00A22E80">
        <w:rPr>
          <w:rFonts w:ascii="Verdana" w:hAnsi="Verdana"/>
          <w:sz w:val="18"/>
          <w:szCs w:val="18"/>
        </w:rPr>
        <w:t xml:space="preserve"> in de artikelen 212hd, 212j, onderdelen a en b, en 212n, en 212mm </w:t>
      </w:r>
      <w:proofErr w:type="spellStart"/>
      <w:r w:rsidR="00066AE4" w:rsidRPr="00A22E80">
        <w:rPr>
          <w:rFonts w:ascii="Verdana" w:hAnsi="Verdana"/>
          <w:sz w:val="18"/>
          <w:szCs w:val="18"/>
        </w:rPr>
        <w:t>Fw</w:t>
      </w:r>
      <w:proofErr w:type="spellEnd"/>
      <w:r w:rsidR="00066AE4" w:rsidRPr="00A22E80">
        <w:rPr>
          <w:rFonts w:ascii="Verdana" w:hAnsi="Verdana"/>
          <w:sz w:val="18"/>
          <w:szCs w:val="18"/>
        </w:rPr>
        <w:t xml:space="preserve"> </w:t>
      </w:r>
      <w:r w:rsidRPr="00A22E80">
        <w:rPr>
          <w:rFonts w:ascii="Verdana" w:hAnsi="Verdana"/>
          <w:sz w:val="18"/>
          <w:szCs w:val="18"/>
        </w:rPr>
        <w:t>de term</w:t>
      </w:r>
      <w:r w:rsidR="00066AE4" w:rsidRPr="00A22E80">
        <w:rPr>
          <w:rFonts w:ascii="Verdana" w:hAnsi="Verdana"/>
          <w:sz w:val="18"/>
          <w:szCs w:val="18"/>
        </w:rPr>
        <w:t>en</w:t>
      </w:r>
      <w:r w:rsidRPr="00A22E80">
        <w:rPr>
          <w:rFonts w:ascii="Verdana" w:hAnsi="Verdana"/>
          <w:sz w:val="18"/>
          <w:szCs w:val="18"/>
        </w:rPr>
        <w:t xml:space="preserve"> “toezichthoudende autoriteiten”</w:t>
      </w:r>
      <w:r w:rsidR="00066AE4" w:rsidRPr="00A22E80">
        <w:rPr>
          <w:rFonts w:ascii="Verdana" w:hAnsi="Verdana"/>
          <w:sz w:val="18"/>
          <w:szCs w:val="18"/>
        </w:rPr>
        <w:t xml:space="preserve"> en “toezichthoudende instanties” vervangen</w:t>
      </w:r>
      <w:r w:rsidRPr="00A22E80">
        <w:rPr>
          <w:rFonts w:ascii="Verdana" w:hAnsi="Verdana"/>
          <w:sz w:val="18"/>
          <w:szCs w:val="18"/>
        </w:rPr>
        <w:t>.</w:t>
      </w:r>
    </w:p>
    <w:p w:rsidR="00163312" w:rsidRPr="00A22E80" w:rsidRDefault="00163312" w:rsidP="00A22E80">
      <w:pPr>
        <w:widowControl w:val="0"/>
        <w:spacing w:line="260" w:lineRule="exact"/>
        <w:rPr>
          <w:rFonts w:ascii="Verdana" w:hAnsi="Verdana"/>
          <w:sz w:val="18"/>
          <w:szCs w:val="18"/>
        </w:rPr>
      </w:pPr>
    </w:p>
    <w:p w:rsidR="00163312" w:rsidRPr="00A22E80" w:rsidRDefault="001B0DB6" w:rsidP="00A22E80">
      <w:pPr>
        <w:widowControl w:val="0"/>
        <w:spacing w:line="260" w:lineRule="exact"/>
        <w:rPr>
          <w:rFonts w:ascii="Verdana" w:hAnsi="Verdana"/>
          <w:sz w:val="18"/>
          <w:szCs w:val="18"/>
        </w:rPr>
      </w:pPr>
      <w:r w:rsidRPr="00A22E80">
        <w:rPr>
          <w:rFonts w:ascii="Verdana" w:hAnsi="Verdana"/>
          <w:sz w:val="18"/>
          <w:szCs w:val="18"/>
        </w:rPr>
        <w:t>F</w:t>
      </w:r>
    </w:p>
    <w:p w:rsidR="00163312" w:rsidRPr="00A22E80" w:rsidRDefault="00163312" w:rsidP="00A22E80">
      <w:pPr>
        <w:widowControl w:val="0"/>
        <w:spacing w:line="260" w:lineRule="exact"/>
        <w:rPr>
          <w:rFonts w:ascii="Verdana" w:hAnsi="Verdana"/>
          <w:sz w:val="18"/>
          <w:szCs w:val="18"/>
        </w:rPr>
      </w:pPr>
    </w:p>
    <w:p w:rsidR="00654C79" w:rsidRPr="00A22E80" w:rsidRDefault="00654C79" w:rsidP="00A22E80">
      <w:pPr>
        <w:widowControl w:val="0"/>
        <w:spacing w:line="260" w:lineRule="exact"/>
        <w:rPr>
          <w:rFonts w:ascii="Verdana" w:hAnsi="Verdana"/>
          <w:i/>
          <w:sz w:val="18"/>
          <w:szCs w:val="18"/>
          <w:highlight w:val="yellow"/>
        </w:rPr>
      </w:pPr>
      <w:r w:rsidRPr="00A22E80">
        <w:rPr>
          <w:rFonts w:ascii="Verdana" w:hAnsi="Verdana"/>
          <w:sz w:val="18"/>
          <w:szCs w:val="18"/>
        </w:rPr>
        <w:t xml:space="preserve">De </w:t>
      </w:r>
      <w:r w:rsidR="00066AE4" w:rsidRPr="00A22E80">
        <w:rPr>
          <w:rFonts w:ascii="Verdana" w:hAnsi="Verdana"/>
          <w:sz w:val="18"/>
          <w:szCs w:val="18"/>
        </w:rPr>
        <w:t xml:space="preserve">voorgestelde </w:t>
      </w:r>
      <w:r w:rsidRPr="00A22E80">
        <w:rPr>
          <w:rFonts w:ascii="Verdana" w:hAnsi="Verdana"/>
          <w:sz w:val="18"/>
          <w:szCs w:val="18"/>
        </w:rPr>
        <w:t xml:space="preserve">wijziging </w:t>
      </w:r>
      <w:r w:rsidR="0036477E" w:rsidRPr="00A22E80">
        <w:rPr>
          <w:rFonts w:ascii="Verdana" w:hAnsi="Verdana"/>
          <w:sz w:val="18"/>
          <w:szCs w:val="18"/>
        </w:rPr>
        <w:t>van artikel 212ra</w:t>
      </w:r>
      <w:r w:rsidR="00066AE4" w:rsidRPr="00A22E80">
        <w:rPr>
          <w:rFonts w:ascii="Verdana" w:hAnsi="Verdana"/>
          <w:sz w:val="18"/>
          <w:szCs w:val="18"/>
        </w:rPr>
        <w:t>, eerste lid, onderdeel a,</w:t>
      </w:r>
      <w:r w:rsidR="0036477E" w:rsidRPr="00A22E80">
        <w:rPr>
          <w:rFonts w:ascii="Verdana" w:hAnsi="Verdana"/>
          <w:sz w:val="18"/>
          <w:szCs w:val="18"/>
        </w:rPr>
        <w:t xml:space="preserve"> van de Faillissementswet </w:t>
      </w:r>
      <w:r w:rsidRPr="00A22E80">
        <w:rPr>
          <w:rFonts w:ascii="Verdana" w:hAnsi="Verdana"/>
          <w:sz w:val="18"/>
          <w:szCs w:val="18"/>
        </w:rPr>
        <w:t xml:space="preserve">houdt verband met de introductie van het vorderingsrecht dat het Depositogarantiefonds verkrijgt op grond van het voorgestelde artikel 3:265e, vierde lid, van de </w:t>
      </w:r>
      <w:proofErr w:type="spellStart"/>
      <w:r w:rsidRPr="00A22E80">
        <w:rPr>
          <w:rFonts w:ascii="Verdana" w:hAnsi="Verdana"/>
          <w:sz w:val="18"/>
          <w:szCs w:val="18"/>
        </w:rPr>
        <w:t>Wft</w:t>
      </w:r>
      <w:proofErr w:type="spellEnd"/>
      <w:r w:rsidRPr="00A22E80">
        <w:rPr>
          <w:rFonts w:ascii="Verdana" w:hAnsi="Verdana"/>
          <w:sz w:val="18"/>
          <w:szCs w:val="18"/>
        </w:rPr>
        <w:t xml:space="preserve">. Geregeld wordt dat deze vordering in faillissement dezelfde rangorde verkrijgt als vorderingen uit gegarandeerde deposito’s, hetgeen volgt uit artikel 9, tweede lid, van de richtlijn </w:t>
      </w:r>
      <w:proofErr w:type="spellStart"/>
      <w:r w:rsidRPr="00A22E80">
        <w:rPr>
          <w:rFonts w:ascii="Verdana" w:hAnsi="Verdana"/>
          <w:sz w:val="18"/>
          <w:szCs w:val="18"/>
        </w:rPr>
        <w:t>depositogarantiestelsels</w:t>
      </w:r>
      <w:proofErr w:type="spellEnd"/>
      <w:r w:rsidRPr="00A22E80">
        <w:rPr>
          <w:rFonts w:ascii="Verdana" w:hAnsi="Verdana"/>
          <w:sz w:val="18"/>
          <w:szCs w:val="18"/>
        </w:rPr>
        <w:t>.</w:t>
      </w:r>
    </w:p>
    <w:p w:rsidR="008C74C5" w:rsidRPr="00A22E80" w:rsidRDefault="008C74C5" w:rsidP="00A22E80">
      <w:pPr>
        <w:spacing w:line="260" w:lineRule="exact"/>
        <w:contextualSpacing/>
        <w:rPr>
          <w:rFonts w:ascii="Verdana" w:hAnsi="Verdana"/>
          <w:sz w:val="18"/>
          <w:szCs w:val="18"/>
        </w:rPr>
      </w:pPr>
    </w:p>
    <w:p w:rsidR="00A33E49" w:rsidRPr="00A22E80" w:rsidRDefault="007C56C5" w:rsidP="00A22E80">
      <w:pPr>
        <w:spacing w:line="260" w:lineRule="exact"/>
        <w:contextualSpacing/>
        <w:rPr>
          <w:rFonts w:ascii="Verdana" w:hAnsi="Verdana"/>
          <w:sz w:val="18"/>
          <w:szCs w:val="18"/>
        </w:rPr>
      </w:pPr>
      <w:r w:rsidRPr="00A22E80">
        <w:rPr>
          <w:rFonts w:ascii="Verdana" w:hAnsi="Verdana"/>
          <w:sz w:val="18"/>
          <w:szCs w:val="18"/>
        </w:rPr>
        <w:t>G</w:t>
      </w:r>
    </w:p>
    <w:p w:rsidR="00A33E49" w:rsidRPr="00A22E80" w:rsidRDefault="00A33E49" w:rsidP="00A22E80">
      <w:pPr>
        <w:spacing w:line="260" w:lineRule="exact"/>
        <w:contextualSpacing/>
        <w:rPr>
          <w:rFonts w:ascii="Verdana" w:hAnsi="Verdana"/>
          <w:sz w:val="18"/>
          <w:szCs w:val="18"/>
        </w:rPr>
      </w:pPr>
    </w:p>
    <w:p w:rsidR="00A33E49" w:rsidRPr="00A22E80" w:rsidRDefault="000B0870" w:rsidP="00A22E80">
      <w:pPr>
        <w:spacing w:line="260" w:lineRule="exact"/>
        <w:contextualSpacing/>
        <w:rPr>
          <w:rFonts w:ascii="Verdana" w:hAnsi="Verdana"/>
          <w:sz w:val="18"/>
          <w:szCs w:val="18"/>
        </w:rPr>
      </w:pPr>
      <w:r w:rsidRPr="00A22E80">
        <w:rPr>
          <w:rFonts w:ascii="Verdana" w:hAnsi="Verdana"/>
          <w:sz w:val="18"/>
          <w:szCs w:val="18"/>
        </w:rPr>
        <w:t xml:space="preserve">In artikel 212bb </w:t>
      </w:r>
      <w:proofErr w:type="spellStart"/>
      <w:r w:rsidR="00066AE4" w:rsidRPr="00A22E80">
        <w:rPr>
          <w:rFonts w:ascii="Verdana" w:hAnsi="Verdana"/>
          <w:sz w:val="18"/>
          <w:szCs w:val="18"/>
        </w:rPr>
        <w:t>Fw</w:t>
      </w:r>
      <w:proofErr w:type="spellEnd"/>
      <w:r w:rsidR="00066AE4" w:rsidRPr="00A22E80">
        <w:rPr>
          <w:rFonts w:ascii="Verdana" w:hAnsi="Verdana"/>
          <w:sz w:val="18"/>
          <w:szCs w:val="18"/>
        </w:rPr>
        <w:t xml:space="preserve"> </w:t>
      </w:r>
      <w:r w:rsidRPr="00A22E80">
        <w:rPr>
          <w:rFonts w:ascii="Verdana" w:hAnsi="Verdana"/>
          <w:sz w:val="18"/>
          <w:szCs w:val="18"/>
        </w:rPr>
        <w:t xml:space="preserve">wordt met betrekking tot de definitie van “gereglementeerde markt” </w:t>
      </w:r>
      <w:r w:rsidR="00B619C7" w:rsidRPr="00A22E80">
        <w:rPr>
          <w:rFonts w:ascii="Verdana" w:hAnsi="Verdana"/>
          <w:sz w:val="18"/>
          <w:szCs w:val="18"/>
        </w:rPr>
        <w:t xml:space="preserve">voortaan </w:t>
      </w:r>
      <w:r w:rsidRPr="00A22E80">
        <w:rPr>
          <w:rFonts w:ascii="Verdana" w:hAnsi="Verdana"/>
          <w:sz w:val="18"/>
          <w:szCs w:val="18"/>
        </w:rPr>
        <w:t>verwezen naar de</w:t>
      </w:r>
      <w:r w:rsidR="00066AE4" w:rsidRPr="00A22E80">
        <w:rPr>
          <w:rFonts w:ascii="Verdana" w:hAnsi="Verdana"/>
          <w:sz w:val="18"/>
          <w:szCs w:val="18"/>
        </w:rPr>
        <w:t xml:space="preserve"> richtlijn herstel en afwikkeling van banken en beleggingsondernemingen</w:t>
      </w:r>
      <w:r w:rsidRPr="00A22E80">
        <w:rPr>
          <w:rFonts w:ascii="Verdana" w:hAnsi="Verdana"/>
          <w:sz w:val="18"/>
          <w:szCs w:val="18"/>
        </w:rPr>
        <w:t>.</w:t>
      </w:r>
    </w:p>
    <w:p w:rsidR="00CB22D0" w:rsidRPr="00A22E80" w:rsidRDefault="00CB22D0" w:rsidP="00A22E80">
      <w:pPr>
        <w:spacing w:line="260" w:lineRule="exact"/>
        <w:contextualSpacing/>
        <w:rPr>
          <w:rFonts w:ascii="Verdana" w:hAnsi="Verdana"/>
          <w:sz w:val="18"/>
          <w:szCs w:val="18"/>
        </w:rPr>
      </w:pPr>
    </w:p>
    <w:p w:rsidR="00CB22D0" w:rsidRPr="00A22E80" w:rsidRDefault="007C56C5" w:rsidP="00A22E80">
      <w:pPr>
        <w:spacing w:line="260" w:lineRule="exact"/>
        <w:contextualSpacing/>
        <w:rPr>
          <w:rFonts w:ascii="Verdana" w:hAnsi="Verdana"/>
          <w:sz w:val="18"/>
          <w:szCs w:val="18"/>
        </w:rPr>
      </w:pPr>
      <w:r w:rsidRPr="00A22E80">
        <w:rPr>
          <w:rFonts w:ascii="Verdana" w:hAnsi="Verdana"/>
          <w:sz w:val="18"/>
          <w:szCs w:val="18"/>
        </w:rPr>
        <w:t>H</w:t>
      </w:r>
    </w:p>
    <w:p w:rsidR="00A411EC" w:rsidRPr="00A22E80" w:rsidRDefault="00A411EC" w:rsidP="00A22E80">
      <w:pPr>
        <w:widowControl w:val="0"/>
        <w:spacing w:line="260" w:lineRule="exact"/>
        <w:rPr>
          <w:rFonts w:ascii="Verdana" w:hAnsi="Verdana"/>
          <w:sz w:val="18"/>
          <w:szCs w:val="18"/>
        </w:rPr>
      </w:pPr>
    </w:p>
    <w:p w:rsidR="00A411EC" w:rsidRPr="00A22E80" w:rsidRDefault="00C678C2" w:rsidP="00A22E80">
      <w:pPr>
        <w:widowControl w:val="0"/>
        <w:spacing w:line="260" w:lineRule="exact"/>
        <w:rPr>
          <w:rFonts w:ascii="Verdana" w:hAnsi="Verdana"/>
          <w:sz w:val="18"/>
          <w:szCs w:val="18"/>
        </w:rPr>
      </w:pPr>
      <w:r w:rsidRPr="00A22E80">
        <w:rPr>
          <w:rFonts w:ascii="Verdana" w:hAnsi="Verdana"/>
          <w:sz w:val="18"/>
          <w:szCs w:val="18"/>
        </w:rPr>
        <w:t xml:space="preserve">De artikelen 212g tot en met 212nn </w:t>
      </w:r>
      <w:proofErr w:type="spellStart"/>
      <w:r w:rsidRPr="00A22E80">
        <w:rPr>
          <w:rFonts w:ascii="Verdana" w:hAnsi="Verdana"/>
          <w:sz w:val="18"/>
          <w:szCs w:val="18"/>
        </w:rPr>
        <w:t>Fw</w:t>
      </w:r>
      <w:proofErr w:type="spellEnd"/>
      <w:r w:rsidRPr="00A22E80">
        <w:rPr>
          <w:rFonts w:ascii="Verdana" w:hAnsi="Verdana"/>
          <w:sz w:val="18"/>
          <w:szCs w:val="18"/>
        </w:rPr>
        <w:t xml:space="preserve"> bevatten een aantal bepalingen speciaal met betrekking tot het faillissement van kredietinstellingen. Een aantal daarvan betreft het internationaal privaatrecht, waarmee uitvoering is gegeven aan de richtlijn sanering en liquidatie kredietinstellingen. </w:t>
      </w:r>
      <w:r w:rsidR="00A411EC" w:rsidRPr="00A22E80">
        <w:rPr>
          <w:rFonts w:ascii="Verdana" w:hAnsi="Verdana"/>
          <w:sz w:val="18"/>
          <w:szCs w:val="18"/>
        </w:rPr>
        <w:t xml:space="preserve">De richtlijn </w:t>
      </w:r>
      <w:r w:rsidR="00906A29" w:rsidRPr="00A22E80">
        <w:rPr>
          <w:rFonts w:ascii="Verdana" w:hAnsi="Verdana"/>
          <w:sz w:val="18"/>
          <w:szCs w:val="18"/>
        </w:rPr>
        <w:t xml:space="preserve">sanering en liquidatie kredietinstellingen </w:t>
      </w:r>
      <w:r w:rsidR="00A411EC" w:rsidRPr="00A22E80">
        <w:rPr>
          <w:rFonts w:ascii="Verdana" w:hAnsi="Verdana"/>
          <w:sz w:val="18"/>
          <w:szCs w:val="18"/>
        </w:rPr>
        <w:t xml:space="preserve">geeft regels met betrekking tot de internationale rechtsmacht om een insolventieprocedure ten aanzien van een bank te openen, het op een dergelijke insolventieprocedure toepasselijke recht, en de erkenning van die insolventieprocedures. Artikel 117 </w:t>
      </w:r>
      <w:r w:rsidR="00066AE4" w:rsidRPr="00A22E80">
        <w:rPr>
          <w:rFonts w:ascii="Verdana" w:hAnsi="Verdana"/>
          <w:sz w:val="18"/>
          <w:szCs w:val="18"/>
        </w:rPr>
        <w:t xml:space="preserve">van de richtlijn herstel en afwikkeling van banken en beleggingsondernemingen </w:t>
      </w:r>
      <w:r w:rsidR="00A411EC" w:rsidRPr="00A22E80">
        <w:rPr>
          <w:rFonts w:ascii="Verdana" w:hAnsi="Verdana"/>
          <w:sz w:val="18"/>
          <w:szCs w:val="18"/>
        </w:rPr>
        <w:t>voegt aan artikel 1 van de</w:t>
      </w:r>
      <w:r w:rsidR="00066AE4" w:rsidRPr="00A22E80">
        <w:rPr>
          <w:rFonts w:ascii="Verdana" w:hAnsi="Verdana"/>
          <w:sz w:val="18"/>
          <w:szCs w:val="18"/>
        </w:rPr>
        <w:t xml:space="preserve"> richtlijn sanering en liquidatie kredietinstellingen </w:t>
      </w:r>
      <w:r w:rsidR="00A411EC" w:rsidRPr="00A22E80">
        <w:rPr>
          <w:rFonts w:ascii="Verdana" w:hAnsi="Verdana"/>
          <w:sz w:val="18"/>
          <w:szCs w:val="18"/>
        </w:rPr>
        <w:t>een vierde lid toe. Dat vierde lid bepaalt dat d</w:t>
      </w:r>
      <w:r w:rsidR="00066AE4" w:rsidRPr="00A22E80">
        <w:rPr>
          <w:rFonts w:ascii="Verdana" w:hAnsi="Verdana"/>
          <w:sz w:val="18"/>
          <w:szCs w:val="18"/>
        </w:rPr>
        <w:t>i</w:t>
      </w:r>
      <w:r w:rsidR="00A411EC" w:rsidRPr="00A22E80">
        <w:rPr>
          <w:rFonts w:ascii="Verdana" w:hAnsi="Verdana"/>
          <w:sz w:val="18"/>
          <w:szCs w:val="18"/>
        </w:rPr>
        <w:t>e richtlijn ook van toepas</w:t>
      </w:r>
      <w:r w:rsidR="00066AE4" w:rsidRPr="00A22E80">
        <w:rPr>
          <w:rFonts w:ascii="Verdana" w:hAnsi="Verdana"/>
          <w:sz w:val="18"/>
          <w:szCs w:val="18"/>
        </w:rPr>
        <w:t xml:space="preserve">sing is op </w:t>
      </w:r>
      <w:r w:rsidR="005714CE" w:rsidRPr="00A22E80">
        <w:rPr>
          <w:rFonts w:ascii="Verdana" w:hAnsi="Verdana"/>
          <w:sz w:val="18"/>
          <w:szCs w:val="18"/>
        </w:rPr>
        <w:t>overige groeps</w:t>
      </w:r>
      <w:r w:rsidR="00066AE4" w:rsidRPr="00A22E80">
        <w:rPr>
          <w:rFonts w:ascii="Verdana" w:hAnsi="Verdana"/>
          <w:sz w:val="18"/>
          <w:szCs w:val="18"/>
        </w:rPr>
        <w:t>entiteiten waarop de richtlijn herstel en afwikkeling van banken en beleggingsondernemingen</w:t>
      </w:r>
      <w:r w:rsidR="005714CE" w:rsidRPr="00A22E80">
        <w:rPr>
          <w:rFonts w:ascii="Verdana" w:hAnsi="Verdana"/>
          <w:sz w:val="18"/>
          <w:szCs w:val="18"/>
        </w:rPr>
        <w:t>,</w:t>
      </w:r>
      <w:r w:rsidR="00066AE4" w:rsidRPr="00A22E80">
        <w:rPr>
          <w:rFonts w:ascii="Verdana" w:hAnsi="Verdana"/>
          <w:sz w:val="18"/>
          <w:szCs w:val="18"/>
        </w:rPr>
        <w:t xml:space="preserve"> </w:t>
      </w:r>
      <w:r w:rsidR="005714CE" w:rsidRPr="00A22E80">
        <w:rPr>
          <w:rFonts w:ascii="Verdana" w:hAnsi="Verdana"/>
          <w:sz w:val="18"/>
          <w:szCs w:val="18"/>
        </w:rPr>
        <w:t xml:space="preserve">naast </w:t>
      </w:r>
      <w:r w:rsidRPr="00A22E80">
        <w:rPr>
          <w:rFonts w:ascii="Verdana" w:hAnsi="Verdana"/>
          <w:sz w:val="18"/>
          <w:szCs w:val="18"/>
        </w:rPr>
        <w:t xml:space="preserve">de </w:t>
      </w:r>
      <w:r w:rsidR="005714CE" w:rsidRPr="00A22E80">
        <w:rPr>
          <w:rFonts w:ascii="Verdana" w:hAnsi="Verdana"/>
          <w:sz w:val="18"/>
          <w:szCs w:val="18"/>
        </w:rPr>
        <w:t>banken en beleggingsondernemingen</w:t>
      </w:r>
      <w:r w:rsidRPr="00A22E80">
        <w:rPr>
          <w:rFonts w:ascii="Verdana" w:hAnsi="Verdana"/>
          <w:sz w:val="18"/>
          <w:szCs w:val="18"/>
        </w:rPr>
        <w:t xml:space="preserve"> in de groep</w:t>
      </w:r>
      <w:r w:rsidR="005714CE" w:rsidRPr="00A22E80">
        <w:rPr>
          <w:rFonts w:ascii="Verdana" w:hAnsi="Verdana"/>
          <w:sz w:val="18"/>
          <w:szCs w:val="18"/>
        </w:rPr>
        <w:t xml:space="preserve">, </w:t>
      </w:r>
      <w:r w:rsidR="00A411EC" w:rsidRPr="00A22E80">
        <w:rPr>
          <w:rFonts w:ascii="Verdana" w:hAnsi="Verdana"/>
          <w:sz w:val="18"/>
          <w:szCs w:val="18"/>
        </w:rPr>
        <w:t>van toepassing is</w:t>
      </w:r>
      <w:r w:rsidR="00066AE4" w:rsidRPr="00A22E80">
        <w:rPr>
          <w:rFonts w:ascii="Verdana" w:hAnsi="Verdana"/>
          <w:sz w:val="18"/>
          <w:szCs w:val="18"/>
        </w:rPr>
        <w:t>,</w:t>
      </w:r>
      <w:r w:rsidR="00A411EC" w:rsidRPr="00A22E80">
        <w:rPr>
          <w:rFonts w:ascii="Verdana" w:hAnsi="Verdana"/>
          <w:sz w:val="18"/>
          <w:szCs w:val="18"/>
        </w:rPr>
        <w:t xml:space="preserve"> nadat gebruik </w:t>
      </w:r>
      <w:r w:rsidR="00066AE4" w:rsidRPr="00A22E80">
        <w:rPr>
          <w:rFonts w:ascii="Verdana" w:hAnsi="Verdana"/>
          <w:sz w:val="18"/>
          <w:szCs w:val="18"/>
        </w:rPr>
        <w:t xml:space="preserve">is </w:t>
      </w:r>
      <w:r w:rsidR="00A411EC" w:rsidRPr="00A22E80">
        <w:rPr>
          <w:rFonts w:ascii="Verdana" w:hAnsi="Verdana"/>
          <w:sz w:val="18"/>
          <w:szCs w:val="18"/>
        </w:rPr>
        <w:t xml:space="preserve">gemaakt van de afwikkelingsinstrumenten en afwikkelingsbevoegdheden ten aanzien van die entiteiten. </w:t>
      </w:r>
      <w:r w:rsidR="00066AE4" w:rsidRPr="00A22E80">
        <w:rPr>
          <w:rFonts w:ascii="Verdana" w:hAnsi="Verdana"/>
          <w:sz w:val="18"/>
          <w:szCs w:val="18"/>
        </w:rPr>
        <w:t xml:space="preserve">Het gaat hierbij, voor zover </w:t>
      </w:r>
      <w:r w:rsidR="005714CE" w:rsidRPr="00A22E80">
        <w:rPr>
          <w:rFonts w:ascii="Verdana" w:hAnsi="Verdana"/>
          <w:sz w:val="18"/>
          <w:szCs w:val="18"/>
        </w:rPr>
        <w:t xml:space="preserve">hier relevant, om </w:t>
      </w:r>
      <w:r w:rsidR="00131EED" w:rsidRPr="00A22E80">
        <w:rPr>
          <w:rFonts w:ascii="Verdana" w:hAnsi="Verdana"/>
          <w:sz w:val="18"/>
          <w:szCs w:val="18"/>
        </w:rPr>
        <w:t>entiteiten</w:t>
      </w:r>
      <w:r w:rsidR="005714CE" w:rsidRPr="00A22E80">
        <w:rPr>
          <w:rFonts w:ascii="Verdana" w:hAnsi="Verdana"/>
          <w:sz w:val="18"/>
          <w:szCs w:val="18"/>
        </w:rPr>
        <w:t xml:space="preserve"> als</w:t>
      </w:r>
      <w:r w:rsidR="00131EED" w:rsidRPr="00A22E80">
        <w:rPr>
          <w:rFonts w:ascii="Verdana" w:hAnsi="Verdana"/>
          <w:sz w:val="18"/>
          <w:szCs w:val="18"/>
        </w:rPr>
        <w:t xml:space="preserve"> bedoeld</w:t>
      </w:r>
      <w:r w:rsidR="00066AE4" w:rsidRPr="00A22E80">
        <w:rPr>
          <w:rFonts w:ascii="Verdana" w:hAnsi="Verdana"/>
          <w:sz w:val="18"/>
          <w:szCs w:val="18"/>
        </w:rPr>
        <w:t xml:space="preserve"> in </w:t>
      </w:r>
      <w:r w:rsidR="00131EED" w:rsidRPr="00A22E80">
        <w:rPr>
          <w:rFonts w:ascii="Verdana" w:hAnsi="Verdana"/>
          <w:sz w:val="18"/>
          <w:szCs w:val="18"/>
        </w:rPr>
        <w:t>artikel</w:t>
      </w:r>
      <w:r w:rsidR="00066AE4" w:rsidRPr="00A22E80">
        <w:rPr>
          <w:rFonts w:ascii="Verdana" w:hAnsi="Verdana"/>
          <w:sz w:val="18"/>
          <w:szCs w:val="18"/>
        </w:rPr>
        <w:t xml:space="preserve"> 3A:2, onderde</w:t>
      </w:r>
      <w:r w:rsidR="00131EED" w:rsidRPr="00A22E80">
        <w:rPr>
          <w:rFonts w:ascii="Verdana" w:hAnsi="Verdana"/>
          <w:sz w:val="18"/>
          <w:szCs w:val="18"/>
        </w:rPr>
        <w:t xml:space="preserve">len c tot en met g, van de </w:t>
      </w:r>
      <w:proofErr w:type="spellStart"/>
      <w:r w:rsidR="00131EED" w:rsidRPr="00A22E80">
        <w:rPr>
          <w:rFonts w:ascii="Verdana" w:hAnsi="Verdana"/>
          <w:sz w:val="18"/>
          <w:szCs w:val="18"/>
        </w:rPr>
        <w:t>Wft</w:t>
      </w:r>
      <w:proofErr w:type="spellEnd"/>
      <w:r w:rsidR="00131EED" w:rsidRPr="00A22E80">
        <w:rPr>
          <w:rFonts w:ascii="Verdana" w:hAnsi="Verdana"/>
          <w:sz w:val="18"/>
          <w:szCs w:val="18"/>
        </w:rPr>
        <w:t>: financiële holdings, gemengde financiële hol</w:t>
      </w:r>
      <w:r w:rsidR="005714CE" w:rsidRPr="00A22E80">
        <w:rPr>
          <w:rFonts w:ascii="Verdana" w:hAnsi="Verdana"/>
          <w:sz w:val="18"/>
          <w:szCs w:val="18"/>
        </w:rPr>
        <w:t xml:space="preserve">dings, gemengde holdings, en </w:t>
      </w:r>
      <w:r w:rsidR="00A411EC" w:rsidRPr="00A22E80">
        <w:rPr>
          <w:rFonts w:ascii="Verdana" w:hAnsi="Verdana"/>
          <w:sz w:val="18"/>
          <w:szCs w:val="18"/>
        </w:rPr>
        <w:t>financiële instellingen, indien zij een dochteronderneming zijn van een entiteit als bedoeld</w:t>
      </w:r>
      <w:r w:rsidR="00131EED" w:rsidRPr="00A22E80">
        <w:rPr>
          <w:rFonts w:ascii="Verdana" w:hAnsi="Verdana"/>
          <w:sz w:val="18"/>
          <w:szCs w:val="18"/>
        </w:rPr>
        <w:t xml:space="preserve"> in de onderdelen a tot en met f</w:t>
      </w:r>
      <w:r w:rsidR="00A411EC" w:rsidRPr="00A22E80">
        <w:rPr>
          <w:rFonts w:ascii="Verdana" w:hAnsi="Verdana"/>
          <w:sz w:val="18"/>
          <w:szCs w:val="18"/>
        </w:rPr>
        <w:t xml:space="preserve">, </w:t>
      </w:r>
      <w:r w:rsidR="00B619C7" w:rsidRPr="00A22E80">
        <w:rPr>
          <w:rFonts w:ascii="Verdana" w:hAnsi="Verdana"/>
          <w:sz w:val="18"/>
          <w:szCs w:val="18"/>
        </w:rPr>
        <w:t xml:space="preserve">van artikel 3A:2 van de </w:t>
      </w:r>
      <w:proofErr w:type="spellStart"/>
      <w:r w:rsidR="00B619C7" w:rsidRPr="00A22E80">
        <w:rPr>
          <w:rFonts w:ascii="Verdana" w:hAnsi="Verdana"/>
          <w:sz w:val="18"/>
          <w:szCs w:val="18"/>
        </w:rPr>
        <w:t>Wft</w:t>
      </w:r>
      <w:proofErr w:type="spellEnd"/>
      <w:r w:rsidR="00B619C7" w:rsidRPr="00A22E80">
        <w:rPr>
          <w:rFonts w:ascii="Verdana" w:hAnsi="Verdana"/>
          <w:sz w:val="18"/>
          <w:szCs w:val="18"/>
        </w:rPr>
        <w:t xml:space="preserve"> </w:t>
      </w:r>
      <w:r w:rsidR="00A411EC" w:rsidRPr="00A22E80">
        <w:rPr>
          <w:rFonts w:ascii="Verdana" w:hAnsi="Verdana"/>
          <w:sz w:val="18"/>
          <w:szCs w:val="18"/>
        </w:rPr>
        <w:t>en onder het toezicht op geconsolideerde basis op de moederonderneming vallen</w:t>
      </w:r>
      <w:r w:rsidR="005714CE" w:rsidRPr="00A22E80">
        <w:rPr>
          <w:rFonts w:ascii="Verdana" w:hAnsi="Verdana"/>
          <w:sz w:val="18"/>
          <w:szCs w:val="18"/>
        </w:rPr>
        <w:t xml:space="preserve">. </w:t>
      </w:r>
    </w:p>
    <w:p w:rsidR="00A411EC" w:rsidRPr="00A22E80" w:rsidRDefault="00A411EC" w:rsidP="00A22E80">
      <w:pPr>
        <w:widowControl w:val="0"/>
        <w:spacing w:line="260" w:lineRule="exact"/>
        <w:rPr>
          <w:rFonts w:ascii="Verdana" w:hAnsi="Verdana"/>
          <w:sz w:val="18"/>
          <w:szCs w:val="18"/>
        </w:rPr>
      </w:pPr>
    </w:p>
    <w:p w:rsidR="00A411EC" w:rsidRPr="00A22E80" w:rsidRDefault="00A411EC" w:rsidP="00A22E80">
      <w:pPr>
        <w:widowControl w:val="0"/>
        <w:spacing w:line="260" w:lineRule="exact"/>
        <w:rPr>
          <w:rFonts w:ascii="Verdana" w:hAnsi="Verdana"/>
          <w:sz w:val="18"/>
          <w:szCs w:val="18"/>
        </w:rPr>
      </w:pPr>
      <w:r w:rsidRPr="00A22E80">
        <w:rPr>
          <w:rFonts w:ascii="Verdana" w:hAnsi="Verdana"/>
          <w:sz w:val="18"/>
          <w:szCs w:val="18"/>
        </w:rPr>
        <w:t xml:space="preserve">Deze entiteiten worden daardoor als het ware overgeheveld van de </w:t>
      </w:r>
      <w:r w:rsidR="00C678C2" w:rsidRPr="00A22E80">
        <w:rPr>
          <w:rFonts w:ascii="Verdana" w:hAnsi="Verdana"/>
          <w:sz w:val="18"/>
          <w:szCs w:val="18"/>
        </w:rPr>
        <w:t xml:space="preserve">werking van de </w:t>
      </w:r>
      <w:r w:rsidRPr="00A22E80">
        <w:rPr>
          <w:rFonts w:ascii="Verdana" w:hAnsi="Verdana"/>
          <w:sz w:val="18"/>
          <w:szCs w:val="18"/>
        </w:rPr>
        <w:t>Insolventieverordening</w:t>
      </w:r>
      <w:r w:rsidRPr="00A22E80">
        <w:rPr>
          <w:rStyle w:val="Voetnootmarkering"/>
          <w:rFonts w:ascii="Verdana" w:hAnsi="Verdana"/>
          <w:sz w:val="18"/>
          <w:szCs w:val="18"/>
        </w:rPr>
        <w:footnoteReference w:id="12"/>
      </w:r>
      <w:r w:rsidRPr="00A22E80">
        <w:rPr>
          <w:rFonts w:ascii="Verdana" w:hAnsi="Verdana"/>
          <w:sz w:val="18"/>
          <w:szCs w:val="18"/>
        </w:rPr>
        <w:t xml:space="preserve"> naar </w:t>
      </w:r>
      <w:r w:rsidR="00C678C2" w:rsidRPr="00A22E80">
        <w:rPr>
          <w:rFonts w:ascii="Verdana" w:hAnsi="Verdana"/>
          <w:sz w:val="18"/>
          <w:szCs w:val="18"/>
        </w:rPr>
        <w:t xml:space="preserve">die van de </w:t>
      </w:r>
      <w:r w:rsidRPr="00A22E80">
        <w:rPr>
          <w:rFonts w:ascii="Verdana" w:hAnsi="Verdana"/>
          <w:sz w:val="18"/>
          <w:szCs w:val="18"/>
        </w:rPr>
        <w:t>richtlijn</w:t>
      </w:r>
      <w:r w:rsidR="006B4CDE" w:rsidRPr="00A22E80">
        <w:rPr>
          <w:rFonts w:ascii="Verdana" w:hAnsi="Verdana"/>
          <w:sz w:val="18"/>
          <w:szCs w:val="18"/>
        </w:rPr>
        <w:t xml:space="preserve"> sanering en liquidatie kredietinstellingen</w:t>
      </w:r>
      <w:r w:rsidRPr="00A22E80">
        <w:rPr>
          <w:rFonts w:ascii="Verdana" w:hAnsi="Verdana"/>
          <w:sz w:val="18"/>
          <w:szCs w:val="18"/>
        </w:rPr>
        <w:t xml:space="preserve">, althans indien de </w:t>
      </w:r>
      <w:r w:rsidR="00B619C7" w:rsidRPr="00A22E80">
        <w:rPr>
          <w:rFonts w:ascii="Verdana" w:hAnsi="Verdana"/>
          <w:sz w:val="18"/>
          <w:szCs w:val="18"/>
        </w:rPr>
        <w:t>afwikkelingsautoriteit</w:t>
      </w:r>
      <w:r w:rsidRPr="00A22E80">
        <w:rPr>
          <w:rFonts w:ascii="Verdana" w:hAnsi="Verdana"/>
          <w:sz w:val="18"/>
          <w:szCs w:val="18"/>
        </w:rPr>
        <w:t xml:space="preserve"> gebruik heeft gemaakt van de afwikkelingsinstrumenten en -bevoegdheden. Voor het toepasselijke recht en de erkenning heeft deze overheveling geen consequenties, aangezien</w:t>
      </w:r>
      <w:r w:rsidR="006B4CDE" w:rsidRPr="00A22E80">
        <w:rPr>
          <w:rFonts w:ascii="Verdana" w:hAnsi="Verdana"/>
          <w:sz w:val="18"/>
          <w:szCs w:val="18"/>
        </w:rPr>
        <w:t xml:space="preserve"> de desbetreffende regels in de </w:t>
      </w:r>
      <w:r w:rsidRPr="00A22E80">
        <w:rPr>
          <w:rFonts w:ascii="Verdana" w:hAnsi="Verdana"/>
          <w:sz w:val="18"/>
          <w:szCs w:val="18"/>
        </w:rPr>
        <w:t xml:space="preserve">Insolventieverordening en de richtlijn </w:t>
      </w:r>
      <w:r w:rsidR="006B4CDE" w:rsidRPr="00A22E80">
        <w:rPr>
          <w:rFonts w:ascii="Verdana" w:hAnsi="Verdana"/>
          <w:sz w:val="18"/>
          <w:szCs w:val="18"/>
        </w:rPr>
        <w:t xml:space="preserve">sanering en liquidatie kredietinstellingen </w:t>
      </w:r>
      <w:r w:rsidRPr="00A22E80">
        <w:rPr>
          <w:rFonts w:ascii="Verdana" w:hAnsi="Verdana"/>
          <w:sz w:val="18"/>
          <w:szCs w:val="18"/>
        </w:rPr>
        <w:t>identiek zijn.</w:t>
      </w:r>
    </w:p>
    <w:p w:rsidR="00C678C2" w:rsidRPr="00A22E80" w:rsidRDefault="00C678C2" w:rsidP="00A22E80">
      <w:pPr>
        <w:widowControl w:val="0"/>
        <w:spacing w:line="260" w:lineRule="exact"/>
        <w:rPr>
          <w:rFonts w:ascii="Verdana" w:hAnsi="Verdana"/>
          <w:sz w:val="18"/>
          <w:szCs w:val="18"/>
        </w:rPr>
      </w:pPr>
    </w:p>
    <w:p w:rsidR="00A411EC" w:rsidRPr="00A22E80" w:rsidRDefault="007C56C5" w:rsidP="00A22E80">
      <w:pPr>
        <w:widowControl w:val="0"/>
        <w:spacing w:line="260" w:lineRule="exact"/>
        <w:rPr>
          <w:rFonts w:ascii="Verdana" w:hAnsi="Verdana"/>
          <w:sz w:val="18"/>
          <w:szCs w:val="18"/>
        </w:rPr>
      </w:pPr>
      <w:r w:rsidRPr="00A22E80">
        <w:rPr>
          <w:rFonts w:ascii="Verdana" w:hAnsi="Verdana"/>
          <w:sz w:val="18"/>
          <w:szCs w:val="18"/>
        </w:rPr>
        <w:t>I</w:t>
      </w:r>
      <w:r w:rsidR="00D62EBF" w:rsidRPr="00A22E80">
        <w:rPr>
          <w:rFonts w:ascii="Verdana" w:hAnsi="Verdana"/>
          <w:sz w:val="18"/>
          <w:szCs w:val="18"/>
        </w:rPr>
        <w:t xml:space="preserve"> en J</w:t>
      </w:r>
    </w:p>
    <w:p w:rsidR="00690064" w:rsidRPr="00A22E80" w:rsidRDefault="00690064" w:rsidP="00A22E80">
      <w:pPr>
        <w:widowControl w:val="0"/>
        <w:spacing w:line="260" w:lineRule="exact"/>
        <w:rPr>
          <w:rFonts w:ascii="Verdana" w:hAnsi="Verdana"/>
          <w:sz w:val="18"/>
          <w:szCs w:val="18"/>
        </w:rPr>
      </w:pPr>
    </w:p>
    <w:p w:rsidR="00E61E77" w:rsidRPr="00A22E80" w:rsidRDefault="00C678C2" w:rsidP="00A22E80">
      <w:pPr>
        <w:widowControl w:val="0"/>
        <w:spacing w:line="260" w:lineRule="exact"/>
        <w:rPr>
          <w:rFonts w:ascii="Verdana" w:hAnsi="Verdana"/>
          <w:sz w:val="18"/>
          <w:szCs w:val="18"/>
        </w:rPr>
      </w:pPr>
      <w:r w:rsidRPr="00A22E80">
        <w:rPr>
          <w:rFonts w:ascii="Verdana" w:hAnsi="Verdana"/>
          <w:sz w:val="18"/>
          <w:szCs w:val="18"/>
        </w:rPr>
        <w:t xml:space="preserve">De </w:t>
      </w:r>
      <w:r w:rsidR="00A411EC" w:rsidRPr="00A22E80">
        <w:rPr>
          <w:rFonts w:ascii="Verdana" w:hAnsi="Verdana"/>
          <w:sz w:val="18"/>
          <w:szCs w:val="18"/>
        </w:rPr>
        <w:t xml:space="preserve">Insolventieverordening </w:t>
      </w:r>
      <w:r w:rsidR="005C41D5" w:rsidRPr="00A22E80">
        <w:rPr>
          <w:rFonts w:ascii="Verdana" w:hAnsi="Verdana"/>
          <w:sz w:val="18"/>
          <w:szCs w:val="18"/>
        </w:rPr>
        <w:t xml:space="preserve">bevat </w:t>
      </w:r>
      <w:r w:rsidR="00A411EC" w:rsidRPr="00A22E80">
        <w:rPr>
          <w:rFonts w:ascii="Verdana" w:hAnsi="Verdana"/>
          <w:sz w:val="18"/>
          <w:szCs w:val="18"/>
        </w:rPr>
        <w:t>internationaal privaatrecht met betrekking tot insolve</w:t>
      </w:r>
      <w:r w:rsidR="005C41D5" w:rsidRPr="00A22E80">
        <w:rPr>
          <w:rFonts w:ascii="Verdana" w:hAnsi="Verdana"/>
          <w:sz w:val="18"/>
          <w:szCs w:val="18"/>
        </w:rPr>
        <w:t>ntieprocedures. De verordening geeft</w:t>
      </w:r>
      <w:r w:rsidR="00A411EC" w:rsidRPr="00A22E80">
        <w:rPr>
          <w:rFonts w:ascii="Verdana" w:hAnsi="Verdana"/>
          <w:sz w:val="18"/>
          <w:szCs w:val="18"/>
        </w:rPr>
        <w:t xml:space="preserve"> regels met betrekking tot de internationale rechtsmacht om een insolventieprocedure te openen, het op een insolventieprocedure toepasselijke recht, en de erkenning van insolventieprocedures. </w:t>
      </w:r>
      <w:r w:rsidR="005C41D5" w:rsidRPr="00A22E80">
        <w:rPr>
          <w:rFonts w:ascii="Verdana" w:hAnsi="Verdana"/>
          <w:sz w:val="18"/>
          <w:szCs w:val="18"/>
        </w:rPr>
        <w:t xml:space="preserve">De </w:t>
      </w:r>
      <w:r w:rsidR="00A411EC" w:rsidRPr="00A22E80">
        <w:rPr>
          <w:rFonts w:ascii="Verdana" w:hAnsi="Verdana"/>
          <w:sz w:val="18"/>
          <w:szCs w:val="18"/>
        </w:rPr>
        <w:t>verord</w:t>
      </w:r>
      <w:r w:rsidR="005C41D5" w:rsidRPr="00A22E80">
        <w:rPr>
          <w:rFonts w:ascii="Verdana" w:hAnsi="Verdana"/>
          <w:sz w:val="18"/>
          <w:szCs w:val="18"/>
        </w:rPr>
        <w:t xml:space="preserve">ening is niet van toepassing op </w:t>
      </w:r>
      <w:r w:rsidR="00A411EC" w:rsidRPr="00A22E80">
        <w:rPr>
          <w:rFonts w:ascii="Verdana" w:hAnsi="Verdana"/>
          <w:sz w:val="18"/>
          <w:szCs w:val="18"/>
        </w:rPr>
        <w:t>beleggingsondernemingen</w:t>
      </w:r>
      <w:r w:rsidR="005C41D5" w:rsidRPr="00A22E80">
        <w:rPr>
          <w:rFonts w:ascii="Verdana" w:hAnsi="Verdana"/>
          <w:sz w:val="18"/>
          <w:szCs w:val="18"/>
        </w:rPr>
        <w:t xml:space="preserve">, waardoor </w:t>
      </w:r>
      <w:r w:rsidR="00A411EC" w:rsidRPr="00A22E80">
        <w:rPr>
          <w:rFonts w:ascii="Verdana" w:hAnsi="Verdana"/>
          <w:sz w:val="18"/>
          <w:szCs w:val="18"/>
        </w:rPr>
        <w:t xml:space="preserve">het nationale recht van de </w:t>
      </w:r>
      <w:r w:rsidR="0085748E" w:rsidRPr="00A22E80">
        <w:rPr>
          <w:rFonts w:ascii="Verdana" w:hAnsi="Verdana"/>
          <w:sz w:val="18"/>
          <w:szCs w:val="18"/>
        </w:rPr>
        <w:t>lidstaten</w:t>
      </w:r>
      <w:r w:rsidR="00A411EC" w:rsidRPr="00A22E80">
        <w:rPr>
          <w:rFonts w:ascii="Verdana" w:hAnsi="Verdana"/>
          <w:sz w:val="18"/>
          <w:szCs w:val="18"/>
        </w:rPr>
        <w:t xml:space="preserve"> het internationaal privaatrecht met betrekking tot deze procedures bepaalde. De </w:t>
      </w:r>
      <w:r w:rsidR="005C41D5" w:rsidRPr="00A22E80">
        <w:rPr>
          <w:rFonts w:ascii="Verdana" w:hAnsi="Verdana"/>
          <w:sz w:val="18"/>
          <w:szCs w:val="18"/>
        </w:rPr>
        <w:t xml:space="preserve">richtlijn herstel en afwikkeling van banken en beleggingsondernemingen </w:t>
      </w:r>
      <w:r w:rsidR="00A411EC" w:rsidRPr="00A22E80">
        <w:rPr>
          <w:rFonts w:ascii="Verdana" w:hAnsi="Verdana"/>
          <w:sz w:val="18"/>
          <w:szCs w:val="18"/>
        </w:rPr>
        <w:t xml:space="preserve">heeft deze lacune opgevuld, door in artikel 117 de </w:t>
      </w:r>
      <w:r w:rsidR="005C41D5" w:rsidRPr="00A22E80">
        <w:rPr>
          <w:rFonts w:ascii="Verdana" w:hAnsi="Verdana"/>
          <w:sz w:val="18"/>
          <w:szCs w:val="18"/>
        </w:rPr>
        <w:t xml:space="preserve">toepasselijkheid van de </w:t>
      </w:r>
      <w:r w:rsidR="00A411EC" w:rsidRPr="00A22E80">
        <w:rPr>
          <w:rFonts w:ascii="Verdana" w:hAnsi="Verdana"/>
          <w:sz w:val="18"/>
          <w:szCs w:val="18"/>
        </w:rPr>
        <w:t xml:space="preserve">richtlijn </w:t>
      </w:r>
      <w:r w:rsidR="005C41D5" w:rsidRPr="00A22E80">
        <w:rPr>
          <w:rFonts w:ascii="Verdana" w:hAnsi="Verdana"/>
          <w:sz w:val="18"/>
          <w:szCs w:val="18"/>
        </w:rPr>
        <w:t xml:space="preserve">sanering en liquidatie kredietinstellingen </w:t>
      </w:r>
      <w:r w:rsidR="00A411EC" w:rsidRPr="00A22E80">
        <w:rPr>
          <w:rFonts w:ascii="Verdana" w:hAnsi="Verdana"/>
          <w:sz w:val="18"/>
          <w:szCs w:val="18"/>
        </w:rPr>
        <w:t xml:space="preserve">aan te vullen. </w:t>
      </w:r>
      <w:r w:rsidR="005C41D5" w:rsidRPr="00A22E80">
        <w:rPr>
          <w:rFonts w:ascii="Verdana" w:hAnsi="Verdana"/>
          <w:sz w:val="18"/>
          <w:szCs w:val="18"/>
        </w:rPr>
        <w:t xml:space="preserve">Dit is geïmplementeerd </w:t>
      </w:r>
      <w:r w:rsidR="005C41D5" w:rsidRPr="00A22E80">
        <w:rPr>
          <w:rFonts w:ascii="Verdana" w:hAnsi="Verdana"/>
          <w:sz w:val="18"/>
          <w:szCs w:val="18"/>
        </w:rPr>
        <w:lastRenderedPageBreak/>
        <w:t xml:space="preserve">in </w:t>
      </w:r>
      <w:r w:rsidR="00A411EC" w:rsidRPr="00A22E80">
        <w:rPr>
          <w:rFonts w:ascii="Verdana" w:hAnsi="Verdana"/>
          <w:sz w:val="18"/>
          <w:szCs w:val="18"/>
        </w:rPr>
        <w:t xml:space="preserve">artikel 212oo </w:t>
      </w:r>
      <w:proofErr w:type="spellStart"/>
      <w:r w:rsidR="00A411EC" w:rsidRPr="00A22E80">
        <w:rPr>
          <w:rFonts w:ascii="Verdana" w:hAnsi="Verdana"/>
          <w:sz w:val="18"/>
          <w:szCs w:val="18"/>
        </w:rPr>
        <w:t>F</w:t>
      </w:r>
      <w:r w:rsidR="008B5425" w:rsidRPr="00A22E80">
        <w:rPr>
          <w:rFonts w:ascii="Verdana" w:hAnsi="Verdana"/>
          <w:sz w:val="18"/>
          <w:szCs w:val="18"/>
        </w:rPr>
        <w:t>w</w:t>
      </w:r>
      <w:proofErr w:type="spellEnd"/>
      <w:r w:rsidR="008B5425" w:rsidRPr="00A22E80">
        <w:rPr>
          <w:rFonts w:ascii="Verdana" w:hAnsi="Verdana"/>
          <w:sz w:val="18"/>
          <w:szCs w:val="18"/>
        </w:rPr>
        <w:t>,</w:t>
      </w:r>
      <w:r w:rsidR="00A411EC" w:rsidRPr="00A22E80">
        <w:rPr>
          <w:rFonts w:ascii="Verdana" w:hAnsi="Verdana"/>
          <w:sz w:val="18"/>
          <w:szCs w:val="18"/>
        </w:rPr>
        <w:t xml:space="preserve"> waarin een aantal artikelen van </w:t>
      </w:r>
      <w:r w:rsidR="005C41D5" w:rsidRPr="00A22E80">
        <w:rPr>
          <w:rFonts w:ascii="Verdana" w:hAnsi="Verdana"/>
          <w:sz w:val="18"/>
          <w:szCs w:val="18"/>
        </w:rPr>
        <w:t xml:space="preserve">de Faillissementswet van </w:t>
      </w:r>
      <w:r w:rsidR="00A411EC" w:rsidRPr="00A22E80">
        <w:rPr>
          <w:rFonts w:ascii="Verdana" w:hAnsi="Verdana"/>
          <w:sz w:val="18"/>
          <w:szCs w:val="18"/>
        </w:rPr>
        <w:t>overeenkomstige toepassing wordt verklaard op beleggingsondernemingen</w:t>
      </w:r>
      <w:r w:rsidR="005C41D5" w:rsidRPr="00A22E80">
        <w:rPr>
          <w:rFonts w:ascii="Verdana" w:hAnsi="Verdana"/>
          <w:sz w:val="18"/>
          <w:szCs w:val="18"/>
        </w:rPr>
        <w:t xml:space="preserve"> als</w:t>
      </w:r>
      <w:r w:rsidR="00A411EC" w:rsidRPr="00A22E80">
        <w:rPr>
          <w:rFonts w:ascii="Verdana" w:hAnsi="Verdana"/>
          <w:color w:val="000000"/>
          <w:sz w:val="18"/>
          <w:szCs w:val="18"/>
        </w:rPr>
        <w:t xml:space="preserve"> bedoeld in </w:t>
      </w:r>
      <w:hyperlink r:id="rId7" w:history="1">
        <w:r w:rsidR="00D01C6A" w:rsidRPr="00A22E80">
          <w:rPr>
            <w:rFonts w:ascii="Verdana" w:hAnsi="Verdana"/>
            <w:sz w:val="18"/>
            <w:szCs w:val="18"/>
          </w:rPr>
          <w:t xml:space="preserve">artikel </w:t>
        </w:r>
        <w:r w:rsidR="00A411EC" w:rsidRPr="00A22E80">
          <w:rPr>
            <w:rFonts w:ascii="Verdana" w:hAnsi="Verdana"/>
            <w:sz w:val="18"/>
            <w:szCs w:val="18"/>
          </w:rPr>
          <w:t>3A:2, onderdeel b, van de Wet op het financieel toezicht</w:t>
        </w:r>
      </w:hyperlink>
      <w:r w:rsidR="00A411EC" w:rsidRPr="00A22E80">
        <w:rPr>
          <w:rFonts w:ascii="Verdana" w:hAnsi="Verdana"/>
          <w:sz w:val="18"/>
          <w:szCs w:val="18"/>
        </w:rPr>
        <w:t xml:space="preserve">. Dat zijn beleggingsondernemingen in de zin van de verordening kapitaalvereisten waarop de hoogste eigenvermogenseis van toepassing is. De in artikel 212oo </w:t>
      </w:r>
      <w:proofErr w:type="spellStart"/>
      <w:r w:rsidR="003962E5" w:rsidRPr="00A22E80">
        <w:rPr>
          <w:rFonts w:ascii="Verdana" w:hAnsi="Verdana"/>
          <w:sz w:val="18"/>
          <w:szCs w:val="18"/>
        </w:rPr>
        <w:t>Fw</w:t>
      </w:r>
      <w:proofErr w:type="spellEnd"/>
      <w:r w:rsidR="003962E5" w:rsidRPr="00A22E80">
        <w:rPr>
          <w:rFonts w:ascii="Verdana" w:hAnsi="Verdana"/>
          <w:sz w:val="18"/>
          <w:szCs w:val="18"/>
        </w:rPr>
        <w:t xml:space="preserve"> </w:t>
      </w:r>
      <w:r w:rsidR="00A411EC" w:rsidRPr="00A22E80">
        <w:rPr>
          <w:rFonts w:ascii="Verdana" w:hAnsi="Verdana"/>
          <w:sz w:val="18"/>
          <w:szCs w:val="18"/>
        </w:rPr>
        <w:t>genoemde artikelen dienen evenwel van overeenkomstige toepassing te worden verklaard op alle beleggingsondernemingen</w:t>
      </w:r>
      <w:r w:rsidR="00E61E77" w:rsidRPr="00A22E80">
        <w:rPr>
          <w:rFonts w:ascii="Verdana" w:hAnsi="Verdana"/>
          <w:sz w:val="18"/>
          <w:szCs w:val="18"/>
        </w:rPr>
        <w:t xml:space="preserve"> </w:t>
      </w:r>
      <w:r w:rsidR="005C41D5" w:rsidRPr="00A22E80">
        <w:rPr>
          <w:rFonts w:ascii="Verdana" w:hAnsi="Verdana"/>
          <w:sz w:val="18"/>
          <w:szCs w:val="18"/>
        </w:rPr>
        <w:t>in de zin van de verordening kapitaalvereisten. Dit wordt hersteld met de voorgestelde wijziging</w:t>
      </w:r>
      <w:r w:rsidR="00E61E77" w:rsidRPr="00A22E80">
        <w:rPr>
          <w:rFonts w:ascii="Verdana" w:hAnsi="Verdana"/>
          <w:sz w:val="18"/>
          <w:szCs w:val="18"/>
        </w:rPr>
        <w:t>.</w:t>
      </w:r>
      <w:r w:rsidR="005C41D5" w:rsidRPr="00A22E80">
        <w:rPr>
          <w:rFonts w:ascii="Verdana" w:hAnsi="Verdana"/>
          <w:sz w:val="18"/>
          <w:szCs w:val="18"/>
        </w:rPr>
        <w:t xml:space="preserve"> </w:t>
      </w:r>
    </w:p>
    <w:p w:rsidR="00E61E77" w:rsidRPr="00A22E80" w:rsidRDefault="00E61E77" w:rsidP="00A22E80">
      <w:pPr>
        <w:widowControl w:val="0"/>
        <w:spacing w:line="260" w:lineRule="exact"/>
        <w:rPr>
          <w:rFonts w:ascii="Verdana" w:hAnsi="Verdana"/>
          <w:sz w:val="18"/>
          <w:szCs w:val="18"/>
        </w:rPr>
      </w:pPr>
    </w:p>
    <w:p w:rsidR="00A411EC" w:rsidRPr="00A22E80" w:rsidRDefault="00A411EC" w:rsidP="00A22E80">
      <w:pPr>
        <w:widowControl w:val="0"/>
        <w:spacing w:line="260" w:lineRule="exact"/>
        <w:rPr>
          <w:rFonts w:ascii="Verdana" w:hAnsi="Verdana"/>
          <w:sz w:val="18"/>
          <w:szCs w:val="18"/>
        </w:rPr>
      </w:pPr>
      <w:r w:rsidRPr="00A22E80">
        <w:rPr>
          <w:rFonts w:ascii="Verdana" w:hAnsi="Verdana"/>
          <w:sz w:val="18"/>
          <w:szCs w:val="18"/>
        </w:rPr>
        <w:t xml:space="preserve">Voor de goede orde </w:t>
      </w:r>
      <w:r w:rsidR="00E61E77" w:rsidRPr="00A22E80">
        <w:rPr>
          <w:rFonts w:ascii="Verdana" w:hAnsi="Verdana"/>
          <w:sz w:val="18"/>
          <w:szCs w:val="18"/>
        </w:rPr>
        <w:t xml:space="preserve">zij opgemerkt dat </w:t>
      </w:r>
      <w:r w:rsidR="005B4D2E" w:rsidRPr="00A22E80">
        <w:rPr>
          <w:rFonts w:ascii="Verdana" w:hAnsi="Verdana"/>
          <w:sz w:val="18"/>
          <w:szCs w:val="18"/>
        </w:rPr>
        <w:t xml:space="preserve">(kleinere) beleggingsondernemingen die </w:t>
      </w:r>
      <w:r w:rsidR="00E61E77" w:rsidRPr="00A22E80">
        <w:rPr>
          <w:rFonts w:ascii="Verdana" w:hAnsi="Verdana"/>
          <w:sz w:val="18"/>
          <w:szCs w:val="18"/>
        </w:rPr>
        <w:t xml:space="preserve">niet vallen onder de verordening kapitaalvereisten onder de reikwijdte van </w:t>
      </w:r>
      <w:r w:rsidRPr="00A22E80">
        <w:rPr>
          <w:rFonts w:ascii="Verdana" w:hAnsi="Verdana"/>
          <w:sz w:val="18"/>
          <w:szCs w:val="18"/>
        </w:rPr>
        <w:t>artikel 212nna</w:t>
      </w:r>
      <w:r w:rsidR="00E61E77" w:rsidRPr="00A22E80">
        <w:rPr>
          <w:rFonts w:ascii="Verdana" w:hAnsi="Verdana"/>
          <w:sz w:val="18"/>
          <w:szCs w:val="18"/>
        </w:rPr>
        <w:t xml:space="preserve"> </w:t>
      </w:r>
      <w:r w:rsidR="005B4D2E" w:rsidRPr="00A22E80">
        <w:rPr>
          <w:rFonts w:ascii="Verdana" w:hAnsi="Verdana"/>
          <w:sz w:val="18"/>
          <w:szCs w:val="18"/>
        </w:rPr>
        <w:t xml:space="preserve">kunnen </w:t>
      </w:r>
      <w:r w:rsidR="00E61E77" w:rsidRPr="00A22E80">
        <w:rPr>
          <w:rFonts w:ascii="Verdana" w:hAnsi="Verdana"/>
          <w:sz w:val="18"/>
          <w:szCs w:val="18"/>
        </w:rPr>
        <w:t>vallen</w:t>
      </w:r>
      <w:r w:rsidR="005B4D2E" w:rsidRPr="00A22E80">
        <w:rPr>
          <w:rFonts w:ascii="Verdana" w:hAnsi="Verdana"/>
          <w:sz w:val="18"/>
          <w:szCs w:val="18"/>
        </w:rPr>
        <w:t>,</w:t>
      </w:r>
      <w:r w:rsidR="00E61E77" w:rsidRPr="00A22E80">
        <w:rPr>
          <w:rFonts w:ascii="Verdana" w:hAnsi="Verdana"/>
          <w:sz w:val="18"/>
          <w:szCs w:val="18"/>
        </w:rPr>
        <w:t xml:space="preserve"> indien zij deel uitmaken van een (banken) groep als “financiële instelling”</w:t>
      </w:r>
      <w:r w:rsidRPr="00A22E80">
        <w:rPr>
          <w:rFonts w:ascii="Verdana" w:hAnsi="Verdana"/>
          <w:sz w:val="18"/>
          <w:szCs w:val="18"/>
        </w:rPr>
        <w:t>. Het bijzondere bankenregime is slechts dan op de in artikel 212nna genoemde entiteiten</w:t>
      </w:r>
      <w:r w:rsidR="000A6751" w:rsidRPr="00A22E80">
        <w:rPr>
          <w:rFonts w:ascii="Verdana" w:hAnsi="Verdana"/>
          <w:sz w:val="18"/>
          <w:szCs w:val="18"/>
        </w:rPr>
        <w:t xml:space="preserve"> van toepassing</w:t>
      </w:r>
      <w:r w:rsidRPr="00A22E80">
        <w:rPr>
          <w:rFonts w:ascii="Verdana" w:hAnsi="Verdana"/>
          <w:sz w:val="18"/>
          <w:szCs w:val="18"/>
        </w:rPr>
        <w:t xml:space="preserve"> indien op hen eerst afwikkelingsinstrumenten en –bevoegdheden zijn toegepast. Het bijzondere regime is op beleggingsondernemingen </w:t>
      </w:r>
      <w:r w:rsidR="00E61E77" w:rsidRPr="00A22E80">
        <w:rPr>
          <w:rFonts w:ascii="Verdana" w:hAnsi="Verdana"/>
          <w:sz w:val="18"/>
          <w:szCs w:val="18"/>
        </w:rPr>
        <w:t xml:space="preserve">in de zin van de verordening </w:t>
      </w:r>
      <w:r w:rsidR="00FE3359" w:rsidRPr="00A22E80">
        <w:rPr>
          <w:rFonts w:ascii="Verdana" w:hAnsi="Verdana"/>
          <w:sz w:val="18"/>
          <w:szCs w:val="18"/>
        </w:rPr>
        <w:t>kapitaalvereisten</w:t>
      </w:r>
      <w:r w:rsidR="00E61E77" w:rsidRPr="00A22E80">
        <w:rPr>
          <w:rFonts w:ascii="Verdana" w:hAnsi="Verdana"/>
          <w:sz w:val="18"/>
          <w:szCs w:val="18"/>
        </w:rPr>
        <w:t xml:space="preserve"> is </w:t>
      </w:r>
      <w:r w:rsidRPr="00A22E80">
        <w:rPr>
          <w:rFonts w:ascii="Verdana" w:hAnsi="Verdana"/>
          <w:sz w:val="18"/>
          <w:szCs w:val="18"/>
        </w:rPr>
        <w:t>ook van toepassing zonder dat</w:t>
      </w:r>
      <w:r w:rsidR="00F9461A" w:rsidRPr="00A22E80">
        <w:rPr>
          <w:rFonts w:ascii="Verdana" w:hAnsi="Verdana"/>
          <w:sz w:val="18"/>
          <w:szCs w:val="18"/>
        </w:rPr>
        <w:t xml:space="preserve"> aan die voorwaarde is voldaan.</w:t>
      </w:r>
    </w:p>
    <w:p w:rsidR="00A411EC" w:rsidRPr="00A22E80" w:rsidRDefault="00A411EC" w:rsidP="00A22E80">
      <w:pPr>
        <w:spacing w:line="260" w:lineRule="exact"/>
        <w:contextualSpacing/>
        <w:rPr>
          <w:rFonts w:ascii="Verdana" w:hAnsi="Verdana"/>
          <w:sz w:val="18"/>
          <w:szCs w:val="18"/>
        </w:rPr>
      </w:pPr>
    </w:p>
    <w:p w:rsidR="00CB22D0" w:rsidRPr="00A22E80" w:rsidRDefault="00D62EBF" w:rsidP="00A22E80">
      <w:pPr>
        <w:spacing w:line="260" w:lineRule="exact"/>
        <w:contextualSpacing/>
        <w:rPr>
          <w:rFonts w:ascii="Verdana" w:hAnsi="Verdana"/>
          <w:sz w:val="18"/>
          <w:szCs w:val="18"/>
        </w:rPr>
      </w:pPr>
      <w:r w:rsidRPr="00A22E80">
        <w:rPr>
          <w:rFonts w:ascii="Verdana" w:hAnsi="Verdana"/>
          <w:sz w:val="18"/>
          <w:szCs w:val="18"/>
        </w:rPr>
        <w:t>K</w:t>
      </w:r>
    </w:p>
    <w:p w:rsidR="00CB22D0" w:rsidRPr="00A22E80" w:rsidRDefault="00CB22D0" w:rsidP="00A22E80">
      <w:pPr>
        <w:spacing w:line="260" w:lineRule="exact"/>
        <w:contextualSpacing/>
        <w:rPr>
          <w:rFonts w:ascii="Verdana" w:hAnsi="Verdana"/>
          <w:sz w:val="18"/>
          <w:szCs w:val="18"/>
        </w:rPr>
      </w:pPr>
    </w:p>
    <w:p w:rsidR="00C145EC" w:rsidRPr="00A22E80" w:rsidRDefault="00C145EC" w:rsidP="00A22E80">
      <w:pPr>
        <w:pStyle w:val="Koptekst"/>
        <w:spacing w:line="260" w:lineRule="exact"/>
        <w:rPr>
          <w:rFonts w:ascii="Verdana" w:hAnsi="Verdana"/>
          <w:sz w:val="18"/>
          <w:szCs w:val="18"/>
        </w:rPr>
      </w:pPr>
      <w:r w:rsidRPr="00A22E80">
        <w:rPr>
          <w:rFonts w:ascii="Verdana" w:hAnsi="Verdana"/>
          <w:sz w:val="18"/>
          <w:szCs w:val="18"/>
        </w:rPr>
        <w:t xml:space="preserve">Op grond van artikel 268, eerste lid, onderdeel g, </w:t>
      </w:r>
      <w:proofErr w:type="spellStart"/>
      <w:r w:rsidRPr="00A22E80">
        <w:rPr>
          <w:rFonts w:ascii="Verdana" w:hAnsi="Verdana"/>
          <w:sz w:val="18"/>
          <w:szCs w:val="18"/>
        </w:rPr>
        <w:t>jo</w:t>
      </w:r>
      <w:proofErr w:type="spellEnd"/>
      <w:r w:rsidRPr="00A22E80">
        <w:rPr>
          <w:rFonts w:ascii="Verdana" w:hAnsi="Verdana"/>
          <w:sz w:val="18"/>
          <w:szCs w:val="18"/>
        </w:rPr>
        <w:t xml:space="preserve">. artikel 275 van de richtlijn solvabiliteit II dienen ook vorderingen uit hoofde van verrichtingen bevoorrecht te zijn. In artikel 213m, derde lid, van de </w:t>
      </w:r>
      <w:proofErr w:type="spellStart"/>
      <w:r w:rsidRPr="00A22E80">
        <w:rPr>
          <w:rFonts w:ascii="Verdana" w:hAnsi="Verdana"/>
          <w:sz w:val="18"/>
          <w:szCs w:val="18"/>
        </w:rPr>
        <w:t>Fw</w:t>
      </w:r>
      <w:proofErr w:type="spellEnd"/>
      <w:r w:rsidRPr="00A22E80">
        <w:rPr>
          <w:rFonts w:ascii="Verdana" w:hAnsi="Verdana"/>
          <w:sz w:val="18"/>
          <w:szCs w:val="18"/>
        </w:rPr>
        <w:t xml:space="preserve"> is dit niet altijd het geval. Daarin ontbreken namelijk ten dele de vorderingen uit hoofde van zgn. verrichtingen. Daarom wordt voorgesteld het ontbrekende deel van die definitie, voor zover nodig, alsnog over te nemen. </w:t>
      </w:r>
      <w:r w:rsidR="00B619C7" w:rsidRPr="00A22E80">
        <w:rPr>
          <w:rFonts w:ascii="Verdana" w:hAnsi="Verdana"/>
          <w:sz w:val="18"/>
          <w:szCs w:val="18"/>
        </w:rPr>
        <w:t>V</w:t>
      </w:r>
      <w:r w:rsidRPr="00A22E80">
        <w:rPr>
          <w:rFonts w:ascii="Verdana" w:hAnsi="Verdana"/>
          <w:sz w:val="18"/>
          <w:szCs w:val="18"/>
        </w:rPr>
        <w:t>orderingen uit hoofde van overeenkomsten t</w:t>
      </w:r>
      <w:r w:rsidR="000431E2" w:rsidRPr="00A22E80">
        <w:rPr>
          <w:rFonts w:ascii="Verdana" w:hAnsi="Verdana"/>
          <w:sz w:val="18"/>
          <w:szCs w:val="18"/>
        </w:rPr>
        <w:t>ot kapitalisatieverrichtingen of</w:t>
      </w:r>
      <w:r w:rsidRPr="00A22E80">
        <w:rPr>
          <w:rFonts w:ascii="Verdana" w:hAnsi="Verdana"/>
          <w:sz w:val="18"/>
          <w:szCs w:val="18"/>
        </w:rPr>
        <w:t xml:space="preserve"> beheer over collectieve pensioenfondsen </w:t>
      </w:r>
      <w:r w:rsidR="00B619C7" w:rsidRPr="00A22E80">
        <w:rPr>
          <w:rFonts w:ascii="Verdana" w:hAnsi="Verdana"/>
          <w:sz w:val="18"/>
          <w:szCs w:val="18"/>
        </w:rPr>
        <w:t xml:space="preserve">worden </w:t>
      </w:r>
      <w:r w:rsidRPr="00A22E80">
        <w:rPr>
          <w:rFonts w:ascii="Verdana" w:hAnsi="Verdana"/>
          <w:sz w:val="18"/>
          <w:szCs w:val="18"/>
        </w:rPr>
        <w:t>toegevoegd. Branche 5 (Deelneming in spaarkassen) kan achterwege blijven, omdat vorderingen uit hoofde van die branche onder de definitie van levensverzekering vallen.</w:t>
      </w:r>
    </w:p>
    <w:p w:rsidR="0027707D" w:rsidRPr="00A22E80" w:rsidRDefault="0027707D" w:rsidP="00A22E80">
      <w:pPr>
        <w:widowControl w:val="0"/>
        <w:tabs>
          <w:tab w:val="num" w:pos="720"/>
        </w:tabs>
        <w:spacing w:line="260" w:lineRule="exact"/>
        <w:rPr>
          <w:rFonts w:ascii="Verdana" w:hAnsi="Verdana" w:cs="Arial"/>
          <w:sz w:val="18"/>
          <w:szCs w:val="18"/>
        </w:rPr>
      </w:pPr>
    </w:p>
    <w:p w:rsidR="0027707D" w:rsidRPr="00A22E80" w:rsidRDefault="00D62EBF"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L</w:t>
      </w:r>
    </w:p>
    <w:p w:rsidR="0027707D" w:rsidRPr="00A22E80" w:rsidRDefault="0027707D" w:rsidP="00A22E80">
      <w:pPr>
        <w:widowControl w:val="0"/>
        <w:tabs>
          <w:tab w:val="num" w:pos="720"/>
        </w:tabs>
        <w:spacing w:line="260" w:lineRule="exact"/>
        <w:rPr>
          <w:rFonts w:ascii="Verdana" w:hAnsi="Verdana" w:cstheme="minorHAnsi"/>
          <w:sz w:val="18"/>
          <w:szCs w:val="18"/>
        </w:rPr>
      </w:pPr>
    </w:p>
    <w:p w:rsidR="007124B2" w:rsidRPr="00A22E80" w:rsidRDefault="007124B2" w:rsidP="00A22E80">
      <w:pPr>
        <w:widowControl w:val="0"/>
        <w:spacing w:line="260" w:lineRule="exact"/>
        <w:rPr>
          <w:rFonts w:ascii="Verdana" w:hAnsi="Verdana" w:cstheme="minorHAnsi"/>
          <w:sz w:val="18"/>
          <w:szCs w:val="18"/>
        </w:rPr>
      </w:pPr>
      <w:r w:rsidRPr="00A22E80">
        <w:rPr>
          <w:rFonts w:ascii="Verdana" w:hAnsi="Verdana" w:cstheme="minorHAnsi"/>
          <w:sz w:val="18"/>
          <w:szCs w:val="18"/>
        </w:rPr>
        <w:t xml:space="preserve">Op grond van artikel 268, eerste lid, onderdeel g, </w:t>
      </w:r>
      <w:proofErr w:type="spellStart"/>
      <w:r w:rsidRPr="00A22E80">
        <w:rPr>
          <w:rFonts w:ascii="Verdana" w:hAnsi="Verdana" w:cstheme="minorHAnsi"/>
          <w:sz w:val="18"/>
          <w:szCs w:val="18"/>
        </w:rPr>
        <w:t>jo</w:t>
      </w:r>
      <w:proofErr w:type="spellEnd"/>
      <w:r w:rsidRPr="00A22E80">
        <w:rPr>
          <w:rFonts w:ascii="Verdana" w:hAnsi="Verdana" w:cstheme="minorHAnsi"/>
          <w:sz w:val="18"/>
          <w:szCs w:val="18"/>
        </w:rPr>
        <w:t>. artikel 275 van de richtlijn solvabiliteit II dienen niet alleen betaalde premies, maar ook betalingen voor verrichtingen te zijn bevoorrecht. De voorgestelde wijziging voorziet hierin.</w:t>
      </w:r>
    </w:p>
    <w:p w:rsidR="000D185D" w:rsidRPr="00A22E80" w:rsidRDefault="000D185D" w:rsidP="00A22E80">
      <w:pPr>
        <w:widowControl w:val="0"/>
        <w:tabs>
          <w:tab w:val="num" w:pos="720"/>
        </w:tabs>
        <w:spacing w:line="260" w:lineRule="exact"/>
        <w:rPr>
          <w:rFonts w:ascii="Verdana" w:hAnsi="Verdana" w:cs="Arial"/>
          <w:sz w:val="18"/>
          <w:szCs w:val="18"/>
        </w:rPr>
      </w:pPr>
    </w:p>
    <w:p w:rsidR="00F47E91" w:rsidRPr="00A22E80" w:rsidRDefault="00F47E91" w:rsidP="00A22E80">
      <w:pPr>
        <w:widowControl w:val="0"/>
        <w:tabs>
          <w:tab w:val="num" w:pos="720"/>
        </w:tabs>
        <w:spacing w:line="260" w:lineRule="exact"/>
        <w:rPr>
          <w:rFonts w:ascii="Verdana" w:hAnsi="Verdana" w:cs="Arial"/>
          <w:sz w:val="18"/>
          <w:szCs w:val="18"/>
        </w:rPr>
      </w:pPr>
    </w:p>
    <w:p w:rsidR="00F47E91" w:rsidRPr="00A22E80" w:rsidRDefault="00F47E91" w:rsidP="00A22E80">
      <w:pPr>
        <w:widowControl w:val="0"/>
        <w:spacing w:line="260" w:lineRule="exact"/>
        <w:rPr>
          <w:rFonts w:ascii="Verdana" w:hAnsi="Verdana"/>
          <w:sz w:val="18"/>
          <w:szCs w:val="18"/>
        </w:rPr>
      </w:pPr>
      <w:r w:rsidRPr="00A22E80">
        <w:rPr>
          <w:rFonts w:ascii="Verdana" w:hAnsi="Verdana"/>
          <w:b/>
          <w:sz w:val="18"/>
          <w:szCs w:val="18"/>
        </w:rPr>
        <w:t xml:space="preserve">ARTIKEL </w:t>
      </w:r>
      <w:r w:rsidR="001755AB" w:rsidRPr="00A22E80">
        <w:rPr>
          <w:rFonts w:ascii="Verdana" w:hAnsi="Verdana"/>
          <w:b/>
          <w:sz w:val="18"/>
          <w:szCs w:val="18"/>
        </w:rPr>
        <w:t>III</w:t>
      </w:r>
    </w:p>
    <w:p w:rsidR="00F47E91" w:rsidRPr="00A22E80" w:rsidRDefault="00F47E91" w:rsidP="00A22E80">
      <w:pPr>
        <w:widowControl w:val="0"/>
        <w:tabs>
          <w:tab w:val="num" w:pos="720"/>
        </w:tabs>
        <w:spacing w:line="260" w:lineRule="exact"/>
        <w:rPr>
          <w:rFonts w:ascii="Verdana" w:hAnsi="Verdana" w:cs="Arial"/>
          <w:sz w:val="18"/>
          <w:szCs w:val="18"/>
        </w:rPr>
      </w:pPr>
    </w:p>
    <w:p w:rsidR="00E97CE8" w:rsidRPr="00A22E80" w:rsidRDefault="00E97CE8"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A en B</w:t>
      </w:r>
    </w:p>
    <w:p w:rsidR="00E97CE8" w:rsidRPr="00A22E80" w:rsidRDefault="00E97CE8" w:rsidP="00A22E80">
      <w:pPr>
        <w:widowControl w:val="0"/>
        <w:tabs>
          <w:tab w:val="num" w:pos="720"/>
        </w:tabs>
        <w:spacing w:line="260" w:lineRule="exact"/>
        <w:rPr>
          <w:rFonts w:ascii="Verdana" w:hAnsi="Verdana" w:cs="Arial"/>
          <w:sz w:val="18"/>
          <w:szCs w:val="18"/>
        </w:rPr>
      </w:pPr>
    </w:p>
    <w:p w:rsidR="00E97CE8" w:rsidRPr="00A22E80" w:rsidRDefault="00E97CE8" w:rsidP="00A22E80">
      <w:pPr>
        <w:spacing w:line="260" w:lineRule="exact"/>
        <w:rPr>
          <w:rFonts w:ascii="Verdana" w:hAnsi="Verdana"/>
          <w:sz w:val="18"/>
          <w:szCs w:val="18"/>
        </w:rPr>
      </w:pPr>
      <w:r w:rsidRPr="00A22E80">
        <w:rPr>
          <w:rFonts w:ascii="Verdana" w:hAnsi="Verdana"/>
          <w:sz w:val="18"/>
          <w:szCs w:val="18"/>
        </w:rPr>
        <w:t xml:space="preserve">Op grond van de richtlijn herstel en afwikkeling van banken en beleggingsondernemingen dient een bank, beleggingsonderneming, financiële holding, gemengde financiële holding of gemengde holding (hierna: bank, beleggingsonderneming of holding) de oproepingstermijn van een vergadering die wordt gehouden voor een kapitaalverhoging om afwikkeling te voorkomen, op grond van de statuten te kunnen verkorten. Voor een beursgenoteerde bank, beleggingsonderneming of holding is dit </w:t>
      </w:r>
      <w:r w:rsidR="0096366F" w:rsidRPr="00A22E80">
        <w:rPr>
          <w:rFonts w:ascii="Verdana" w:hAnsi="Verdana"/>
          <w:sz w:val="18"/>
          <w:szCs w:val="18"/>
        </w:rPr>
        <w:t xml:space="preserve">geïmplementeerd </w:t>
      </w:r>
      <w:r w:rsidRPr="00A22E80">
        <w:rPr>
          <w:rFonts w:ascii="Verdana" w:hAnsi="Verdana"/>
          <w:sz w:val="18"/>
          <w:szCs w:val="18"/>
        </w:rPr>
        <w:t>in het derde lid van artikel 2:115 BW</w:t>
      </w:r>
      <w:r w:rsidR="0096366F" w:rsidRPr="00A22E80">
        <w:rPr>
          <w:rFonts w:ascii="Verdana" w:hAnsi="Verdana"/>
          <w:sz w:val="18"/>
          <w:szCs w:val="18"/>
        </w:rPr>
        <w:t xml:space="preserve"> dat is toegevoegd</w:t>
      </w:r>
      <w:r w:rsidRPr="00A22E80">
        <w:rPr>
          <w:rFonts w:ascii="Verdana" w:hAnsi="Verdana"/>
          <w:sz w:val="18"/>
          <w:szCs w:val="18"/>
        </w:rPr>
        <w:t xml:space="preserve"> </w:t>
      </w:r>
      <w:r w:rsidR="0096366F" w:rsidRPr="00A22E80">
        <w:rPr>
          <w:rFonts w:ascii="Verdana" w:hAnsi="Verdana"/>
          <w:sz w:val="18"/>
          <w:szCs w:val="18"/>
        </w:rPr>
        <w:t xml:space="preserve">met </w:t>
      </w:r>
      <w:r w:rsidR="00B619C7" w:rsidRPr="00A22E80">
        <w:rPr>
          <w:rFonts w:ascii="Verdana" w:hAnsi="Verdana"/>
          <w:sz w:val="18"/>
          <w:szCs w:val="18"/>
        </w:rPr>
        <w:t xml:space="preserve">de </w:t>
      </w:r>
      <w:r w:rsidRPr="00A22E80">
        <w:rPr>
          <w:rFonts w:ascii="Verdana" w:hAnsi="Verdana"/>
          <w:sz w:val="18"/>
          <w:szCs w:val="18"/>
        </w:rPr>
        <w:t xml:space="preserve">Implementatiewet Europees </w:t>
      </w:r>
      <w:r w:rsidRPr="00A22E80">
        <w:rPr>
          <w:rFonts w:ascii="Verdana" w:hAnsi="Verdana"/>
          <w:sz w:val="18"/>
          <w:szCs w:val="18"/>
        </w:rPr>
        <w:lastRenderedPageBreak/>
        <w:t>kader voor herstel en afwikkeling van banken en beleggingsondernemingen</w:t>
      </w:r>
      <w:r w:rsidR="0096366F" w:rsidRPr="00A22E80">
        <w:rPr>
          <w:rFonts w:ascii="Verdana" w:hAnsi="Verdana"/>
          <w:sz w:val="18"/>
          <w:szCs w:val="18"/>
        </w:rPr>
        <w:t xml:space="preserve">. </w:t>
      </w:r>
      <w:r w:rsidRPr="00A22E80">
        <w:rPr>
          <w:rFonts w:ascii="Verdana" w:hAnsi="Verdana"/>
          <w:sz w:val="18"/>
          <w:szCs w:val="18"/>
        </w:rPr>
        <w:t xml:space="preserve">Daarin is bepaald dat in afwijking van het tweede lid, op basis waarvan de oproepingstermijn minimaal 42 dagen </w:t>
      </w:r>
      <w:bookmarkStart w:id="4" w:name="_GoBack"/>
      <w:bookmarkEnd w:id="4"/>
      <w:r w:rsidRPr="00A22E80">
        <w:rPr>
          <w:rFonts w:ascii="Verdana" w:hAnsi="Verdana"/>
          <w:sz w:val="18"/>
          <w:szCs w:val="18"/>
        </w:rPr>
        <w:t>bedraagt, de oproeping niet later dan de tiende dag vóór die van de ve</w:t>
      </w:r>
      <w:r w:rsidR="00FA0BFE" w:rsidRPr="00A22E80">
        <w:rPr>
          <w:rFonts w:ascii="Verdana" w:hAnsi="Verdana"/>
          <w:sz w:val="18"/>
          <w:szCs w:val="18"/>
        </w:rPr>
        <w:t>rgadering dient te geschieden. Abusievelijk is n</w:t>
      </w:r>
      <w:r w:rsidRPr="00A22E80">
        <w:rPr>
          <w:rFonts w:ascii="Verdana" w:hAnsi="Verdana"/>
          <w:sz w:val="18"/>
          <w:szCs w:val="18"/>
        </w:rPr>
        <w:t xml:space="preserve">agelaten deze mogelijkheid ook te </w:t>
      </w:r>
      <w:r w:rsidR="00FA0BFE" w:rsidRPr="00A22E80">
        <w:rPr>
          <w:rFonts w:ascii="Verdana" w:hAnsi="Verdana"/>
          <w:sz w:val="18"/>
          <w:szCs w:val="18"/>
        </w:rPr>
        <w:t xml:space="preserve">regelen voor </w:t>
      </w:r>
      <w:r w:rsidRPr="00A22E80">
        <w:rPr>
          <w:rFonts w:ascii="Verdana" w:hAnsi="Verdana"/>
          <w:sz w:val="18"/>
          <w:szCs w:val="18"/>
        </w:rPr>
        <w:t xml:space="preserve">een niet-beursgenoteerde bank, beleggingsonderneming of holding. Voor deze entiteiten geldt op basis van artikel 2:115 lid 1 BW dat de oproeping niet later dan op de vijftiende dag voor die der vergadering dient te geschieden. Voorgesteld wordt om dit onderscheid op te heffen door de afwijking in het derde lid van artikel 2:115 BW ook ten aanzien van de oproepingstermijn in het eerste lid van dat artikel te laten gelden. Ook in dit geval geldt het bepaalde in het vierde lid van artikel 2:115 BW dat </w:t>
      </w:r>
      <w:r w:rsidR="00B619C7" w:rsidRPr="00A22E80">
        <w:rPr>
          <w:rFonts w:ascii="Verdana" w:hAnsi="Verdana"/>
          <w:sz w:val="18"/>
          <w:szCs w:val="18"/>
        </w:rPr>
        <w:t>daar</w:t>
      </w:r>
      <w:r w:rsidRPr="00A22E80">
        <w:rPr>
          <w:rFonts w:ascii="Verdana" w:hAnsi="Verdana"/>
          <w:sz w:val="18"/>
          <w:szCs w:val="18"/>
        </w:rPr>
        <w:t>voor een statutenwijziging</w:t>
      </w:r>
      <w:r w:rsidR="00B619C7" w:rsidRPr="00A22E80">
        <w:rPr>
          <w:rFonts w:ascii="Verdana" w:hAnsi="Verdana"/>
          <w:sz w:val="18"/>
          <w:szCs w:val="18"/>
        </w:rPr>
        <w:t xml:space="preserve"> benodigd is waarvoor</w:t>
      </w:r>
      <w:r w:rsidRPr="00A22E80">
        <w:rPr>
          <w:rFonts w:ascii="Verdana" w:hAnsi="Verdana"/>
          <w:sz w:val="18"/>
          <w:szCs w:val="18"/>
        </w:rPr>
        <w:t xml:space="preserve"> een twee derde meerderheid van de stemmen vereist is.</w:t>
      </w:r>
    </w:p>
    <w:p w:rsidR="00FA0BFE" w:rsidRPr="00A22E80" w:rsidRDefault="00FA0BFE" w:rsidP="00A22E80">
      <w:pPr>
        <w:spacing w:line="260" w:lineRule="exact"/>
        <w:rPr>
          <w:rFonts w:ascii="Verdana" w:hAnsi="Verdana"/>
          <w:sz w:val="18"/>
          <w:szCs w:val="18"/>
        </w:rPr>
      </w:pPr>
    </w:p>
    <w:p w:rsidR="00E97CE8" w:rsidRPr="00A22E80" w:rsidRDefault="00E97CE8" w:rsidP="00A22E80">
      <w:pPr>
        <w:spacing w:line="260" w:lineRule="exact"/>
        <w:rPr>
          <w:rFonts w:ascii="Verdana" w:hAnsi="Verdana"/>
          <w:sz w:val="18"/>
          <w:szCs w:val="18"/>
        </w:rPr>
      </w:pPr>
      <w:r w:rsidRPr="00A22E80">
        <w:rPr>
          <w:rFonts w:ascii="Verdana" w:hAnsi="Verdana"/>
          <w:sz w:val="18"/>
          <w:szCs w:val="18"/>
        </w:rPr>
        <w:t>In artikel 2:119 lid 4 BW is thans geregeld dat bij het verplichte gebruik van een registratiedatum door een beursgenoteerde bank, beleggingsonderneming of holding de registratiedatum bij een algemene vergadering om afwikkeling te voorkomen niet ligt op de achtentwintigste dag voor de vergadering, maar op een in de statuten te bepalen datum. Voorgesteld wordt om deze bepaling zo te wijzigen dat ook voor een bank, beleggingsonderneming of holding zonder beursnotering (die ervoor kunnen kiezen een registratiedatum te gebruiken) geldt dat de registratiedatum ligt op een in de statuten te bepalen datum wanneer het een vergadering betref</w:t>
      </w:r>
      <w:r w:rsidR="0088038B" w:rsidRPr="00A22E80">
        <w:rPr>
          <w:rFonts w:ascii="Verdana" w:hAnsi="Verdana"/>
          <w:sz w:val="18"/>
          <w:szCs w:val="18"/>
        </w:rPr>
        <w:t>t</w:t>
      </w:r>
      <w:r w:rsidR="00B619C7" w:rsidRPr="00A22E80">
        <w:rPr>
          <w:rFonts w:ascii="Verdana" w:hAnsi="Verdana"/>
          <w:sz w:val="18"/>
          <w:szCs w:val="18"/>
        </w:rPr>
        <w:t xml:space="preserve"> </w:t>
      </w:r>
      <w:r w:rsidR="00F67152" w:rsidRPr="00A22E80">
        <w:rPr>
          <w:rFonts w:ascii="Verdana" w:hAnsi="Verdana"/>
          <w:sz w:val="18"/>
          <w:szCs w:val="18"/>
        </w:rPr>
        <w:t xml:space="preserve">over </w:t>
      </w:r>
      <w:r w:rsidR="00B619C7" w:rsidRPr="00A22E80">
        <w:rPr>
          <w:rFonts w:ascii="Verdana" w:hAnsi="Verdana"/>
          <w:sz w:val="18"/>
          <w:szCs w:val="18"/>
        </w:rPr>
        <w:t>een be</w:t>
      </w:r>
      <w:r w:rsidR="00232268" w:rsidRPr="00A22E80">
        <w:rPr>
          <w:rFonts w:ascii="Verdana" w:hAnsi="Verdana"/>
          <w:sz w:val="18"/>
          <w:szCs w:val="18"/>
        </w:rPr>
        <w:t>sluit tot uitgifte van aandelen</w:t>
      </w:r>
      <w:r w:rsidR="0088038B" w:rsidRPr="00A22E80">
        <w:rPr>
          <w:rFonts w:ascii="Verdana" w:hAnsi="Verdana"/>
          <w:sz w:val="18"/>
          <w:szCs w:val="18"/>
        </w:rPr>
        <w:t xml:space="preserve"> om </w:t>
      </w:r>
      <w:r w:rsidR="00F67152" w:rsidRPr="00A22E80">
        <w:rPr>
          <w:rFonts w:ascii="Verdana" w:hAnsi="Verdana"/>
          <w:sz w:val="18"/>
          <w:szCs w:val="18"/>
        </w:rPr>
        <w:t xml:space="preserve">te voorkomen dat aan de voorwaarden voor </w:t>
      </w:r>
      <w:r w:rsidR="0088038B" w:rsidRPr="00A22E80">
        <w:rPr>
          <w:rFonts w:ascii="Verdana" w:hAnsi="Verdana"/>
          <w:sz w:val="18"/>
          <w:szCs w:val="18"/>
        </w:rPr>
        <w:t xml:space="preserve">afwikkeling </w:t>
      </w:r>
      <w:r w:rsidR="00F67152" w:rsidRPr="00A22E80">
        <w:rPr>
          <w:rFonts w:ascii="Verdana" w:hAnsi="Verdana"/>
          <w:sz w:val="18"/>
          <w:szCs w:val="18"/>
        </w:rPr>
        <w:t>wordt voldaan</w:t>
      </w:r>
      <w:r w:rsidR="0088038B" w:rsidRPr="00A22E80">
        <w:rPr>
          <w:rFonts w:ascii="Verdana" w:hAnsi="Verdana"/>
          <w:sz w:val="18"/>
          <w:szCs w:val="18"/>
        </w:rPr>
        <w:t>.</w:t>
      </w:r>
    </w:p>
    <w:p w:rsidR="00E97CE8" w:rsidRPr="00A22E80" w:rsidRDefault="00E97CE8" w:rsidP="00A22E80">
      <w:pPr>
        <w:spacing w:line="260" w:lineRule="exact"/>
        <w:rPr>
          <w:rFonts w:ascii="Verdana" w:hAnsi="Verdana"/>
          <w:sz w:val="18"/>
          <w:szCs w:val="18"/>
        </w:rPr>
      </w:pPr>
      <w:r w:rsidRPr="00A22E80">
        <w:rPr>
          <w:rFonts w:ascii="Verdana" w:hAnsi="Verdana"/>
          <w:sz w:val="18"/>
          <w:szCs w:val="18"/>
        </w:rPr>
        <w:t xml:space="preserve">Voor de volledigheid wordt erop gewezen dat dit ook gevolgen heeft voor het verplichte gebruik van een registratiedatum wanneer stemmen voorafgaand aan de algemene vergadering worden uitgebracht op grond van artikel 2:117b BW. Voor een beursgenoteerde bank, beleggingsonderneming of holding geldt op grond van artikel 2:117b lid 5 BW dat de registratiedatum voor een algemene vergadering om afwikkeling te voorkomen ligt op een in de statuten te bepalen registratiedatum. Deze bepaling behoeft geen aanpassing om hetzelfde te laten gelden voor een dergelijke entiteit zonder beursnotering. </w:t>
      </w:r>
    </w:p>
    <w:p w:rsidR="0005573A" w:rsidRPr="00A22E80" w:rsidRDefault="0005573A" w:rsidP="00A22E80">
      <w:pPr>
        <w:pStyle w:val="Geenafstand"/>
        <w:spacing w:line="260" w:lineRule="exact"/>
        <w:rPr>
          <w:szCs w:val="18"/>
        </w:rPr>
      </w:pPr>
    </w:p>
    <w:p w:rsidR="0005573A" w:rsidRPr="00A22E80" w:rsidRDefault="0005573A" w:rsidP="00A22E80">
      <w:pPr>
        <w:pStyle w:val="Geenafstand"/>
        <w:spacing w:line="260" w:lineRule="exact"/>
        <w:rPr>
          <w:szCs w:val="18"/>
        </w:rPr>
      </w:pPr>
      <w:r w:rsidRPr="00A22E80">
        <w:rPr>
          <w:szCs w:val="18"/>
        </w:rPr>
        <w:t>C</w:t>
      </w:r>
    </w:p>
    <w:p w:rsidR="0005573A" w:rsidRPr="00A22E80" w:rsidRDefault="0005573A" w:rsidP="00A22E80">
      <w:pPr>
        <w:pStyle w:val="Geenafstand"/>
        <w:spacing w:line="260" w:lineRule="exact"/>
        <w:rPr>
          <w:szCs w:val="18"/>
        </w:rPr>
      </w:pPr>
    </w:p>
    <w:p w:rsidR="0005573A" w:rsidRPr="00A22E80" w:rsidRDefault="0005573A" w:rsidP="00A22E80">
      <w:pPr>
        <w:pStyle w:val="Geenafstand"/>
        <w:spacing w:line="260" w:lineRule="exact"/>
        <w:rPr>
          <w:szCs w:val="18"/>
        </w:rPr>
      </w:pPr>
      <w:r w:rsidRPr="00A22E80">
        <w:rPr>
          <w:szCs w:val="18"/>
        </w:rPr>
        <w:t xml:space="preserve">In Boek 2 van het Burgerlijk Wetboek wordt meerdere malen verwezen naar artikel 5:25m, zesde lid, van de </w:t>
      </w:r>
      <w:proofErr w:type="spellStart"/>
      <w:r w:rsidRPr="00A22E80">
        <w:rPr>
          <w:szCs w:val="18"/>
        </w:rPr>
        <w:t>Wft</w:t>
      </w:r>
      <w:proofErr w:type="spellEnd"/>
      <w:r w:rsidRPr="00A22E80">
        <w:rPr>
          <w:szCs w:val="18"/>
        </w:rPr>
        <w:t xml:space="preserve">. Deze bepaling regelt dat uitgevende instellingen zogeheten gereglementeerde informatie, waaronder de jaarrekening, gelijktijdig met de openbaarmaking aan de Autoriteit Financiële Markten zenden. Artikel 5:25m, zesde lid, </w:t>
      </w:r>
      <w:proofErr w:type="spellStart"/>
      <w:r w:rsidRPr="00A22E80">
        <w:rPr>
          <w:szCs w:val="18"/>
        </w:rPr>
        <w:t>Wft</w:t>
      </w:r>
      <w:proofErr w:type="spellEnd"/>
      <w:r w:rsidRPr="00A22E80">
        <w:rPr>
          <w:szCs w:val="18"/>
        </w:rPr>
        <w:t xml:space="preserve"> is bij de Wet implementatie verordening en richtlijn marktmisbruik vernummerd tot artikel 5:25m, vijfde lid. In voornoemde wet is verzuimd de bestaande verwijzingen dienovereenkomstig aan te passen. Met de voorgestelde wijzigingen wordt dit hersteld.</w:t>
      </w:r>
    </w:p>
    <w:p w:rsidR="00AA4E75" w:rsidRPr="00A22E80" w:rsidRDefault="00AA4E75" w:rsidP="00A22E80">
      <w:pPr>
        <w:widowControl w:val="0"/>
        <w:tabs>
          <w:tab w:val="num" w:pos="720"/>
        </w:tabs>
        <w:spacing w:line="260" w:lineRule="exact"/>
        <w:rPr>
          <w:rFonts w:ascii="Verdana" w:hAnsi="Verdana" w:cs="Arial"/>
          <w:sz w:val="18"/>
          <w:szCs w:val="18"/>
        </w:rPr>
      </w:pPr>
    </w:p>
    <w:p w:rsidR="00C87523" w:rsidRPr="00A22E80" w:rsidRDefault="00C87523" w:rsidP="00A22E80">
      <w:pPr>
        <w:widowControl w:val="0"/>
        <w:tabs>
          <w:tab w:val="num" w:pos="720"/>
        </w:tabs>
        <w:spacing w:line="260" w:lineRule="exact"/>
        <w:rPr>
          <w:rFonts w:ascii="Verdana" w:hAnsi="Verdana" w:cs="Arial"/>
          <w:sz w:val="18"/>
          <w:szCs w:val="18"/>
        </w:rPr>
      </w:pPr>
    </w:p>
    <w:p w:rsidR="009E7CE2" w:rsidRPr="00A22E80" w:rsidRDefault="009E7CE2" w:rsidP="00A22E80">
      <w:pPr>
        <w:widowControl w:val="0"/>
        <w:tabs>
          <w:tab w:val="num" w:pos="720"/>
        </w:tabs>
        <w:spacing w:line="260" w:lineRule="exact"/>
        <w:rPr>
          <w:rFonts w:ascii="Verdana" w:hAnsi="Verdana" w:cs="Arial"/>
          <w:b/>
          <w:sz w:val="18"/>
          <w:szCs w:val="18"/>
        </w:rPr>
      </w:pPr>
      <w:r w:rsidRPr="00A22E80">
        <w:rPr>
          <w:rFonts w:ascii="Verdana" w:hAnsi="Verdana" w:cs="Arial"/>
          <w:b/>
          <w:sz w:val="18"/>
          <w:szCs w:val="18"/>
        </w:rPr>
        <w:t>ARTIKEL IV</w:t>
      </w:r>
    </w:p>
    <w:p w:rsidR="009E7CE2" w:rsidRPr="00A22E80" w:rsidRDefault="009E7CE2" w:rsidP="00A22E80">
      <w:pPr>
        <w:widowControl w:val="0"/>
        <w:tabs>
          <w:tab w:val="num" w:pos="720"/>
        </w:tabs>
        <w:spacing w:line="260" w:lineRule="exact"/>
        <w:rPr>
          <w:rFonts w:ascii="Verdana" w:hAnsi="Verdana" w:cs="Arial"/>
          <w:sz w:val="18"/>
          <w:szCs w:val="18"/>
        </w:rPr>
      </w:pPr>
    </w:p>
    <w:p w:rsidR="009E7CE2" w:rsidRPr="00A22E80" w:rsidRDefault="009E1BBF"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Bij de implementatie van de richtlijn herstel en afwikkeling van banken en beleggingsondernemingen </w:t>
      </w:r>
      <w:r w:rsidR="00146B12" w:rsidRPr="00A22E80">
        <w:rPr>
          <w:rFonts w:ascii="Verdana" w:hAnsi="Verdana" w:cs="Arial"/>
          <w:sz w:val="18"/>
          <w:szCs w:val="18"/>
        </w:rPr>
        <w:t>liet</w:t>
      </w:r>
      <w:r w:rsidRPr="00A22E80">
        <w:rPr>
          <w:rFonts w:ascii="Verdana" w:hAnsi="Verdana" w:cs="Arial"/>
          <w:sz w:val="18"/>
          <w:szCs w:val="18"/>
        </w:rPr>
        <w:t xml:space="preserve"> </w:t>
      </w:r>
      <w:r w:rsidR="004A349C" w:rsidRPr="00A22E80">
        <w:rPr>
          <w:rFonts w:ascii="Verdana" w:hAnsi="Verdana" w:cs="Arial"/>
          <w:sz w:val="18"/>
          <w:szCs w:val="18"/>
        </w:rPr>
        <w:t xml:space="preserve">artikel I, </w:t>
      </w:r>
      <w:r w:rsidRPr="00A22E80">
        <w:rPr>
          <w:rFonts w:ascii="Verdana" w:hAnsi="Verdana" w:cs="Arial"/>
          <w:sz w:val="18"/>
          <w:szCs w:val="18"/>
        </w:rPr>
        <w:t>onderdeel BB</w:t>
      </w:r>
      <w:r w:rsidR="00C573F8">
        <w:rPr>
          <w:rFonts w:ascii="Verdana" w:hAnsi="Verdana" w:cs="Arial"/>
          <w:sz w:val="18"/>
          <w:szCs w:val="18"/>
        </w:rPr>
        <w:t>,</w:t>
      </w:r>
      <w:r w:rsidRPr="00A22E80">
        <w:rPr>
          <w:rFonts w:ascii="Verdana" w:hAnsi="Verdana" w:cs="Arial"/>
          <w:sz w:val="18"/>
          <w:szCs w:val="18"/>
        </w:rPr>
        <w:t xml:space="preserve"> van de Implementatiewet Europees kader voor </w:t>
      </w:r>
      <w:r w:rsidR="00146B12" w:rsidRPr="00A22E80">
        <w:rPr>
          <w:rFonts w:ascii="Verdana" w:hAnsi="Verdana" w:cs="Arial"/>
          <w:sz w:val="18"/>
          <w:szCs w:val="18"/>
        </w:rPr>
        <w:t xml:space="preserve">herstel en afwikkeling van banken en beleggingsondernemingen de artikelen 3:159h tot en met 3:159n </w:t>
      </w:r>
      <w:proofErr w:type="spellStart"/>
      <w:r w:rsidR="00146B12" w:rsidRPr="00A22E80">
        <w:rPr>
          <w:rFonts w:ascii="Verdana" w:hAnsi="Verdana" w:cs="Arial"/>
          <w:sz w:val="18"/>
          <w:szCs w:val="18"/>
        </w:rPr>
        <w:t>Wft</w:t>
      </w:r>
      <w:proofErr w:type="spellEnd"/>
      <w:r w:rsidR="00146B12" w:rsidRPr="00A22E80">
        <w:rPr>
          <w:rFonts w:ascii="Verdana" w:hAnsi="Verdana" w:cs="Arial"/>
          <w:sz w:val="18"/>
          <w:szCs w:val="18"/>
        </w:rPr>
        <w:t xml:space="preserve"> vervallen. Daarbij is over het hoofd gezien dat artikel 1 van bijlage 2 bij de </w:t>
      </w:r>
      <w:r w:rsidR="00146B12" w:rsidRPr="00A22E80">
        <w:rPr>
          <w:rFonts w:ascii="Verdana" w:hAnsi="Verdana" w:cs="Arial"/>
          <w:sz w:val="18"/>
          <w:szCs w:val="18"/>
        </w:rPr>
        <w:lastRenderedPageBreak/>
        <w:t xml:space="preserve">Algemene wet bestuursrecht nog verwijst naar artikel 3:159h, eerste lid </w:t>
      </w:r>
      <w:proofErr w:type="spellStart"/>
      <w:r w:rsidR="00146B12" w:rsidRPr="00A22E80">
        <w:rPr>
          <w:rFonts w:ascii="Verdana" w:hAnsi="Verdana" w:cs="Arial"/>
          <w:sz w:val="18"/>
          <w:szCs w:val="18"/>
        </w:rPr>
        <w:t>Wft</w:t>
      </w:r>
      <w:proofErr w:type="spellEnd"/>
      <w:r w:rsidR="00146B12" w:rsidRPr="00A22E80">
        <w:rPr>
          <w:rFonts w:ascii="Verdana" w:hAnsi="Verdana" w:cs="Arial"/>
          <w:sz w:val="18"/>
          <w:szCs w:val="18"/>
        </w:rPr>
        <w:t>. Deze omissie wordt met onderhavige wijziging geheeld.</w:t>
      </w:r>
      <w:r w:rsidR="00567EEF" w:rsidRPr="00A22E80">
        <w:rPr>
          <w:rFonts w:ascii="Verdana" w:hAnsi="Verdana" w:cs="Arial"/>
          <w:sz w:val="18"/>
          <w:szCs w:val="18"/>
        </w:rPr>
        <w:t xml:space="preserve"> </w:t>
      </w:r>
      <w:r w:rsidR="00CC344C" w:rsidRPr="00A22E80">
        <w:rPr>
          <w:rFonts w:ascii="Verdana" w:hAnsi="Verdana" w:cs="Arial"/>
          <w:sz w:val="18"/>
          <w:szCs w:val="18"/>
        </w:rPr>
        <w:t xml:space="preserve">Bij dezelfde implementatiewet is de lettering van de onderdelen van de zinsnede aangaande de </w:t>
      </w:r>
      <w:proofErr w:type="spellStart"/>
      <w:r w:rsidR="00CC344C" w:rsidRPr="00A22E80">
        <w:rPr>
          <w:rFonts w:ascii="Verdana" w:hAnsi="Verdana" w:cs="Arial"/>
          <w:sz w:val="18"/>
          <w:szCs w:val="18"/>
        </w:rPr>
        <w:t>Wft</w:t>
      </w:r>
      <w:proofErr w:type="spellEnd"/>
      <w:r w:rsidR="00CC344C" w:rsidRPr="00A22E80">
        <w:rPr>
          <w:rFonts w:ascii="Verdana" w:hAnsi="Verdana" w:cs="Arial"/>
          <w:sz w:val="18"/>
          <w:szCs w:val="18"/>
        </w:rPr>
        <w:t xml:space="preserve"> aangepast </w:t>
      </w:r>
      <w:r w:rsidR="000429FB" w:rsidRPr="00A22E80">
        <w:rPr>
          <w:rFonts w:ascii="Verdana" w:hAnsi="Verdana" w:cs="Arial"/>
          <w:sz w:val="18"/>
          <w:szCs w:val="18"/>
        </w:rPr>
        <w:t>als gevolg waarvan</w:t>
      </w:r>
      <w:r w:rsidR="00CC344C" w:rsidRPr="00A22E80">
        <w:rPr>
          <w:rFonts w:ascii="Verdana" w:hAnsi="Verdana" w:cs="Arial"/>
          <w:sz w:val="18"/>
          <w:szCs w:val="18"/>
        </w:rPr>
        <w:t xml:space="preserve"> er twee onderdelen als “d” geletterd zijn. Ook deze omissie wordt hierbij geheeld.</w:t>
      </w:r>
    </w:p>
    <w:p w:rsidR="009E7CE2" w:rsidRPr="00A22E80" w:rsidRDefault="009E7CE2" w:rsidP="00A22E80">
      <w:pPr>
        <w:widowControl w:val="0"/>
        <w:tabs>
          <w:tab w:val="num" w:pos="720"/>
        </w:tabs>
        <w:spacing w:line="260" w:lineRule="exact"/>
        <w:rPr>
          <w:rFonts w:ascii="Verdana" w:hAnsi="Verdana" w:cs="Arial"/>
          <w:sz w:val="18"/>
          <w:szCs w:val="18"/>
        </w:rPr>
      </w:pPr>
    </w:p>
    <w:p w:rsidR="009E7CE2" w:rsidRPr="00A22E80" w:rsidRDefault="009E7CE2" w:rsidP="00A22E80">
      <w:pPr>
        <w:widowControl w:val="0"/>
        <w:tabs>
          <w:tab w:val="num" w:pos="720"/>
        </w:tabs>
        <w:spacing w:line="260" w:lineRule="exact"/>
        <w:rPr>
          <w:rFonts w:ascii="Verdana" w:hAnsi="Verdana" w:cs="Arial"/>
          <w:sz w:val="18"/>
          <w:szCs w:val="18"/>
        </w:rPr>
      </w:pPr>
    </w:p>
    <w:p w:rsidR="00B0439A" w:rsidRPr="00A22E80" w:rsidRDefault="00B0439A" w:rsidP="00A22E80">
      <w:pPr>
        <w:widowControl w:val="0"/>
        <w:spacing w:line="260" w:lineRule="exact"/>
        <w:rPr>
          <w:rFonts w:ascii="Verdana" w:hAnsi="Verdana"/>
          <w:sz w:val="18"/>
          <w:szCs w:val="18"/>
        </w:rPr>
      </w:pPr>
      <w:r w:rsidRPr="00A22E80">
        <w:rPr>
          <w:rFonts w:ascii="Verdana" w:hAnsi="Verdana"/>
          <w:b/>
          <w:sz w:val="18"/>
          <w:szCs w:val="18"/>
        </w:rPr>
        <w:t xml:space="preserve">ARTIKEL </w:t>
      </w:r>
      <w:r w:rsidR="003D6206" w:rsidRPr="00A22E80">
        <w:rPr>
          <w:rFonts w:ascii="Verdana" w:hAnsi="Verdana"/>
          <w:b/>
          <w:sz w:val="18"/>
          <w:szCs w:val="18"/>
        </w:rPr>
        <w:t>V</w:t>
      </w:r>
    </w:p>
    <w:p w:rsidR="007C2015" w:rsidRPr="00A22E80" w:rsidRDefault="007C2015" w:rsidP="00A22E80">
      <w:pPr>
        <w:widowControl w:val="0"/>
        <w:tabs>
          <w:tab w:val="num" w:pos="720"/>
        </w:tabs>
        <w:spacing w:line="260" w:lineRule="exact"/>
        <w:rPr>
          <w:rFonts w:ascii="Verdana" w:hAnsi="Verdana" w:cs="Arial"/>
          <w:sz w:val="18"/>
          <w:szCs w:val="18"/>
        </w:rPr>
      </w:pPr>
    </w:p>
    <w:p w:rsidR="007C2015" w:rsidRPr="00A22E80" w:rsidRDefault="009D34EC" w:rsidP="00A22E80">
      <w:pPr>
        <w:spacing w:line="260" w:lineRule="exact"/>
        <w:rPr>
          <w:rFonts w:ascii="Verdana" w:hAnsi="Verdana"/>
          <w:sz w:val="18"/>
          <w:szCs w:val="18"/>
        </w:rPr>
      </w:pPr>
      <w:r w:rsidRPr="00A22E80">
        <w:rPr>
          <w:rFonts w:ascii="Verdana" w:hAnsi="Verdana"/>
          <w:sz w:val="18"/>
          <w:szCs w:val="18"/>
        </w:rPr>
        <w:t>Dit artikel ziet in een aanpassing van a</w:t>
      </w:r>
      <w:r w:rsidR="007C2015" w:rsidRPr="00A22E80">
        <w:rPr>
          <w:rFonts w:ascii="Verdana" w:hAnsi="Verdana"/>
          <w:sz w:val="18"/>
          <w:szCs w:val="18"/>
        </w:rPr>
        <w:t xml:space="preserve">rtikel IV </w:t>
      </w:r>
      <w:r w:rsidR="00DF278A" w:rsidRPr="00A22E80">
        <w:rPr>
          <w:rFonts w:ascii="Verdana" w:hAnsi="Verdana"/>
          <w:sz w:val="18"/>
          <w:szCs w:val="18"/>
        </w:rPr>
        <w:t xml:space="preserve">van de Implementatiewet wijziging richtlijn </w:t>
      </w:r>
      <w:proofErr w:type="spellStart"/>
      <w:r w:rsidR="00DF278A" w:rsidRPr="00A22E80">
        <w:rPr>
          <w:rFonts w:ascii="Verdana" w:hAnsi="Verdana"/>
          <w:sz w:val="18"/>
          <w:szCs w:val="18"/>
        </w:rPr>
        <w:t>icbe’s</w:t>
      </w:r>
      <w:proofErr w:type="spellEnd"/>
      <w:r w:rsidRPr="00A22E80">
        <w:rPr>
          <w:rFonts w:ascii="Verdana" w:hAnsi="Verdana"/>
          <w:sz w:val="18"/>
          <w:szCs w:val="18"/>
        </w:rPr>
        <w:t xml:space="preserve">, </w:t>
      </w:r>
      <w:r w:rsidR="007C2015" w:rsidRPr="00A22E80">
        <w:rPr>
          <w:rFonts w:ascii="Verdana" w:hAnsi="Verdana"/>
          <w:sz w:val="18"/>
          <w:szCs w:val="18"/>
        </w:rPr>
        <w:t xml:space="preserve">omdat het overgangsrecht voor bewaarders die voor 18 maart 2016 zijn aangesteld door een beheerder van een beleggingsinstelling of </w:t>
      </w:r>
      <w:proofErr w:type="spellStart"/>
      <w:r w:rsidR="007C2015" w:rsidRPr="00A22E80">
        <w:rPr>
          <w:rFonts w:ascii="Verdana" w:hAnsi="Verdana"/>
          <w:sz w:val="18"/>
          <w:szCs w:val="18"/>
        </w:rPr>
        <w:t>icbe</w:t>
      </w:r>
      <w:proofErr w:type="spellEnd"/>
      <w:r w:rsidR="007C2015" w:rsidRPr="00A22E80">
        <w:rPr>
          <w:rFonts w:ascii="Verdana" w:hAnsi="Verdana"/>
          <w:sz w:val="18"/>
          <w:szCs w:val="18"/>
        </w:rPr>
        <w:t xml:space="preserve"> niet alleen betrekking dient te hebben op de vergunningplicht maar ook op de doorlopende eigenvermogenseis en de eisen omtrent de bedrijfsvoering. Aangegeven wordt dat een bewaarder die voor 18 maart 2016 is aangesteld door een beheerder van een belegginginstelling of </w:t>
      </w:r>
      <w:proofErr w:type="spellStart"/>
      <w:r w:rsidR="007C2015" w:rsidRPr="00A22E80">
        <w:rPr>
          <w:rFonts w:ascii="Verdana" w:hAnsi="Verdana"/>
          <w:sz w:val="18"/>
          <w:szCs w:val="18"/>
        </w:rPr>
        <w:t>icbe</w:t>
      </w:r>
      <w:proofErr w:type="spellEnd"/>
      <w:r w:rsidR="007C2015" w:rsidRPr="00A22E80">
        <w:rPr>
          <w:rFonts w:ascii="Verdana" w:hAnsi="Verdana"/>
          <w:sz w:val="18"/>
          <w:szCs w:val="18"/>
        </w:rPr>
        <w:t xml:space="preserve"> pas op 18 maart 2018 over een vergunning dient te beschikken en dient te voldoen aan de zwaardere eigen vermogenseis zoals opgenomen in artikel 3:53 en de eisen omtrent de bedrijfsvoering gebaseerd op artikel 4:14, tweede lid, aanhef en onderdeel a. De huidige stichting bewaarder heeft derhalve twee jaar de tijd om te voldoen aan de zwaardere </w:t>
      </w:r>
      <w:proofErr w:type="spellStart"/>
      <w:r w:rsidR="007C2015" w:rsidRPr="00A22E80">
        <w:rPr>
          <w:rFonts w:ascii="Verdana" w:hAnsi="Verdana"/>
          <w:sz w:val="18"/>
          <w:szCs w:val="18"/>
        </w:rPr>
        <w:t>prudentiële</w:t>
      </w:r>
      <w:proofErr w:type="spellEnd"/>
      <w:r w:rsidR="007C2015" w:rsidRPr="00A22E80">
        <w:rPr>
          <w:rFonts w:ascii="Verdana" w:hAnsi="Verdana"/>
          <w:sz w:val="18"/>
          <w:szCs w:val="18"/>
        </w:rPr>
        <w:t xml:space="preserve"> eisen en de verdergaande eisen omtrent de bedrijfsvoering.</w:t>
      </w:r>
    </w:p>
    <w:p w:rsidR="00B0439A" w:rsidRPr="00A22E80" w:rsidRDefault="00B0439A" w:rsidP="00A22E80">
      <w:pPr>
        <w:widowControl w:val="0"/>
        <w:tabs>
          <w:tab w:val="num" w:pos="720"/>
        </w:tabs>
        <w:spacing w:line="260" w:lineRule="exact"/>
        <w:rPr>
          <w:rFonts w:ascii="Verdana" w:hAnsi="Verdana" w:cs="Arial"/>
          <w:sz w:val="18"/>
          <w:szCs w:val="18"/>
        </w:rPr>
      </w:pPr>
    </w:p>
    <w:p w:rsidR="00B0439A" w:rsidRPr="00A22E80" w:rsidRDefault="00B0439A" w:rsidP="00A22E80">
      <w:pPr>
        <w:widowControl w:val="0"/>
        <w:tabs>
          <w:tab w:val="num" w:pos="720"/>
        </w:tabs>
        <w:spacing w:line="260" w:lineRule="exact"/>
        <w:rPr>
          <w:rFonts w:ascii="Verdana" w:hAnsi="Verdana" w:cs="Arial"/>
          <w:sz w:val="18"/>
          <w:szCs w:val="18"/>
        </w:rPr>
      </w:pPr>
    </w:p>
    <w:p w:rsidR="00332AB8" w:rsidRPr="00A22E80" w:rsidRDefault="00332AB8" w:rsidP="00A22E80">
      <w:pPr>
        <w:widowControl w:val="0"/>
        <w:tabs>
          <w:tab w:val="num" w:pos="720"/>
        </w:tabs>
        <w:spacing w:line="260" w:lineRule="exact"/>
        <w:rPr>
          <w:rFonts w:ascii="Verdana" w:hAnsi="Verdana" w:cs="Arial"/>
          <w:sz w:val="18"/>
          <w:szCs w:val="18"/>
        </w:rPr>
      </w:pPr>
      <w:r w:rsidRPr="00A22E80">
        <w:rPr>
          <w:rFonts w:ascii="Verdana" w:hAnsi="Verdana" w:cs="Arial"/>
          <w:b/>
          <w:sz w:val="18"/>
          <w:szCs w:val="18"/>
        </w:rPr>
        <w:t>ARTIKEL VI</w:t>
      </w:r>
    </w:p>
    <w:p w:rsidR="005107AE" w:rsidRPr="00A22E80" w:rsidRDefault="005107AE" w:rsidP="00A22E80">
      <w:pPr>
        <w:widowControl w:val="0"/>
        <w:tabs>
          <w:tab w:val="num" w:pos="720"/>
        </w:tabs>
        <w:spacing w:line="260" w:lineRule="exact"/>
        <w:rPr>
          <w:rFonts w:ascii="Verdana" w:hAnsi="Verdana" w:cs="Arial"/>
          <w:sz w:val="18"/>
          <w:szCs w:val="18"/>
        </w:rPr>
      </w:pPr>
    </w:p>
    <w:p w:rsidR="00AB6149" w:rsidRPr="00A22E80" w:rsidRDefault="00AB6149" w:rsidP="00A22E80">
      <w:pPr>
        <w:spacing w:line="260" w:lineRule="exact"/>
        <w:rPr>
          <w:rFonts w:ascii="Verdana" w:hAnsi="Verdana"/>
          <w:sz w:val="18"/>
          <w:szCs w:val="18"/>
        </w:rPr>
      </w:pPr>
      <w:r w:rsidRPr="00A22E80">
        <w:rPr>
          <w:rFonts w:ascii="Verdana" w:hAnsi="Verdana"/>
          <w:sz w:val="18"/>
          <w:szCs w:val="18"/>
        </w:rPr>
        <w:t xml:space="preserve">De voorgestelde aanpassing van artikel 1a, eerste lid, van de Wet toezicht financiële verslaggeving betreft het herstel van een omissie bij de implementatie van artikel 8 van de richtlijn transparantie. Hiermee wordt geëxpliciteerd dat de Wet toezicht financiële verslaggeving niet van toepassing is op effectenuitgevende instellingen die uitsluitend obligaties of effecten zonder aandelenkarakter als bedoeld in artikel 5:1, onderdeel e, van de </w:t>
      </w:r>
      <w:proofErr w:type="spellStart"/>
      <w:r w:rsidRPr="00A22E80">
        <w:rPr>
          <w:rFonts w:ascii="Verdana" w:hAnsi="Verdana"/>
          <w:sz w:val="18"/>
          <w:szCs w:val="18"/>
        </w:rPr>
        <w:t>Wft</w:t>
      </w:r>
      <w:proofErr w:type="spellEnd"/>
      <w:r w:rsidRPr="00A22E80">
        <w:rPr>
          <w:rFonts w:ascii="Verdana" w:hAnsi="Verdana"/>
          <w:sz w:val="18"/>
          <w:szCs w:val="18"/>
        </w:rPr>
        <w:t xml:space="preserve"> uitgeven in vreemde valuta en waarvan de tegenwaarde op de datum van uitgifte ten minste € 100.000 bedraagt. Dit is in lijn met de reikwijdte van artikel 8 van de richtlijn transparantie zoals geïmplementeerd in artikel 5:25g, tweede lid, van de </w:t>
      </w:r>
      <w:proofErr w:type="spellStart"/>
      <w:r w:rsidRPr="00A22E80">
        <w:rPr>
          <w:rFonts w:ascii="Verdana" w:hAnsi="Verdana"/>
          <w:sz w:val="18"/>
          <w:szCs w:val="18"/>
        </w:rPr>
        <w:t>Wft</w:t>
      </w:r>
      <w:proofErr w:type="spellEnd"/>
      <w:r w:rsidRPr="00A22E80">
        <w:rPr>
          <w:rFonts w:ascii="Verdana" w:hAnsi="Verdana"/>
          <w:sz w:val="18"/>
          <w:szCs w:val="18"/>
        </w:rPr>
        <w:t>.</w:t>
      </w:r>
    </w:p>
    <w:p w:rsidR="006F468E" w:rsidRPr="00A22E80" w:rsidRDefault="006F468E" w:rsidP="00A22E80">
      <w:pPr>
        <w:pStyle w:val="Geenafstand"/>
        <w:spacing w:line="260" w:lineRule="exact"/>
        <w:rPr>
          <w:szCs w:val="18"/>
        </w:rPr>
      </w:pPr>
    </w:p>
    <w:p w:rsidR="006F468E" w:rsidRPr="00A22E80" w:rsidRDefault="006F468E" w:rsidP="00A22E80">
      <w:pPr>
        <w:pStyle w:val="Geenafstand"/>
        <w:spacing w:line="260" w:lineRule="exact"/>
        <w:rPr>
          <w:szCs w:val="18"/>
        </w:rPr>
      </w:pPr>
    </w:p>
    <w:p w:rsidR="00F90F9D" w:rsidRPr="00A22E80" w:rsidRDefault="00F90F9D" w:rsidP="00A22E80">
      <w:pPr>
        <w:widowControl w:val="0"/>
        <w:spacing w:line="260" w:lineRule="exact"/>
        <w:rPr>
          <w:rFonts w:ascii="Verdana" w:hAnsi="Verdana"/>
          <w:sz w:val="18"/>
          <w:szCs w:val="18"/>
        </w:rPr>
      </w:pPr>
      <w:r w:rsidRPr="00A22E80">
        <w:rPr>
          <w:rFonts w:ascii="Verdana" w:hAnsi="Verdana"/>
          <w:b/>
          <w:sz w:val="18"/>
          <w:szCs w:val="18"/>
        </w:rPr>
        <w:t xml:space="preserve">ARTIKEL </w:t>
      </w:r>
      <w:r w:rsidR="009F1A3D" w:rsidRPr="00A22E80">
        <w:rPr>
          <w:rFonts w:ascii="Verdana" w:hAnsi="Verdana"/>
          <w:b/>
          <w:sz w:val="18"/>
          <w:szCs w:val="18"/>
        </w:rPr>
        <w:t>VII</w:t>
      </w:r>
    </w:p>
    <w:p w:rsidR="00F90F9D" w:rsidRPr="00A22E80" w:rsidRDefault="00F90F9D" w:rsidP="00A22E80">
      <w:pPr>
        <w:widowControl w:val="0"/>
        <w:tabs>
          <w:tab w:val="num" w:pos="720"/>
        </w:tabs>
        <w:spacing w:line="260" w:lineRule="exact"/>
        <w:rPr>
          <w:rFonts w:ascii="Verdana" w:hAnsi="Verdana" w:cs="Arial"/>
          <w:sz w:val="18"/>
          <w:szCs w:val="18"/>
        </w:rPr>
      </w:pPr>
    </w:p>
    <w:p w:rsidR="008546A9" w:rsidRPr="00A22E80" w:rsidRDefault="00F67152" w:rsidP="00A22E80">
      <w:pPr>
        <w:widowControl w:val="0"/>
        <w:spacing w:line="260" w:lineRule="exact"/>
        <w:rPr>
          <w:rFonts w:ascii="Verdana" w:hAnsi="Verdana"/>
          <w:sz w:val="18"/>
          <w:szCs w:val="18"/>
        </w:rPr>
      </w:pPr>
      <w:r w:rsidRPr="00A22E80">
        <w:rPr>
          <w:rFonts w:ascii="Verdana" w:hAnsi="Verdana"/>
          <w:sz w:val="18"/>
          <w:szCs w:val="18"/>
        </w:rPr>
        <w:t>A</w:t>
      </w:r>
      <w:r w:rsidR="008546A9" w:rsidRPr="00A22E80">
        <w:rPr>
          <w:rFonts w:ascii="Verdana" w:hAnsi="Verdana"/>
          <w:sz w:val="18"/>
          <w:szCs w:val="18"/>
        </w:rPr>
        <w:t xml:space="preserve">rtikel I, onderdeel IJ, van de Wet bijzondere maatregelen financiële ondernemingen </w:t>
      </w:r>
      <w:r w:rsidR="000D7724" w:rsidRPr="00A22E80">
        <w:rPr>
          <w:rFonts w:ascii="Verdana" w:hAnsi="Verdana"/>
          <w:sz w:val="18"/>
          <w:szCs w:val="18"/>
        </w:rPr>
        <w:t xml:space="preserve">voegt een artikel 3:259a </w:t>
      </w:r>
      <w:r w:rsidR="008546A9" w:rsidRPr="00A22E80">
        <w:rPr>
          <w:rFonts w:ascii="Verdana" w:hAnsi="Verdana"/>
          <w:sz w:val="18"/>
          <w:szCs w:val="18"/>
        </w:rPr>
        <w:t xml:space="preserve">in de </w:t>
      </w:r>
      <w:proofErr w:type="spellStart"/>
      <w:r w:rsidR="008546A9" w:rsidRPr="00A22E80">
        <w:rPr>
          <w:rFonts w:ascii="Verdana" w:hAnsi="Verdana"/>
          <w:sz w:val="18"/>
          <w:szCs w:val="18"/>
        </w:rPr>
        <w:t>Wf</w:t>
      </w:r>
      <w:r w:rsidR="000D7724" w:rsidRPr="00A22E80">
        <w:rPr>
          <w:rFonts w:ascii="Verdana" w:hAnsi="Verdana"/>
          <w:sz w:val="18"/>
          <w:szCs w:val="18"/>
        </w:rPr>
        <w:t>t</w:t>
      </w:r>
      <w:proofErr w:type="spellEnd"/>
      <w:r w:rsidR="000D7724" w:rsidRPr="00A22E80">
        <w:rPr>
          <w:rFonts w:ascii="Verdana" w:hAnsi="Verdana"/>
          <w:sz w:val="18"/>
          <w:szCs w:val="18"/>
        </w:rPr>
        <w:t>. Deze wijziging</w:t>
      </w:r>
      <w:r w:rsidRPr="00A22E80">
        <w:rPr>
          <w:rFonts w:ascii="Verdana" w:hAnsi="Verdana"/>
          <w:sz w:val="18"/>
          <w:szCs w:val="18"/>
        </w:rPr>
        <w:t xml:space="preserve"> is echter</w:t>
      </w:r>
      <w:r w:rsidR="008546A9" w:rsidRPr="00A22E80">
        <w:rPr>
          <w:rFonts w:ascii="Verdana" w:hAnsi="Verdana"/>
          <w:sz w:val="18"/>
          <w:szCs w:val="18"/>
        </w:rPr>
        <w:t xml:space="preserve"> nooit in werking getreden. Inwerkingtreding was voorzien op het tijdstip waarop de regels met betrekking tot de ex ante financiering van het Depositogarantiefonds in werking treden. Er is echter voor gekozen een </w:t>
      </w:r>
      <w:r w:rsidR="009E1AF1">
        <w:rPr>
          <w:rFonts w:ascii="Verdana" w:hAnsi="Verdana"/>
          <w:sz w:val="18"/>
          <w:szCs w:val="18"/>
        </w:rPr>
        <w:t>gewijzigd</w:t>
      </w:r>
      <w:r w:rsidR="009E1AF1" w:rsidRPr="00A22E80">
        <w:rPr>
          <w:rFonts w:ascii="Verdana" w:hAnsi="Verdana"/>
          <w:sz w:val="18"/>
          <w:szCs w:val="18"/>
        </w:rPr>
        <w:t xml:space="preserve"> </w:t>
      </w:r>
      <w:r w:rsidR="008546A9" w:rsidRPr="00A22E80">
        <w:rPr>
          <w:rFonts w:ascii="Verdana" w:hAnsi="Verdana"/>
          <w:sz w:val="18"/>
          <w:szCs w:val="18"/>
        </w:rPr>
        <w:t>artikel 3:259a in te voegen met de inwerkingtreding van de Implementatiewet Europees kader voor herstel en afwikkeling van banken en beleggingsondernemingen, zodat artikel I, onderdeel IJ</w:t>
      </w:r>
      <w:r w:rsidR="0036210B">
        <w:rPr>
          <w:rFonts w:ascii="Verdana" w:hAnsi="Verdana"/>
          <w:sz w:val="18"/>
          <w:szCs w:val="18"/>
        </w:rPr>
        <w:t>,</w:t>
      </w:r>
      <w:r w:rsidR="008546A9" w:rsidRPr="00A22E80">
        <w:rPr>
          <w:rFonts w:ascii="Verdana" w:hAnsi="Verdana"/>
          <w:sz w:val="18"/>
          <w:szCs w:val="18"/>
        </w:rPr>
        <w:t xml:space="preserve"> van de Wet bijzondere maatregelen financiële ondernemingen dient te vervallen.</w:t>
      </w:r>
    </w:p>
    <w:p w:rsidR="008546A9" w:rsidRPr="00A22E80" w:rsidRDefault="008546A9" w:rsidP="00A22E80">
      <w:pPr>
        <w:widowControl w:val="0"/>
        <w:tabs>
          <w:tab w:val="num" w:pos="720"/>
        </w:tabs>
        <w:spacing w:line="260" w:lineRule="exact"/>
        <w:rPr>
          <w:rFonts w:ascii="Verdana" w:hAnsi="Verdana" w:cs="Arial"/>
          <w:sz w:val="18"/>
          <w:szCs w:val="18"/>
        </w:rPr>
      </w:pPr>
    </w:p>
    <w:p w:rsidR="00F90F9D" w:rsidRPr="00A22E80" w:rsidRDefault="00F90F9D" w:rsidP="00A22E80">
      <w:pPr>
        <w:widowControl w:val="0"/>
        <w:tabs>
          <w:tab w:val="num" w:pos="720"/>
        </w:tabs>
        <w:spacing w:line="260" w:lineRule="exact"/>
        <w:rPr>
          <w:rFonts w:ascii="Verdana" w:hAnsi="Verdana" w:cs="Arial"/>
          <w:sz w:val="18"/>
          <w:szCs w:val="18"/>
        </w:rPr>
      </w:pPr>
    </w:p>
    <w:p w:rsidR="00A14432" w:rsidRPr="00A22E80" w:rsidRDefault="00A14432" w:rsidP="00A22E80">
      <w:pPr>
        <w:widowControl w:val="0"/>
        <w:spacing w:line="260" w:lineRule="exact"/>
        <w:rPr>
          <w:rFonts w:ascii="Verdana" w:hAnsi="Verdana"/>
          <w:sz w:val="18"/>
          <w:szCs w:val="18"/>
        </w:rPr>
      </w:pPr>
      <w:r w:rsidRPr="00A22E80">
        <w:rPr>
          <w:rFonts w:ascii="Verdana" w:hAnsi="Verdana"/>
          <w:b/>
          <w:sz w:val="18"/>
          <w:szCs w:val="18"/>
        </w:rPr>
        <w:t xml:space="preserve">ARTIKEL </w:t>
      </w:r>
      <w:r w:rsidR="00ED3B08">
        <w:rPr>
          <w:rFonts w:ascii="Verdana" w:hAnsi="Verdana"/>
          <w:b/>
          <w:sz w:val="18"/>
          <w:szCs w:val="18"/>
        </w:rPr>
        <w:t>VIII</w:t>
      </w:r>
    </w:p>
    <w:p w:rsidR="00A14432" w:rsidRPr="00A22E80" w:rsidRDefault="00A14432" w:rsidP="00A22E80">
      <w:pPr>
        <w:widowControl w:val="0"/>
        <w:tabs>
          <w:tab w:val="num" w:pos="720"/>
        </w:tabs>
        <w:spacing w:line="260" w:lineRule="exact"/>
        <w:rPr>
          <w:rFonts w:ascii="Verdana" w:hAnsi="Verdana" w:cs="Arial"/>
          <w:sz w:val="18"/>
          <w:szCs w:val="18"/>
        </w:rPr>
      </w:pPr>
    </w:p>
    <w:p w:rsidR="001C192B" w:rsidRPr="00A22E80" w:rsidRDefault="001C192B" w:rsidP="00A22E80">
      <w:pPr>
        <w:pStyle w:val="Default"/>
        <w:tabs>
          <w:tab w:val="left" w:pos="8483"/>
        </w:tabs>
        <w:spacing w:line="260" w:lineRule="exact"/>
        <w:rPr>
          <w:rFonts w:ascii="Verdana" w:hAnsi="Verdana"/>
          <w:sz w:val="18"/>
          <w:szCs w:val="18"/>
        </w:rPr>
      </w:pPr>
      <w:r w:rsidRPr="00A22E80">
        <w:rPr>
          <w:rFonts w:ascii="Verdana" w:hAnsi="Verdana"/>
          <w:sz w:val="18"/>
          <w:szCs w:val="18"/>
        </w:rPr>
        <w:lastRenderedPageBreak/>
        <w:t xml:space="preserve">Dit artikel bevat een verbeterde redactie van artikel 54, eerste lid, onderdeel a, van de Wet op het accountantsberoep, zoals dat is opgenomen in de Implementatiewet wijzigingsrichtlijn en verordening wettelijke controles jaarrekeningen. </w:t>
      </w:r>
      <w:r w:rsidR="000D7724" w:rsidRPr="00A22E80">
        <w:rPr>
          <w:rFonts w:ascii="Verdana" w:hAnsi="Verdana"/>
          <w:sz w:val="18"/>
          <w:szCs w:val="18"/>
        </w:rPr>
        <w:t xml:space="preserve">Deze tekst </w:t>
      </w:r>
      <w:r w:rsidRPr="00A22E80">
        <w:rPr>
          <w:rFonts w:ascii="Verdana" w:hAnsi="Verdana"/>
          <w:sz w:val="18"/>
          <w:szCs w:val="18"/>
        </w:rPr>
        <w:t>bevat een onjuiste verwijzing naar richtlijn nr. 2014/56/EU, in plaats van naar richtlijn 2006/43/EG, en bij de mogelijkheid om een verklaring van vakbekwaamheid af te geven aan personen uit een ander land die zich in Nederland als accountant willen laten registreren, ontbrak de vermelding van de overige staten van de Europese Economische Ruimte.</w:t>
      </w:r>
      <w:r w:rsidR="000D7724" w:rsidRPr="00A22E80">
        <w:rPr>
          <w:rFonts w:ascii="Verdana" w:hAnsi="Verdana"/>
          <w:sz w:val="18"/>
          <w:szCs w:val="18"/>
        </w:rPr>
        <w:t xml:space="preserve"> Deze gebreken worden met de voorgestelde wijzigingen hersteld.</w:t>
      </w:r>
    </w:p>
    <w:p w:rsidR="001C192B" w:rsidRPr="00A22E80" w:rsidRDefault="001C192B" w:rsidP="00A22E80">
      <w:pPr>
        <w:pStyle w:val="Default"/>
        <w:tabs>
          <w:tab w:val="left" w:pos="8483"/>
        </w:tabs>
        <w:spacing w:line="260" w:lineRule="exact"/>
        <w:rPr>
          <w:rFonts w:ascii="Verdana" w:hAnsi="Verdana"/>
          <w:sz w:val="18"/>
          <w:szCs w:val="18"/>
        </w:rPr>
      </w:pPr>
    </w:p>
    <w:p w:rsidR="001C192B" w:rsidRPr="00A22E80" w:rsidRDefault="001C192B" w:rsidP="00A22E80">
      <w:pPr>
        <w:pStyle w:val="Default"/>
        <w:tabs>
          <w:tab w:val="left" w:pos="8483"/>
        </w:tabs>
        <w:spacing w:line="260" w:lineRule="exact"/>
        <w:rPr>
          <w:rFonts w:ascii="Verdana" w:hAnsi="Verdana"/>
          <w:sz w:val="18"/>
          <w:szCs w:val="18"/>
        </w:rPr>
      </w:pPr>
      <w:r w:rsidRPr="00A22E80">
        <w:rPr>
          <w:rFonts w:ascii="Verdana" w:hAnsi="Verdana"/>
          <w:sz w:val="18"/>
          <w:szCs w:val="18"/>
        </w:rPr>
        <w:t xml:space="preserve">De wijziging van artikel 54, tweede lid, van de Wet op het accountantsberoep regelt dat een verklaring van vakbekwaamheid ook gericht kan zijn op inschrijving als externe accountant in het openbaar register van de AFM van een wettelijke auditor uit een andere lidstaat, zonder dat deze wettelijke auditor daarvoor ook wordt ingeschreven in het accountantsregister als Registeraccountant dan wel </w:t>
      </w:r>
      <w:proofErr w:type="spellStart"/>
      <w:r w:rsidRPr="00A22E80">
        <w:rPr>
          <w:rFonts w:ascii="Verdana" w:hAnsi="Verdana"/>
          <w:sz w:val="18"/>
          <w:szCs w:val="18"/>
        </w:rPr>
        <w:t>Accountants-Administratieconsulent</w:t>
      </w:r>
      <w:proofErr w:type="spellEnd"/>
      <w:r w:rsidRPr="00A22E80">
        <w:rPr>
          <w:rFonts w:ascii="Verdana" w:hAnsi="Verdana"/>
          <w:sz w:val="18"/>
          <w:szCs w:val="18"/>
        </w:rPr>
        <w:t xml:space="preserve">. In de Implementatiewet wijzigingsrichtlijn en verordening wettelijke controles jaarrekeningen is abusievelijk geen rekening gehouden met deze nieuwe inschrijvingsmogelijkheid ten behoeve van </w:t>
      </w:r>
      <w:proofErr w:type="spellStart"/>
      <w:r w:rsidRPr="00A22E80">
        <w:rPr>
          <w:rFonts w:ascii="Verdana" w:hAnsi="Verdana"/>
          <w:sz w:val="18"/>
          <w:szCs w:val="18"/>
        </w:rPr>
        <w:t>auditors</w:t>
      </w:r>
      <w:proofErr w:type="spellEnd"/>
      <w:r w:rsidRPr="00A22E80">
        <w:rPr>
          <w:rFonts w:ascii="Verdana" w:hAnsi="Verdana"/>
          <w:sz w:val="18"/>
          <w:szCs w:val="18"/>
        </w:rPr>
        <w:t xml:space="preserve"> uit een andere lidstaat. </w:t>
      </w:r>
    </w:p>
    <w:p w:rsidR="00A14432" w:rsidRPr="00A22E80" w:rsidRDefault="00A14432" w:rsidP="00A22E80">
      <w:pPr>
        <w:widowControl w:val="0"/>
        <w:tabs>
          <w:tab w:val="num" w:pos="720"/>
        </w:tabs>
        <w:spacing w:line="260" w:lineRule="exact"/>
        <w:rPr>
          <w:rFonts w:ascii="Verdana" w:hAnsi="Verdana" w:cs="Arial"/>
          <w:sz w:val="18"/>
          <w:szCs w:val="18"/>
        </w:rPr>
      </w:pPr>
    </w:p>
    <w:p w:rsidR="00A14432" w:rsidRPr="00A22E80" w:rsidRDefault="00A14432" w:rsidP="00A22E80">
      <w:pPr>
        <w:widowControl w:val="0"/>
        <w:tabs>
          <w:tab w:val="num" w:pos="720"/>
        </w:tabs>
        <w:spacing w:line="260" w:lineRule="exact"/>
        <w:rPr>
          <w:rFonts w:ascii="Verdana" w:hAnsi="Verdana" w:cs="Arial"/>
          <w:sz w:val="18"/>
          <w:szCs w:val="18"/>
        </w:rPr>
      </w:pPr>
    </w:p>
    <w:p w:rsidR="00A14432" w:rsidRPr="00A22E80" w:rsidRDefault="00A14432" w:rsidP="00A22E80">
      <w:pPr>
        <w:widowControl w:val="0"/>
        <w:spacing w:line="260" w:lineRule="exact"/>
        <w:rPr>
          <w:rFonts w:ascii="Verdana" w:hAnsi="Verdana"/>
          <w:sz w:val="18"/>
          <w:szCs w:val="18"/>
        </w:rPr>
      </w:pPr>
      <w:r w:rsidRPr="00A22E80">
        <w:rPr>
          <w:rFonts w:ascii="Verdana" w:hAnsi="Verdana"/>
          <w:b/>
          <w:sz w:val="18"/>
          <w:szCs w:val="18"/>
        </w:rPr>
        <w:t xml:space="preserve">ARTIKEL </w:t>
      </w:r>
      <w:r w:rsidR="00ED3B08">
        <w:rPr>
          <w:rFonts w:ascii="Verdana" w:hAnsi="Verdana"/>
          <w:b/>
          <w:sz w:val="18"/>
          <w:szCs w:val="18"/>
        </w:rPr>
        <w:t>I</w:t>
      </w:r>
      <w:r w:rsidRPr="00A22E80">
        <w:rPr>
          <w:rFonts w:ascii="Verdana" w:hAnsi="Verdana"/>
          <w:b/>
          <w:sz w:val="18"/>
          <w:szCs w:val="18"/>
        </w:rPr>
        <w:t>X</w:t>
      </w:r>
    </w:p>
    <w:p w:rsidR="00A14432" w:rsidRPr="00A22E80" w:rsidRDefault="00A14432" w:rsidP="00A22E80">
      <w:pPr>
        <w:widowControl w:val="0"/>
        <w:tabs>
          <w:tab w:val="num" w:pos="720"/>
        </w:tabs>
        <w:spacing w:line="260" w:lineRule="exact"/>
        <w:rPr>
          <w:rFonts w:ascii="Verdana" w:hAnsi="Verdana" w:cs="Arial"/>
          <w:sz w:val="18"/>
          <w:szCs w:val="18"/>
        </w:rPr>
      </w:pPr>
    </w:p>
    <w:p w:rsidR="00424526" w:rsidRPr="00A22E80" w:rsidRDefault="00424526"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Met de voorgestelde wijziging van artikel 47 van de Wet toezicht accountantsorganisaties wordt een fout hersteld die was opgenomen in de Implementatiewet wijzigingsrichtlijn</w:t>
      </w:r>
      <w:r w:rsidR="00580F00" w:rsidRPr="00A22E80">
        <w:rPr>
          <w:rFonts w:ascii="Verdana" w:hAnsi="Verdana" w:cs="Arial"/>
          <w:sz w:val="18"/>
          <w:szCs w:val="18"/>
        </w:rPr>
        <w:t xml:space="preserve"> </w:t>
      </w:r>
      <w:r w:rsidRPr="00A22E80">
        <w:rPr>
          <w:rFonts w:ascii="Verdana" w:hAnsi="Verdana" w:cs="Arial"/>
          <w:sz w:val="18"/>
          <w:szCs w:val="18"/>
        </w:rPr>
        <w:t xml:space="preserve">en verordening wettelijke controles jaarrekeningen. Het betreft een onjuiste vermelding van het soort organen van een accountantsorganisatie waarvan de bestuurders van de Autoriteit Financiële Markten geen deel uit </w:t>
      </w:r>
      <w:r w:rsidR="00E172E6" w:rsidRPr="00A22E80">
        <w:rPr>
          <w:rFonts w:ascii="Verdana" w:hAnsi="Verdana" w:cs="Arial"/>
          <w:sz w:val="18"/>
          <w:szCs w:val="18"/>
        </w:rPr>
        <w:t>mogen</w:t>
      </w:r>
      <w:r w:rsidRPr="00A22E80">
        <w:rPr>
          <w:rFonts w:ascii="Verdana" w:hAnsi="Verdana" w:cs="Arial"/>
          <w:sz w:val="18"/>
          <w:szCs w:val="18"/>
        </w:rPr>
        <w:t xml:space="preserve"> maken, noch in de drie onmiddellijk voorafgaande jaren deel </w:t>
      </w:r>
      <w:r w:rsidR="00E172E6" w:rsidRPr="00A22E80">
        <w:rPr>
          <w:rFonts w:ascii="Verdana" w:hAnsi="Verdana" w:cs="Arial"/>
          <w:sz w:val="18"/>
          <w:szCs w:val="18"/>
        </w:rPr>
        <w:t>mogen</w:t>
      </w:r>
      <w:r w:rsidRPr="00A22E80">
        <w:rPr>
          <w:rFonts w:ascii="Verdana" w:hAnsi="Verdana" w:cs="Arial"/>
          <w:sz w:val="18"/>
          <w:szCs w:val="18"/>
        </w:rPr>
        <w:t xml:space="preserve"> hebben uitgemaakt.</w:t>
      </w:r>
    </w:p>
    <w:p w:rsidR="00424526" w:rsidRPr="00A22E80" w:rsidRDefault="00424526" w:rsidP="00A22E80">
      <w:pPr>
        <w:widowControl w:val="0"/>
        <w:tabs>
          <w:tab w:val="num" w:pos="720"/>
        </w:tabs>
        <w:spacing w:line="260" w:lineRule="exact"/>
        <w:rPr>
          <w:rFonts w:ascii="Verdana" w:hAnsi="Verdana" w:cs="Arial"/>
          <w:sz w:val="18"/>
          <w:szCs w:val="18"/>
        </w:rPr>
      </w:pPr>
    </w:p>
    <w:p w:rsidR="00AD7244" w:rsidRPr="00A22E80" w:rsidRDefault="00424526"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 xml:space="preserve">In de wijziging van artikel 47 bij de Implementatiewet is abusievelijk tweemaal, zowel in onderdeel b als onderdeel c, opgenomen dat een bestuurslid van de AFM geen lid mag zijn of mag zijn geweest in de drie voorafgaande drie jaren van het bestuur van een accountantsorganisatie. Daarnaast is opgenomen dat hij geen lid mag zijn (geweest) van de dagelijkse leiding van een accountantsorganisatie. In de richtlijn volgt echter uit artikel 2 onder </w:t>
      </w:r>
      <w:r w:rsidR="003217FE">
        <w:rPr>
          <w:rFonts w:ascii="Verdana" w:hAnsi="Verdana" w:cs="Arial"/>
          <w:sz w:val="18"/>
          <w:szCs w:val="18"/>
        </w:rPr>
        <w:t xml:space="preserve">punt </w:t>
      </w:r>
      <w:r w:rsidRPr="00A22E80">
        <w:rPr>
          <w:rFonts w:ascii="Verdana" w:hAnsi="Verdana" w:cs="Arial"/>
          <w:sz w:val="18"/>
          <w:szCs w:val="18"/>
        </w:rPr>
        <w:t xml:space="preserve">15 en artikel 32, derde lid dat dit bestuurslid geen lid mag zijn (geweest) van de </w:t>
      </w:r>
      <w:r w:rsidRPr="00A22E80">
        <w:rPr>
          <w:rFonts w:ascii="Verdana" w:hAnsi="Verdana" w:cs="Arial"/>
          <w:i/>
          <w:sz w:val="18"/>
          <w:szCs w:val="18"/>
        </w:rPr>
        <w:t>“</w:t>
      </w:r>
      <w:proofErr w:type="spellStart"/>
      <w:r w:rsidRPr="00A22E80">
        <w:rPr>
          <w:rFonts w:ascii="Verdana" w:hAnsi="Verdana" w:cs="Arial"/>
          <w:i/>
          <w:sz w:val="18"/>
          <w:szCs w:val="18"/>
        </w:rPr>
        <w:t>administrative</w:t>
      </w:r>
      <w:proofErr w:type="spellEnd"/>
      <w:r w:rsidRPr="00A22E80">
        <w:rPr>
          <w:rFonts w:ascii="Verdana" w:hAnsi="Verdana" w:cs="Arial"/>
          <w:i/>
          <w:sz w:val="18"/>
          <w:szCs w:val="18"/>
        </w:rPr>
        <w:t xml:space="preserve">, management </w:t>
      </w:r>
      <w:proofErr w:type="spellStart"/>
      <w:r w:rsidRPr="00A22E80">
        <w:rPr>
          <w:rFonts w:ascii="Verdana" w:hAnsi="Verdana" w:cs="Arial"/>
          <w:i/>
          <w:sz w:val="18"/>
          <w:szCs w:val="18"/>
        </w:rPr>
        <w:t>or</w:t>
      </w:r>
      <w:proofErr w:type="spellEnd"/>
      <w:r w:rsidRPr="00A22E80">
        <w:rPr>
          <w:rFonts w:ascii="Verdana" w:hAnsi="Verdana" w:cs="Arial"/>
          <w:i/>
          <w:sz w:val="18"/>
          <w:szCs w:val="18"/>
        </w:rPr>
        <w:t xml:space="preserve"> </w:t>
      </w:r>
      <w:proofErr w:type="spellStart"/>
      <w:r w:rsidRPr="00A22E80">
        <w:rPr>
          <w:rFonts w:ascii="Verdana" w:hAnsi="Verdana" w:cs="Arial"/>
          <w:i/>
          <w:sz w:val="18"/>
          <w:szCs w:val="18"/>
        </w:rPr>
        <w:t>supervisory</w:t>
      </w:r>
      <w:proofErr w:type="spellEnd"/>
      <w:r w:rsidRPr="00A22E80">
        <w:rPr>
          <w:rFonts w:ascii="Verdana" w:hAnsi="Verdana" w:cs="Arial"/>
          <w:i/>
          <w:sz w:val="18"/>
          <w:szCs w:val="18"/>
        </w:rPr>
        <w:t xml:space="preserve"> body</w:t>
      </w:r>
      <w:r w:rsidRPr="00A22E80">
        <w:rPr>
          <w:rFonts w:ascii="Verdana" w:hAnsi="Verdana" w:cs="Arial"/>
          <w:sz w:val="18"/>
          <w:szCs w:val="18"/>
        </w:rPr>
        <w:t xml:space="preserve">”, oftewel het bestuursorgaan, de dagelijkse leiding of het orgaan dat belast is met het interne toezicht van de accountantsorganisatie. Dit wordt middels de wijziging in deze wet hersteld. </w:t>
      </w:r>
      <w:r w:rsidR="00580F00" w:rsidRPr="00A22E80">
        <w:rPr>
          <w:rFonts w:ascii="Verdana" w:hAnsi="Verdana" w:cs="Arial"/>
          <w:sz w:val="18"/>
          <w:szCs w:val="18"/>
        </w:rPr>
        <w:t xml:space="preserve">Daarbij </w:t>
      </w:r>
      <w:r w:rsidRPr="00A22E80">
        <w:rPr>
          <w:rFonts w:ascii="Verdana" w:hAnsi="Verdana" w:cs="Arial"/>
          <w:sz w:val="18"/>
          <w:szCs w:val="18"/>
        </w:rPr>
        <w:t xml:space="preserve">wordt voorgesteld om, omwille van de leesbaarheid, </w:t>
      </w:r>
      <w:r w:rsidR="00F56DBE" w:rsidRPr="00A22E80">
        <w:rPr>
          <w:rFonts w:ascii="Verdana" w:hAnsi="Verdana" w:cs="Arial"/>
          <w:sz w:val="18"/>
          <w:szCs w:val="18"/>
        </w:rPr>
        <w:t xml:space="preserve">de huidige </w:t>
      </w:r>
      <w:r w:rsidRPr="00A22E80">
        <w:rPr>
          <w:rFonts w:ascii="Verdana" w:hAnsi="Verdana" w:cs="Arial"/>
          <w:sz w:val="18"/>
          <w:szCs w:val="18"/>
        </w:rPr>
        <w:t>onderdelen b en c</w:t>
      </w:r>
      <w:r w:rsidR="00580F00" w:rsidRPr="00A22E80">
        <w:rPr>
          <w:rFonts w:ascii="Verdana" w:hAnsi="Verdana" w:cs="Arial"/>
          <w:sz w:val="18"/>
          <w:szCs w:val="18"/>
        </w:rPr>
        <w:t xml:space="preserve"> samen te</w:t>
      </w:r>
      <w:r w:rsidR="00F56DBE" w:rsidRPr="00A22E80">
        <w:rPr>
          <w:rFonts w:ascii="Verdana" w:hAnsi="Verdana" w:cs="Arial"/>
          <w:sz w:val="18"/>
          <w:szCs w:val="18"/>
        </w:rPr>
        <w:t xml:space="preserve"> voegen</w:t>
      </w:r>
      <w:r w:rsidRPr="00A22E80">
        <w:rPr>
          <w:rFonts w:ascii="Verdana" w:hAnsi="Verdana" w:cs="Arial"/>
          <w:sz w:val="18"/>
          <w:szCs w:val="18"/>
        </w:rPr>
        <w:t>.</w:t>
      </w:r>
    </w:p>
    <w:p w:rsidR="00AD7244" w:rsidRPr="00A22E80" w:rsidRDefault="00AD7244" w:rsidP="00A22E80">
      <w:pPr>
        <w:widowControl w:val="0"/>
        <w:tabs>
          <w:tab w:val="num" w:pos="720"/>
        </w:tabs>
        <w:spacing w:line="260" w:lineRule="exact"/>
        <w:rPr>
          <w:rFonts w:ascii="Verdana" w:hAnsi="Verdana" w:cs="Arial"/>
          <w:sz w:val="18"/>
          <w:szCs w:val="18"/>
        </w:rPr>
      </w:pPr>
    </w:p>
    <w:p w:rsidR="0016263F" w:rsidRPr="00A22E80" w:rsidRDefault="0016263F" w:rsidP="00A22E80">
      <w:pPr>
        <w:widowControl w:val="0"/>
        <w:tabs>
          <w:tab w:val="num" w:pos="720"/>
        </w:tabs>
        <w:spacing w:line="260" w:lineRule="exact"/>
        <w:rPr>
          <w:rFonts w:ascii="Verdana" w:hAnsi="Verdana" w:cs="Arial"/>
          <w:sz w:val="18"/>
          <w:szCs w:val="18"/>
        </w:rPr>
      </w:pPr>
    </w:p>
    <w:p w:rsidR="0079749C" w:rsidRPr="00A22E80" w:rsidRDefault="00EE0056" w:rsidP="00A22E80">
      <w:pPr>
        <w:widowControl w:val="0"/>
        <w:tabs>
          <w:tab w:val="num" w:pos="720"/>
        </w:tabs>
        <w:spacing w:line="260" w:lineRule="exact"/>
        <w:rPr>
          <w:rFonts w:ascii="Verdana" w:hAnsi="Verdana" w:cs="Arial"/>
          <w:sz w:val="18"/>
          <w:szCs w:val="18"/>
        </w:rPr>
      </w:pPr>
      <w:r w:rsidRPr="00A22E80">
        <w:rPr>
          <w:rFonts w:ascii="Verdana" w:hAnsi="Verdana" w:cs="Arial"/>
          <w:sz w:val="18"/>
          <w:szCs w:val="18"/>
        </w:rPr>
        <w:t>De Minister van Financiën,</w:t>
      </w:r>
    </w:p>
    <w:sectPr w:rsidR="0079749C" w:rsidRPr="00A22E80" w:rsidSect="00EE005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3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E8" w:rsidRDefault="004D41E8" w:rsidP="00CA7D6D">
      <w:r>
        <w:separator/>
      </w:r>
    </w:p>
  </w:endnote>
  <w:endnote w:type="continuationSeparator" w:id="0">
    <w:p w:rsidR="004D41E8" w:rsidRDefault="004D41E8" w:rsidP="00CA7D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HODFM D+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NGBLK L+ Univers">
    <w:altName w:val="Arial"/>
    <w:panose1 w:val="00000000000000000000"/>
    <w:charset w:val="00"/>
    <w:family w:val="swiss"/>
    <w:notTrueType/>
    <w:pitch w:val="default"/>
    <w:sig w:usb0="00000003" w:usb1="00000000" w:usb2="00000000" w:usb3="00000000" w:csb0="00000001" w:csb1="00000000"/>
  </w:font>
  <w:font w:name="AMDHK H+ Univer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CNH E+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6" w:rsidRDefault="000C038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A76" w:rsidRPr="00E12911" w:rsidRDefault="00394448">
    <w:pPr>
      <w:pStyle w:val="Voettekst"/>
      <w:jc w:val="center"/>
      <w:rPr>
        <w:rFonts w:ascii="Verdana" w:hAnsi="Verdana"/>
        <w:sz w:val="13"/>
        <w:szCs w:val="13"/>
      </w:rPr>
    </w:pPr>
    <w:r w:rsidRPr="00E12911">
      <w:rPr>
        <w:rFonts w:ascii="Verdana" w:hAnsi="Verdana"/>
        <w:sz w:val="13"/>
        <w:szCs w:val="13"/>
      </w:rPr>
      <w:fldChar w:fldCharType="begin"/>
    </w:r>
    <w:r w:rsidR="00D37A76" w:rsidRPr="00E12911">
      <w:rPr>
        <w:rFonts w:ascii="Verdana" w:hAnsi="Verdana"/>
        <w:sz w:val="13"/>
        <w:szCs w:val="13"/>
      </w:rPr>
      <w:instrText xml:space="preserve"> PAGE   \* MERGEFORMAT </w:instrText>
    </w:r>
    <w:r w:rsidRPr="00E12911">
      <w:rPr>
        <w:rFonts w:ascii="Verdana" w:hAnsi="Verdana"/>
        <w:sz w:val="13"/>
        <w:szCs w:val="13"/>
      </w:rPr>
      <w:fldChar w:fldCharType="separate"/>
    </w:r>
    <w:r w:rsidR="000C0386">
      <w:rPr>
        <w:rFonts w:ascii="Verdana" w:hAnsi="Verdana"/>
        <w:noProof/>
        <w:sz w:val="13"/>
        <w:szCs w:val="13"/>
      </w:rPr>
      <w:t>25</w:t>
    </w:r>
    <w:r w:rsidRPr="00E12911">
      <w:rPr>
        <w:rFonts w:ascii="Verdana" w:hAnsi="Verdana"/>
        <w:sz w:val="13"/>
        <w:szCs w:val="13"/>
      </w:rPr>
      <w:fldChar w:fldCharType="end"/>
    </w:r>
  </w:p>
  <w:p w:rsidR="00D37A76" w:rsidRPr="00E12911" w:rsidRDefault="00D37A76">
    <w:pPr>
      <w:pStyle w:val="Voettekst"/>
      <w:rPr>
        <w:rFonts w:ascii="Verdana" w:hAnsi="Verdana"/>
        <w:sz w:val="13"/>
        <w:szCs w:val="1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6" w:rsidRDefault="000C038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E8" w:rsidRDefault="004D41E8" w:rsidP="00CA7D6D">
      <w:r>
        <w:separator/>
      </w:r>
    </w:p>
  </w:footnote>
  <w:footnote w:type="continuationSeparator" w:id="0">
    <w:p w:rsidR="004D41E8" w:rsidRDefault="004D41E8" w:rsidP="00CA7D6D">
      <w:r>
        <w:continuationSeparator/>
      </w:r>
    </w:p>
  </w:footnote>
  <w:footnote w:id="1">
    <w:p w:rsidR="00D37A76" w:rsidRPr="004E3A76" w:rsidRDefault="00D37A76" w:rsidP="008B07A9">
      <w:pPr>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Brief van de minister van Financiën van 29 april 2016, </w:t>
      </w:r>
      <w:r w:rsidRPr="004E3A76">
        <w:rPr>
          <w:rFonts w:ascii="Verdana" w:hAnsi="Verdana"/>
          <w:i/>
          <w:sz w:val="13"/>
          <w:szCs w:val="13"/>
        </w:rPr>
        <w:t>Kamerstukken</w:t>
      </w:r>
      <w:r w:rsidRPr="004E3A76">
        <w:rPr>
          <w:rFonts w:ascii="Verdana" w:hAnsi="Verdana"/>
          <w:sz w:val="13"/>
          <w:szCs w:val="13"/>
        </w:rPr>
        <w:t xml:space="preserve"> </w:t>
      </w:r>
      <w:r w:rsidRPr="004E3A76">
        <w:rPr>
          <w:rFonts w:ascii="Verdana" w:hAnsi="Verdana"/>
          <w:i/>
          <w:sz w:val="13"/>
          <w:szCs w:val="13"/>
        </w:rPr>
        <w:t>II</w:t>
      </w:r>
      <w:r w:rsidRPr="004E3A76">
        <w:rPr>
          <w:rFonts w:ascii="Verdana" w:hAnsi="Verdana"/>
          <w:sz w:val="13"/>
          <w:szCs w:val="13"/>
        </w:rPr>
        <w:t xml:space="preserve"> 2015/16, 21 501-07, nr. 1358.</w:t>
      </w:r>
    </w:p>
  </w:footnote>
  <w:footnote w:id="2">
    <w:p w:rsidR="00D37A76" w:rsidRPr="004E3A76" w:rsidRDefault="00D37A76" w:rsidP="003F03B5">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Verordening (EU) Nr. 1024/2013 van de Raad van 15 oktober 2013 waarbij aan de Europese Centrale Bank specifieke taken worden opgedragen betreffende het beleid inzake het </w:t>
      </w:r>
      <w:proofErr w:type="spellStart"/>
      <w:r w:rsidRPr="004E3A76">
        <w:rPr>
          <w:rFonts w:ascii="Verdana" w:hAnsi="Verdana"/>
          <w:sz w:val="13"/>
          <w:szCs w:val="13"/>
        </w:rPr>
        <w:t>prudentieel</w:t>
      </w:r>
      <w:proofErr w:type="spellEnd"/>
      <w:r w:rsidRPr="004E3A76">
        <w:rPr>
          <w:rFonts w:ascii="Verdana" w:hAnsi="Verdana"/>
          <w:sz w:val="13"/>
          <w:szCs w:val="13"/>
        </w:rPr>
        <w:t xml:space="preserve"> toezicht op kredietinstellingen (</w:t>
      </w:r>
      <w:proofErr w:type="spellStart"/>
      <w:r w:rsidRPr="004E3A76">
        <w:rPr>
          <w:rFonts w:ascii="Verdana" w:hAnsi="Verdana"/>
          <w:sz w:val="13"/>
          <w:szCs w:val="13"/>
        </w:rPr>
        <w:t>PbEU</w:t>
      </w:r>
      <w:proofErr w:type="spellEnd"/>
      <w:r w:rsidRPr="004E3A76">
        <w:rPr>
          <w:rFonts w:ascii="Verdana" w:hAnsi="Verdana"/>
          <w:sz w:val="13"/>
          <w:szCs w:val="13"/>
        </w:rPr>
        <w:t xml:space="preserve"> 2013, L 287).</w:t>
      </w:r>
    </w:p>
  </w:footnote>
  <w:footnote w:id="3">
    <w:p w:rsidR="00D37A76" w:rsidRPr="00A6586C" w:rsidRDefault="00D37A76">
      <w:pPr>
        <w:pStyle w:val="Voetnoottekst"/>
        <w:rPr>
          <w:rFonts w:ascii="Verdana" w:hAnsi="Verdana"/>
          <w:b/>
          <w:sz w:val="13"/>
          <w:szCs w:val="13"/>
        </w:rPr>
      </w:pPr>
      <w:r w:rsidRPr="00A6586C">
        <w:rPr>
          <w:rStyle w:val="Voetnootmarkering"/>
          <w:rFonts w:ascii="Verdana" w:hAnsi="Verdana"/>
          <w:sz w:val="13"/>
          <w:szCs w:val="13"/>
        </w:rPr>
        <w:footnoteRef/>
      </w:r>
      <w:r w:rsidRPr="00A6586C">
        <w:rPr>
          <w:rFonts w:ascii="Verdana" w:hAnsi="Verdana"/>
          <w:sz w:val="13"/>
          <w:szCs w:val="13"/>
        </w:rPr>
        <w:t xml:space="preserve"> </w:t>
      </w:r>
      <w:r w:rsidRPr="00A6586C">
        <w:rPr>
          <w:rStyle w:val="Zwaar"/>
          <w:rFonts w:ascii="Verdana" w:hAnsi="Verdana" w:cs="Lucida Sans Unicode"/>
          <w:b w:val="0"/>
          <w:sz w:val="13"/>
          <w:szCs w:val="13"/>
        </w:rPr>
        <w:t>Zesde Richtlijn 82/891/EEG van de Raad van 17 december 1982 op de grondslag van artikel 54, lid 3, sub g, van het Verdrag betreffende splitsingen van naamloze vennootschappen (</w:t>
      </w:r>
      <w:proofErr w:type="spellStart"/>
      <w:r w:rsidRPr="00A6586C">
        <w:rPr>
          <w:rStyle w:val="Zwaar"/>
          <w:rFonts w:ascii="Verdana" w:hAnsi="Verdana" w:cs="Lucida Sans Unicode"/>
          <w:b w:val="0"/>
          <w:sz w:val="13"/>
          <w:szCs w:val="13"/>
        </w:rPr>
        <w:t>PbEG</w:t>
      </w:r>
      <w:proofErr w:type="spellEnd"/>
      <w:r w:rsidRPr="00A6586C">
        <w:rPr>
          <w:rStyle w:val="Zwaar"/>
          <w:rFonts w:ascii="Verdana" w:hAnsi="Verdana" w:cs="Lucida Sans Unicode"/>
          <w:b w:val="0"/>
          <w:sz w:val="13"/>
          <w:szCs w:val="13"/>
        </w:rPr>
        <w:t xml:space="preserve"> L 378).</w:t>
      </w:r>
    </w:p>
  </w:footnote>
  <w:footnote w:id="4">
    <w:p w:rsidR="00D37A76" w:rsidRPr="004E3A76" w:rsidRDefault="00D37A76">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Richtlijn nr. 2005/56/EG van het Europese Parlement en de Raad van de Europese Unie inzake grensoverschrijdende fusies van kapitaalvennootschappen (</w:t>
      </w:r>
      <w:proofErr w:type="spellStart"/>
      <w:r w:rsidRPr="004E3A76">
        <w:rPr>
          <w:rFonts w:ascii="Verdana" w:hAnsi="Verdana"/>
          <w:sz w:val="13"/>
          <w:szCs w:val="13"/>
        </w:rPr>
        <w:t>PbEU</w:t>
      </w:r>
      <w:proofErr w:type="spellEnd"/>
      <w:r w:rsidRPr="004E3A76">
        <w:rPr>
          <w:rFonts w:ascii="Verdana" w:hAnsi="Verdana"/>
          <w:sz w:val="13"/>
          <w:szCs w:val="13"/>
        </w:rPr>
        <w:t xml:space="preserve"> L 310).</w:t>
      </w:r>
    </w:p>
  </w:footnote>
  <w:footnote w:id="5">
    <w:p w:rsidR="00D37A76" w:rsidRPr="004E3A76" w:rsidRDefault="00D37A76" w:rsidP="0062753A">
      <w:pPr>
        <w:pStyle w:val="Defaul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w:t>
      </w:r>
      <w:r w:rsidRPr="004E3A76">
        <w:rPr>
          <w:rFonts w:ascii="Verdana" w:eastAsia="Calibri" w:hAnsi="Verdana"/>
          <w:bCs/>
          <w:sz w:val="13"/>
          <w:szCs w:val="13"/>
        </w:rPr>
        <w:t>Richtlijn 2011/35/EU van het Europees Parlement en de Raad van 5 april 2011 betreffende fusies van naamloze vennootschappen (</w:t>
      </w:r>
      <w:proofErr w:type="spellStart"/>
      <w:r w:rsidRPr="004E3A76">
        <w:rPr>
          <w:rFonts w:ascii="Verdana" w:eastAsia="Calibri" w:hAnsi="Verdana"/>
          <w:bCs/>
          <w:sz w:val="13"/>
          <w:szCs w:val="13"/>
        </w:rPr>
        <w:t>PbEU</w:t>
      </w:r>
      <w:proofErr w:type="spellEnd"/>
      <w:r w:rsidRPr="004E3A76">
        <w:rPr>
          <w:rFonts w:ascii="Verdana" w:eastAsia="Calibri" w:hAnsi="Verdana"/>
          <w:bCs/>
          <w:sz w:val="13"/>
          <w:szCs w:val="13"/>
        </w:rPr>
        <w:t xml:space="preserve"> L 110).</w:t>
      </w:r>
    </w:p>
  </w:footnote>
  <w:footnote w:id="6">
    <w:p w:rsidR="00D37A76" w:rsidRPr="004E3A76" w:rsidRDefault="00D37A76">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Richtlijn nr. 2007/36/EG van het Europees Parlement en de Raad van 11 juli 2007 betreffende de uitoefening van bepaalde rechten van aandeelhouders in beursgenoteerde vennootschappen (</w:t>
      </w:r>
      <w:proofErr w:type="spellStart"/>
      <w:r w:rsidRPr="004E3A76">
        <w:rPr>
          <w:rFonts w:ascii="Verdana" w:hAnsi="Verdana"/>
          <w:sz w:val="13"/>
          <w:szCs w:val="13"/>
        </w:rPr>
        <w:t>PbEU</w:t>
      </w:r>
      <w:proofErr w:type="spellEnd"/>
      <w:r w:rsidRPr="004E3A76">
        <w:rPr>
          <w:rFonts w:ascii="Verdana" w:hAnsi="Verdana"/>
          <w:sz w:val="13"/>
          <w:szCs w:val="13"/>
        </w:rPr>
        <w:t xml:space="preserve"> 2007, L 184)</w:t>
      </w:r>
    </w:p>
  </w:footnote>
  <w:footnote w:id="7">
    <w:p w:rsidR="001E4AF8" w:rsidRPr="001E4AF8" w:rsidRDefault="001E4AF8">
      <w:pPr>
        <w:pStyle w:val="Voetnoottekst"/>
        <w:rPr>
          <w:rFonts w:ascii="Verdana" w:hAnsi="Verdana"/>
          <w:sz w:val="13"/>
          <w:szCs w:val="13"/>
        </w:rPr>
      </w:pPr>
      <w:r w:rsidRPr="001E4AF8">
        <w:rPr>
          <w:rStyle w:val="Voetnootmarkering"/>
          <w:rFonts w:ascii="Verdana" w:hAnsi="Verdana"/>
          <w:sz w:val="13"/>
          <w:szCs w:val="13"/>
        </w:rPr>
        <w:footnoteRef/>
      </w:r>
      <w:r w:rsidRPr="001E4AF8">
        <w:rPr>
          <w:rFonts w:ascii="Verdana" w:hAnsi="Verdana"/>
          <w:sz w:val="13"/>
          <w:szCs w:val="13"/>
        </w:rPr>
        <w:t xml:space="preserve"> Kamerstukken II 2014/15, 34 208, nr. 7 en Kamerstukken II 2014/15, 34 232, nr. 7</w:t>
      </w:r>
      <w:r>
        <w:rPr>
          <w:rFonts w:ascii="Verdana" w:hAnsi="Verdana"/>
          <w:sz w:val="13"/>
          <w:szCs w:val="13"/>
        </w:rPr>
        <w:t>.</w:t>
      </w:r>
    </w:p>
  </w:footnote>
  <w:footnote w:id="8">
    <w:p w:rsidR="00D37A76" w:rsidRPr="004E3A76" w:rsidRDefault="00D37A76">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Richtlijn 77/91/EEG met betrekking tot de oprichting van de naamloze vennootschap, alsook de instandhouding en wijziging van haar kapitaal (</w:t>
      </w:r>
      <w:proofErr w:type="spellStart"/>
      <w:r w:rsidRPr="004E3A76">
        <w:rPr>
          <w:rFonts w:ascii="Verdana" w:hAnsi="Verdana"/>
          <w:sz w:val="13"/>
          <w:szCs w:val="13"/>
        </w:rPr>
        <w:t>PbEU</w:t>
      </w:r>
      <w:proofErr w:type="spellEnd"/>
      <w:r w:rsidRPr="004E3A76">
        <w:rPr>
          <w:rFonts w:ascii="Verdana" w:hAnsi="Verdana"/>
          <w:sz w:val="13"/>
          <w:szCs w:val="13"/>
        </w:rPr>
        <w:t xml:space="preserve"> L 264).</w:t>
      </w:r>
    </w:p>
  </w:footnote>
  <w:footnote w:id="9">
    <w:p w:rsidR="004E3A76" w:rsidRPr="004E3A76" w:rsidRDefault="004E3A76">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w:t>
      </w:r>
      <w:r w:rsidRPr="004E3A76">
        <w:rPr>
          <w:rFonts w:ascii="Verdana" w:hAnsi="Verdana"/>
          <w:color w:val="000000"/>
          <w:sz w:val="13"/>
          <w:szCs w:val="13"/>
        </w:rPr>
        <w:t>Richtlijn nr. 2011/61/EU van het Europees Parlement en de Raad van de Europese Unie van 8 juni 2011 inzake beheerders van alternatieve beleggingsinstellingen en tot wijziging van de Richtlijnen 2003/41/EG en 2009/65/EG en van de Verordeningen (EG) Nr. 1060/2009 en (EU) Nr. 1095/2010 (</w:t>
      </w:r>
      <w:proofErr w:type="spellStart"/>
      <w:r w:rsidRPr="004E3A76">
        <w:rPr>
          <w:rFonts w:ascii="Verdana" w:hAnsi="Verdana"/>
          <w:color w:val="000000"/>
          <w:sz w:val="13"/>
          <w:szCs w:val="13"/>
        </w:rPr>
        <w:t>PbEU</w:t>
      </w:r>
      <w:proofErr w:type="spellEnd"/>
      <w:r w:rsidRPr="004E3A76">
        <w:rPr>
          <w:rFonts w:ascii="Verdana" w:hAnsi="Verdana"/>
          <w:color w:val="000000"/>
          <w:sz w:val="13"/>
          <w:szCs w:val="13"/>
        </w:rPr>
        <w:t xml:space="preserve"> 2011, L 174)</w:t>
      </w:r>
    </w:p>
  </w:footnote>
  <w:footnote w:id="10">
    <w:p w:rsidR="00D37A76" w:rsidRPr="004E3A76" w:rsidRDefault="00D37A76" w:rsidP="00CA1745">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Wijziging van het Burgerlijk Wetboek en de Faillissementswet ter implementatie van Richtlijn 2009/44/EG van het Europees Parlement en de Europese Raad van 6 mei 2009 tot wijziging van Richtlijn 98/26/EG betreffende het definitieve karakter van de afwikkeling van betalingen en effectentransacties in </w:t>
      </w:r>
      <w:proofErr w:type="spellStart"/>
      <w:r w:rsidRPr="004E3A76">
        <w:rPr>
          <w:rFonts w:ascii="Verdana" w:hAnsi="Verdana"/>
          <w:sz w:val="13"/>
          <w:szCs w:val="13"/>
        </w:rPr>
        <w:t>betalings</w:t>
      </w:r>
      <w:proofErr w:type="spellEnd"/>
      <w:r w:rsidRPr="004E3A76">
        <w:rPr>
          <w:rFonts w:ascii="Verdana" w:hAnsi="Verdana"/>
          <w:sz w:val="13"/>
          <w:szCs w:val="13"/>
        </w:rPr>
        <w:t xml:space="preserve">- en afwikkelingssystemen en Richtlijn 2002/47/EG betreffende </w:t>
      </w:r>
      <w:proofErr w:type="spellStart"/>
      <w:r w:rsidRPr="004E3A76">
        <w:rPr>
          <w:rFonts w:ascii="Verdana" w:hAnsi="Verdana"/>
          <w:sz w:val="13"/>
          <w:szCs w:val="13"/>
        </w:rPr>
        <w:t>financiëlezekerheidsovereenkomsten</w:t>
      </w:r>
      <w:proofErr w:type="spellEnd"/>
      <w:r w:rsidRPr="004E3A76">
        <w:rPr>
          <w:rFonts w:ascii="Verdana" w:hAnsi="Verdana"/>
          <w:sz w:val="13"/>
          <w:szCs w:val="13"/>
        </w:rPr>
        <w:t xml:space="preserve"> wat gekoppelde systemen en kredietvorderingen betreft (</w:t>
      </w:r>
      <w:proofErr w:type="spellStart"/>
      <w:r w:rsidRPr="004E3A76">
        <w:rPr>
          <w:rFonts w:ascii="Verdana" w:hAnsi="Verdana"/>
          <w:sz w:val="13"/>
          <w:szCs w:val="13"/>
        </w:rPr>
        <w:t>PbEU</w:t>
      </w:r>
      <w:proofErr w:type="spellEnd"/>
      <w:r w:rsidRPr="004E3A76">
        <w:rPr>
          <w:rFonts w:ascii="Verdana" w:hAnsi="Verdana"/>
          <w:sz w:val="13"/>
          <w:szCs w:val="13"/>
        </w:rPr>
        <w:t xml:space="preserve"> L 146/37).</w:t>
      </w:r>
    </w:p>
  </w:footnote>
  <w:footnote w:id="11">
    <w:p w:rsidR="00D37A76" w:rsidRPr="004E3A76" w:rsidRDefault="00D37A76" w:rsidP="00817EF1">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Richtlijn 2001/24/EG van het Europees Parlement en de Raad van 4 april 2001 betreffende de sanering en liquidatie van kredietinstellingen, (</w:t>
      </w:r>
      <w:proofErr w:type="spellStart"/>
      <w:r w:rsidRPr="004E3A76">
        <w:rPr>
          <w:rFonts w:ascii="Verdana" w:hAnsi="Verdana"/>
          <w:sz w:val="13"/>
          <w:szCs w:val="13"/>
        </w:rPr>
        <w:t>PbEG</w:t>
      </w:r>
      <w:proofErr w:type="spellEnd"/>
      <w:r w:rsidRPr="004E3A76">
        <w:rPr>
          <w:rFonts w:ascii="Verdana" w:hAnsi="Verdana"/>
          <w:sz w:val="13"/>
          <w:szCs w:val="13"/>
        </w:rPr>
        <w:t xml:space="preserve"> L 125).</w:t>
      </w:r>
    </w:p>
  </w:footnote>
  <w:footnote w:id="12">
    <w:p w:rsidR="00D37A76" w:rsidRPr="004E3A76" w:rsidRDefault="00D37A76" w:rsidP="00A411EC">
      <w:pPr>
        <w:pStyle w:val="Voetnoottekst"/>
        <w:rPr>
          <w:rFonts w:ascii="Verdana" w:hAnsi="Verdana"/>
          <w:sz w:val="13"/>
          <w:szCs w:val="13"/>
        </w:rPr>
      </w:pPr>
      <w:r w:rsidRPr="004E3A76">
        <w:rPr>
          <w:rStyle w:val="Voetnootmarkering"/>
          <w:rFonts w:ascii="Verdana" w:hAnsi="Verdana"/>
          <w:sz w:val="13"/>
          <w:szCs w:val="13"/>
        </w:rPr>
        <w:footnoteRef/>
      </w:r>
      <w:r w:rsidRPr="004E3A76">
        <w:rPr>
          <w:rFonts w:ascii="Verdana" w:hAnsi="Verdana"/>
          <w:sz w:val="13"/>
          <w:szCs w:val="13"/>
        </w:rPr>
        <w:t xml:space="preserve"> Verordening (EG) nr. 1346/2000 van de Raad van 29 mei 2000 betreffende insolventieprocedures, </w:t>
      </w:r>
      <w:proofErr w:type="spellStart"/>
      <w:r w:rsidRPr="004E3A76">
        <w:rPr>
          <w:rFonts w:ascii="Verdana" w:hAnsi="Verdana"/>
          <w:i/>
          <w:sz w:val="13"/>
          <w:szCs w:val="13"/>
        </w:rPr>
        <w:t>PbEG</w:t>
      </w:r>
      <w:proofErr w:type="spellEnd"/>
      <w:r w:rsidRPr="004E3A76">
        <w:rPr>
          <w:rFonts w:ascii="Verdana" w:hAnsi="Verdana"/>
          <w:i/>
          <w:sz w:val="13"/>
          <w:szCs w:val="13"/>
        </w:rPr>
        <w:t xml:space="preserve"> </w:t>
      </w:r>
      <w:r w:rsidRPr="004E3A76">
        <w:rPr>
          <w:rFonts w:ascii="Verdana" w:hAnsi="Verdana"/>
          <w:sz w:val="13"/>
          <w:szCs w:val="13"/>
        </w:rPr>
        <w:t xml:space="preserve">2000, L 160. Deze verordening is herzien: Verordening (EU) 2015/848 van het Europees Parlement en de Raad van 20 mei 2015 betreffende insolventieprocedures, </w:t>
      </w:r>
      <w:proofErr w:type="spellStart"/>
      <w:r w:rsidRPr="004E3A76">
        <w:rPr>
          <w:rFonts w:ascii="Verdana" w:hAnsi="Verdana"/>
          <w:i/>
          <w:sz w:val="13"/>
          <w:szCs w:val="13"/>
        </w:rPr>
        <w:t>PbEU</w:t>
      </w:r>
      <w:proofErr w:type="spellEnd"/>
      <w:r w:rsidRPr="004E3A76">
        <w:rPr>
          <w:rFonts w:ascii="Verdana" w:hAnsi="Verdana"/>
          <w:i/>
          <w:sz w:val="13"/>
          <w:szCs w:val="13"/>
        </w:rPr>
        <w:t xml:space="preserve"> </w:t>
      </w:r>
      <w:r w:rsidRPr="004E3A76">
        <w:rPr>
          <w:rFonts w:ascii="Verdana" w:hAnsi="Verdana"/>
          <w:sz w:val="13"/>
          <w:szCs w:val="13"/>
        </w:rPr>
        <w:t>2015, L 141; Met uitzondering van enkele bepalingen treedt de herziene Insolventieverordening in werking op 26 juni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6" w:rsidRDefault="000C038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6" w:rsidRDefault="000C038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86" w:rsidRDefault="000C038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1880DF9"/>
    <w:multiLevelType w:val="hybridMultilevel"/>
    <w:tmpl w:val="6FC20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3EA47A8"/>
    <w:multiLevelType w:val="hybridMultilevel"/>
    <w:tmpl w:val="AB22E736"/>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8">
    <w:nsid w:val="353858D1"/>
    <w:multiLevelType w:val="hybridMultilevel"/>
    <w:tmpl w:val="43C42E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1847AE5"/>
    <w:multiLevelType w:val="hybridMultilevel"/>
    <w:tmpl w:val="840E9EE2"/>
    <w:lvl w:ilvl="0" w:tplc="A526481A">
      <w:numFmt w:val="bullet"/>
      <w:lvlText w:val="-"/>
      <w:lvlJc w:val="left"/>
      <w:pPr>
        <w:ind w:left="425" w:hanging="360"/>
      </w:pPr>
      <w:rPr>
        <w:rFonts w:ascii="Verdana" w:eastAsia="Times New Roman" w:hAnsi="Verdana" w:cs="Arial" w:hint="default"/>
      </w:rPr>
    </w:lvl>
    <w:lvl w:ilvl="1" w:tplc="04130003" w:tentative="1">
      <w:start w:val="1"/>
      <w:numFmt w:val="bullet"/>
      <w:lvlText w:val="o"/>
      <w:lvlJc w:val="left"/>
      <w:pPr>
        <w:ind w:left="1145" w:hanging="360"/>
      </w:pPr>
      <w:rPr>
        <w:rFonts w:ascii="Courier New" w:hAnsi="Courier New" w:cs="Courier New" w:hint="default"/>
      </w:rPr>
    </w:lvl>
    <w:lvl w:ilvl="2" w:tplc="04130005" w:tentative="1">
      <w:start w:val="1"/>
      <w:numFmt w:val="bullet"/>
      <w:lvlText w:val=""/>
      <w:lvlJc w:val="left"/>
      <w:pPr>
        <w:ind w:left="1865" w:hanging="360"/>
      </w:pPr>
      <w:rPr>
        <w:rFonts w:ascii="Wingdings" w:hAnsi="Wingdings" w:hint="default"/>
      </w:rPr>
    </w:lvl>
    <w:lvl w:ilvl="3" w:tplc="04130001" w:tentative="1">
      <w:start w:val="1"/>
      <w:numFmt w:val="bullet"/>
      <w:lvlText w:val=""/>
      <w:lvlJc w:val="left"/>
      <w:pPr>
        <w:ind w:left="2585" w:hanging="360"/>
      </w:pPr>
      <w:rPr>
        <w:rFonts w:ascii="Symbol" w:hAnsi="Symbol" w:hint="default"/>
      </w:rPr>
    </w:lvl>
    <w:lvl w:ilvl="4" w:tplc="04130003" w:tentative="1">
      <w:start w:val="1"/>
      <w:numFmt w:val="bullet"/>
      <w:lvlText w:val="o"/>
      <w:lvlJc w:val="left"/>
      <w:pPr>
        <w:ind w:left="3305" w:hanging="360"/>
      </w:pPr>
      <w:rPr>
        <w:rFonts w:ascii="Courier New" w:hAnsi="Courier New" w:cs="Courier New" w:hint="default"/>
      </w:rPr>
    </w:lvl>
    <w:lvl w:ilvl="5" w:tplc="04130005" w:tentative="1">
      <w:start w:val="1"/>
      <w:numFmt w:val="bullet"/>
      <w:lvlText w:val=""/>
      <w:lvlJc w:val="left"/>
      <w:pPr>
        <w:ind w:left="4025" w:hanging="360"/>
      </w:pPr>
      <w:rPr>
        <w:rFonts w:ascii="Wingdings" w:hAnsi="Wingdings" w:hint="default"/>
      </w:rPr>
    </w:lvl>
    <w:lvl w:ilvl="6" w:tplc="04130001" w:tentative="1">
      <w:start w:val="1"/>
      <w:numFmt w:val="bullet"/>
      <w:lvlText w:val=""/>
      <w:lvlJc w:val="left"/>
      <w:pPr>
        <w:ind w:left="4745" w:hanging="360"/>
      </w:pPr>
      <w:rPr>
        <w:rFonts w:ascii="Symbol" w:hAnsi="Symbol" w:hint="default"/>
      </w:rPr>
    </w:lvl>
    <w:lvl w:ilvl="7" w:tplc="04130003" w:tentative="1">
      <w:start w:val="1"/>
      <w:numFmt w:val="bullet"/>
      <w:lvlText w:val="o"/>
      <w:lvlJc w:val="left"/>
      <w:pPr>
        <w:ind w:left="5465" w:hanging="360"/>
      </w:pPr>
      <w:rPr>
        <w:rFonts w:ascii="Courier New" w:hAnsi="Courier New" w:cs="Courier New" w:hint="default"/>
      </w:rPr>
    </w:lvl>
    <w:lvl w:ilvl="8" w:tplc="04130005" w:tentative="1">
      <w:start w:val="1"/>
      <w:numFmt w:val="bullet"/>
      <w:lvlText w:val=""/>
      <w:lvlJc w:val="left"/>
      <w:pPr>
        <w:ind w:left="6185" w:hanging="360"/>
      </w:pPr>
      <w:rPr>
        <w:rFonts w:ascii="Wingdings" w:hAnsi="Wingdings" w:hint="default"/>
      </w:rPr>
    </w:lvl>
  </w:abstractNum>
  <w:abstractNum w:abstractNumId="12">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57837E04"/>
    <w:multiLevelType w:val="hybridMultilevel"/>
    <w:tmpl w:val="2CFC16D6"/>
    <w:lvl w:ilvl="0" w:tplc="AC640F8E">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EA40B67"/>
    <w:multiLevelType w:val="hybridMultilevel"/>
    <w:tmpl w:val="4C98FC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9">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abstractNumId w:val="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19"/>
  </w:num>
  <w:num w:numId="6">
    <w:abstractNumId w:val="9"/>
  </w:num>
  <w:num w:numId="7">
    <w:abstractNumId w:val="6"/>
  </w:num>
  <w:num w:numId="8">
    <w:abstractNumId w:val="2"/>
  </w:num>
  <w:num w:numId="9">
    <w:abstractNumId w:val="12"/>
  </w:num>
  <w:num w:numId="10">
    <w:abstractNumId w:val="17"/>
  </w:num>
  <w:num w:numId="1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abstractNumId w:val="12"/>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abstractNumId w:val="10"/>
  </w:num>
  <w:num w:numId="14">
    <w:abstractNumId w:val="4"/>
  </w:num>
  <w:num w:numId="15">
    <w:abstractNumId w:val="1"/>
  </w:num>
  <w:num w:numId="16">
    <w:abstractNumId w:val="5"/>
  </w:num>
  <w:num w:numId="17">
    <w:abstractNumId w:val="8"/>
  </w:num>
  <w:num w:numId="18">
    <w:abstractNumId w:val="14"/>
  </w:num>
  <w:num w:numId="19">
    <w:abstractNumId w:val="3"/>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EE0056"/>
    <w:rsid w:val="00000EAD"/>
    <w:rsid w:val="00003712"/>
    <w:rsid w:val="000039D7"/>
    <w:rsid w:val="00004B56"/>
    <w:rsid w:val="00004E00"/>
    <w:rsid w:val="00010325"/>
    <w:rsid w:val="00010FBC"/>
    <w:rsid w:val="0001174C"/>
    <w:rsid w:val="00012C53"/>
    <w:rsid w:val="00012F05"/>
    <w:rsid w:val="000131EB"/>
    <w:rsid w:val="000134EA"/>
    <w:rsid w:val="0001437F"/>
    <w:rsid w:val="000146EB"/>
    <w:rsid w:val="00014925"/>
    <w:rsid w:val="000202AB"/>
    <w:rsid w:val="0002172C"/>
    <w:rsid w:val="00024443"/>
    <w:rsid w:val="0002478A"/>
    <w:rsid w:val="00024F09"/>
    <w:rsid w:val="00025142"/>
    <w:rsid w:val="0002524E"/>
    <w:rsid w:val="00025DA1"/>
    <w:rsid w:val="00026AF7"/>
    <w:rsid w:val="00026C8F"/>
    <w:rsid w:val="0003007C"/>
    <w:rsid w:val="00030AED"/>
    <w:rsid w:val="00033C1B"/>
    <w:rsid w:val="00033C46"/>
    <w:rsid w:val="00034351"/>
    <w:rsid w:val="00034FC9"/>
    <w:rsid w:val="0003523F"/>
    <w:rsid w:val="00035922"/>
    <w:rsid w:val="00037684"/>
    <w:rsid w:val="00037AE9"/>
    <w:rsid w:val="000405A8"/>
    <w:rsid w:val="000429FB"/>
    <w:rsid w:val="000431E2"/>
    <w:rsid w:val="00045FA4"/>
    <w:rsid w:val="000461F1"/>
    <w:rsid w:val="0004737C"/>
    <w:rsid w:val="000503AB"/>
    <w:rsid w:val="000516E2"/>
    <w:rsid w:val="00051D68"/>
    <w:rsid w:val="00054E3C"/>
    <w:rsid w:val="00054F03"/>
    <w:rsid w:val="00055452"/>
    <w:rsid w:val="0005573A"/>
    <w:rsid w:val="00057A79"/>
    <w:rsid w:val="00057C0B"/>
    <w:rsid w:val="0006042F"/>
    <w:rsid w:val="000610C1"/>
    <w:rsid w:val="00061B86"/>
    <w:rsid w:val="000637A4"/>
    <w:rsid w:val="0006448C"/>
    <w:rsid w:val="00064EDD"/>
    <w:rsid w:val="00065A2A"/>
    <w:rsid w:val="00065C16"/>
    <w:rsid w:val="00065C2D"/>
    <w:rsid w:val="00066AE4"/>
    <w:rsid w:val="00067015"/>
    <w:rsid w:val="0007130F"/>
    <w:rsid w:val="00071E73"/>
    <w:rsid w:val="000724C5"/>
    <w:rsid w:val="00073441"/>
    <w:rsid w:val="00076564"/>
    <w:rsid w:val="000765D1"/>
    <w:rsid w:val="00076D9D"/>
    <w:rsid w:val="000773B9"/>
    <w:rsid w:val="00080A6C"/>
    <w:rsid w:val="00080D8C"/>
    <w:rsid w:val="00081D71"/>
    <w:rsid w:val="00082026"/>
    <w:rsid w:val="00082F60"/>
    <w:rsid w:val="0008311F"/>
    <w:rsid w:val="00083531"/>
    <w:rsid w:val="000841EF"/>
    <w:rsid w:val="00084224"/>
    <w:rsid w:val="00085467"/>
    <w:rsid w:val="000862E1"/>
    <w:rsid w:val="00086550"/>
    <w:rsid w:val="00086708"/>
    <w:rsid w:val="00087301"/>
    <w:rsid w:val="00087445"/>
    <w:rsid w:val="00087629"/>
    <w:rsid w:val="0008781D"/>
    <w:rsid w:val="00087D5A"/>
    <w:rsid w:val="00087ED6"/>
    <w:rsid w:val="000901F8"/>
    <w:rsid w:val="0009055C"/>
    <w:rsid w:val="0009097E"/>
    <w:rsid w:val="000910E4"/>
    <w:rsid w:val="0009315E"/>
    <w:rsid w:val="0009383F"/>
    <w:rsid w:val="00094527"/>
    <w:rsid w:val="00095C84"/>
    <w:rsid w:val="000A0550"/>
    <w:rsid w:val="000A1C98"/>
    <w:rsid w:val="000A340A"/>
    <w:rsid w:val="000A3D6D"/>
    <w:rsid w:val="000A3D8E"/>
    <w:rsid w:val="000A3F9B"/>
    <w:rsid w:val="000A46E2"/>
    <w:rsid w:val="000A49B1"/>
    <w:rsid w:val="000A5477"/>
    <w:rsid w:val="000A6751"/>
    <w:rsid w:val="000A7B3E"/>
    <w:rsid w:val="000B0870"/>
    <w:rsid w:val="000B0CE1"/>
    <w:rsid w:val="000B2AF0"/>
    <w:rsid w:val="000B35D2"/>
    <w:rsid w:val="000B36D2"/>
    <w:rsid w:val="000B3ABD"/>
    <w:rsid w:val="000B4824"/>
    <w:rsid w:val="000B4E21"/>
    <w:rsid w:val="000B7422"/>
    <w:rsid w:val="000B7B50"/>
    <w:rsid w:val="000C0386"/>
    <w:rsid w:val="000C0687"/>
    <w:rsid w:val="000C098E"/>
    <w:rsid w:val="000C0E4F"/>
    <w:rsid w:val="000C18A7"/>
    <w:rsid w:val="000C2785"/>
    <w:rsid w:val="000C4A8A"/>
    <w:rsid w:val="000C5086"/>
    <w:rsid w:val="000C520B"/>
    <w:rsid w:val="000C57FC"/>
    <w:rsid w:val="000C5CE9"/>
    <w:rsid w:val="000C6404"/>
    <w:rsid w:val="000C6E45"/>
    <w:rsid w:val="000D01AD"/>
    <w:rsid w:val="000D0BED"/>
    <w:rsid w:val="000D0C50"/>
    <w:rsid w:val="000D10E0"/>
    <w:rsid w:val="000D185D"/>
    <w:rsid w:val="000D2C35"/>
    <w:rsid w:val="000D2DEE"/>
    <w:rsid w:val="000D2E7B"/>
    <w:rsid w:val="000D2EE4"/>
    <w:rsid w:val="000D4301"/>
    <w:rsid w:val="000D58F9"/>
    <w:rsid w:val="000D7724"/>
    <w:rsid w:val="000E0443"/>
    <w:rsid w:val="000E17D5"/>
    <w:rsid w:val="000E1938"/>
    <w:rsid w:val="000E3062"/>
    <w:rsid w:val="000E4550"/>
    <w:rsid w:val="000E74D2"/>
    <w:rsid w:val="000F05E4"/>
    <w:rsid w:val="000F07D4"/>
    <w:rsid w:val="000F1B7B"/>
    <w:rsid w:val="000F1FCB"/>
    <w:rsid w:val="000F35BD"/>
    <w:rsid w:val="000F37EE"/>
    <w:rsid w:val="000F45F9"/>
    <w:rsid w:val="000F4FD8"/>
    <w:rsid w:val="000F5C66"/>
    <w:rsid w:val="000F61D7"/>
    <w:rsid w:val="00100C45"/>
    <w:rsid w:val="00100FAA"/>
    <w:rsid w:val="00102B9E"/>
    <w:rsid w:val="00102BFB"/>
    <w:rsid w:val="00103137"/>
    <w:rsid w:val="00104A00"/>
    <w:rsid w:val="001052B3"/>
    <w:rsid w:val="001052BA"/>
    <w:rsid w:val="001109EC"/>
    <w:rsid w:val="00110C68"/>
    <w:rsid w:val="00110ED7"/>
    <w:rsid w:val="00111CB9"/>
    <w:rsid w:val="00112CBA"/>
    <w:rsid w:val="00113617"/>
    <w:rsid w:val="00114A49"/>
    <w:rsid w:val="001156CC"/>
    <w:rsid w:val="00115A48"/>
    <w:rsid w:val="00115E92"/>
    <w:rsid w:val="00117064"/>
    <w:rsid w:val="00117D96"/>
    <w:rsid w:val="001212D3"/>
    <w:rsid w:val="0012155A"/>
    <w:rsid w:val="00121B17"/>
    <w:rsid w:val="00121C1B"/>
    <w:rsid w:val="00121D64"/>
    <w:rsid w:val="00122455"/>
    <w:rsid w:val="00122DA7"/>
    <w:rsid w:val="0012322C"/>
    <w:rsid w:val="00124CD5"/>
    <w:rsid w:val="00126E5A"/>
    <w:rsid w:val="001278EE"/>
    <w:rsid w:val="001308CF"/>
    <w:rsid w:val="00131EED"/>
    <w:rsid w:val="00133450"/>
    <w:rsid w:val="0013346B"/>
    <w:rsid w:val="00134E83"/>
    <w:rsid w:val="001352A5"/>
    <w:rsid w:val="00135F36"/>
    <w:rsid w:val="001366DE"/>
    <w:rsid w:val="0013688E"/>
    <w:rsid w:val="00141209"/>
    <w:rsid w:val="0014199E"/>
    <w:rsid w:val="0014228F"/>
    <w:rsid w:val="00142FAD"/>
    <w:rsid w:val="00143A99"/>
    <w:rsid w:val="001443FE"/>
    <w:rsid w:val="001445D9"/>
    <w:rsid w:val="00144B50"/>
    <w:rsid w:val="00144F56"/>
    <w:rsid w:val="001450D0"/>
    <w:rsid w:val="0014609D"/>
    <w:rsid w:val="001461F3"/>
    <w:rsid w:val="00146574"/>
    <w:rsid w:val="00146718"/>
    <w:rsid w:val="00146891"/>
    <w:rsid w:val="00146B12"/>
    <w:rsid w:val="00146E44"/>
    <w:rsid w:val="0014725A"/>
    <w:rsid w:val="001479BD"/>
    <w:rsid w:val="00150BBE"/>
    <w:rsid w:val="001515CD"/>
    <w:rsid w:val="00151897"/>
    <w:rsid w:val="00153250"/>
    <w:rsid w:val="001559C9"/>
    <w:rsid w:val="00156256"/>
    <w:rsid w:val="001609A7"/>
    <w:rsid w:val="00160D7C"/>
    <w:rsid w:val="00161EE8"/>
    <w:rsid w:val="0016263F"/>
    <w:rsid w:val="00163312"/>
    <w:rsid w:val="00163A06"/>
    <w:rsid w:val="00163C2D"/>
    <w:rsid w:val="00164ABF"/>
    <w:rsid w:val="00164FDF"/>
    <w:rsid w:val="00165ED2"/>
    <w:rsid w:val="001665E9"/>
    <w:rsid w:val="00166A96"/>
    <w:rsid w:val="00166CBF"/>
    <w:rsid w:val="0017048B"/>
    <w:rsid w:val="0017062D"/>
    <w:rsid w:val="00170A74"/>
    <w:rsid w:val="00171819"/>
    <w:rsid w:val="00171DDE"/>
    <w:rsid w:val="00172495"/>
    <w:rsid w:val="0017270E"/>
    <w:rsid w:val="00172CC9"/>
    <w:rsid w:val="00173A52"/>
    <w:rsid w:val="00173F12"/>
    <w:rsid w:val="00174363"/>
    <w:rsid w:val="00174A3F"/>
    <w:rsid w:val="001751A3"/>
    <w:rsid w:val="001751E8"/>
    <w:rsid w:val="00175438"/>
    <w:rsid w:val="001755AB"/>
    <w:rsid w:val="001767A8"/>
    <w:rsid w:val="00176F4D"/>
    <w:rsid w:val="00177056"/>
    <w:rsid w:val="0017786E"/>
    <w:rsid w:val="00177E16"/>
    <w:rsid w:val="0018055B"/>
    <w:rsid w:val="001807DD"/>
    <w:rsid w:val="00180850"/>
    <w:rsid w:val="00184489"/>
    <w:rsid w:val="001850C5"/>
    <w:rsid w:val="001866E9"/>
    <w:rsid w:val="001903D1"/>
    <w:rsid w:val="00190B95"/>
    <w:rsid w:val="00191AF6"/>
    <w:rsid w:val="00192973"/>
    <w:rsid w:val="0019424A"/>
    <w:rsid w:val="00194D91"/>
    <w:rsid w:val="0019500B"/>
    <w:rsid w:val="00195472"/>
    <w:rsid w:val="0019622A"/>
    <w:rsid w:val="001A0C5D"/>
    <w:rsid w:val="001A118A"/>
    <w:rsid w:val="001A2B9D"/>
    <w:rsid w:val="001A45C8"/>
    <w:rsid w:val="001A71A5"/>
    <w:rsid w:val="001A72CE"/>
    <w:rsid w:val="001A7738"/>
    <w:rsid w:val="001B0DB6"/>
    <w:rsid w:val="001B1225"/>
    <w:rsid w:val="001B31EB"/>
    <w:rsid w:val="001B3C7E"/>
    <w:rsid w:val="001B3F6F"/>
    <w:rsid w:val="001B58C6"/>
    <w:rsid w:val="001B6003"/>
    <w:rsid w:val="001B75E8"/>
    <w:rsid w:val="001B7B0F"/>
    <w:rsid w:val="001C000C"/>
    <w:rsid w:val="001C0A2E"/>
    <w:rsid w:val="001C1802"/>
    <w:rsid w:val="001C192B"/>
    <w:rsid w:val="001C1C8A"/>
    <w:rsid w:val="001C37BE"/>
    <w:rsid w:val="001C42EA"/>
    <w:rsid w:val="001C57E5"/>
    <w:rsid w:val="001C58B0"/>
    <w:rsid w:val="001C616E"/>
    <w:rsid w:val="001C740B"/>
    <w:rsid w:val="001D0773"/>
    <w:rsid w:val="001D24CB"/>
    <w:rsid w:val="001D5001"/>
    <w:rsid w:val="001D5A29"/>
    <w:rsid w:val="001D764C"/>
    <w:rsid w:val="001E1405"/>
    <w:rsid w:val="001E1E57"/>
    <w:rsid w:val="001E20C3"/>
    <w:rsid w:val="001E2679"/>
    <w:rsid w:val="001E2744"/>
    <w:rsid w:val="001E2D17"/>
    <w:rsid w:val="001E42BE"/>
    <w:rsid w:val="001E4AF8"/>
    <w:rsid w:val="001E4E7A"/>
    <w:rsid w:val="001E4F8B"/>
    <w:rsid w:val="001E79CD"/>
    <w:rsid w:val="001F04B0"/>
    <w:rsid w:val="001F0E50"/>
    <w:rsid w:val="001F467E"/>
    <w:rsid w:val="001F4AFC"/>
    <w:rsid w:val="001F4FAA"/>
    <w:rsid w:val="001F6398"/>
    <w:rsid w:val="001F67E6"/>
    <w:rsid w:val="001F6A5B"/>
    <w:rsid w:val="001F7351"/>
    <w:rsid w:val="00201509"/>
    <w:rsid w:val="0020197F"/>
    <w:rsid w:val="00203AAD"/>
    <w:rsid w:val="00204CD4"/>
    <w:rsid w:val="002051C9"/>
    <w:rsid w:val="00205280"/>
    <w:rsid w:val="002056DE"/>
    <w:rsid w:val="0021016D"/>
    <w:rsid w:val="00210BF3"/>
    <w:rsid w:val="00212259"/>
    <w:rsid w:val="0021238E"/>
    <w:rsid w:val="00213A71"/>
    <w:rsid w:val="002146D2"/>
    <w:rsid w:val="002149FB"/>
    <w:rsid w:val="00214DAD"/>
    <w:rsid w:val="0021658E"/>
    <w:rsid w:val="00216C88"/>
    <w:rsid w:val="002171F0"/>
    <w:rsid w:val="0021725A"/>
    <w:rsid w:val="00220B01"/>
    <w:rsid w:val="00221114"/>
    <w:rsid w:val="00221B8C"/>
    <w:rsid w:val="00221FCA"/>
    <w:rsid w:val="00221FDB"/>
    <w:rsid w:val="002232BE"/>
    <w:rsid w:val="0022361C"/>
    <w:rsid w:val="00223E06"/>
    <w:rsid w:val="00223FB2"/>
    <w:rsid w:val="00224FDF"/>
    <w:rsid w:val="002262B5"/>
    <w:rsid w:val="00226993"/>
    <w:rsid w:val="002317E9"/>
    <w:rsid w:val="00231C6C"/>
    <w:rsid w:val="00232268"/>
    <w:rsid w:val="00232A3D"/>
    <w:rsid w:val="00232F2D"/>
    <w:rsid w:val="002330B7"/>
    <w:rsid w:val="00235880"/>
    <w:rsid w:val="00236438"/>
    <w:rsid w:val="00236761"/>
    <w:rsid w:val="00240647"/>
    <w:rsid w:val="002419E2"/>
    <w:rsid w:val="00242AC1"/>
    <w:rsid w:val="00242F3D"/>
    <w:rsid w:val="002431B1"/>
    <w:rsid w:val="00243251"/>
    <w:rsid w:val="002435F6"/>
    <w:rsid w:val="002436D5"/>
    <w:rsid w:val="002441D6"/>
    <w:rsid w:val="002441F7"/>
    <w:rsid w:val="002447EC"/>
    <w:rsid w:val="0024559D"/>
    <w:rsid w:val="00246084"/>
    <w:rsid w:val="002473B8"/>
    <w:rsid w:val="00250A5D"/>
    <w:rsid w:val="00250CAC"/>
    <w:rsid w:val="00250D11"/>
    <w:rsid w:val="00251887"/>
    <w:rsid w:val="00254565"/>
    <w:rsid w:val="00254A1D"/>
    <w:rsid w:val="002551E2"/>
    <w:rsid w:val="00256E05"/>
    <w:rsid w:val="00257645"/>
    <w:rsid w:val="00257DEB"/>
    <w:rsid w:val="002600F5"/>
    <w:rsid w:val="002603EC"/>
    <w:rsid w:val="00261762"/>
    <w:rsid w:val="00261EFD"/>
    <w:rsid w:val="00262AB7"/>
    <w:rsid w:val="00263723"/>
    <w:rsid w:val="00263E1C"/>
    <w:rsid w:val="0026438F"/>
    <w:rsid w:val="002644F8"/>
    <w:rsid w:val="00265E97"/>
    <w:rsid w:val="00266142"/>
    <w:rsid w:val="00267581"/>
    <w:rsid w:val="00270524"/>
    <w:rsid w:val="00271978"/>
    <w:rsid w:val="00271FB4"/>
    <w:rsid w:val="00272461"/>
    <w:rsid w:val="0027287F"/>
    <w:rsid w:val="00272896"/>
    <w:rsid w:val="002729FD"/>
    <w:rsid w:val="00272DD6"/>
    <w:rsid w:val="00273902"/>
    <w:rsid w:val="002740A8"/>
    <w:rsid w:val="0027707D"/>
    <w:rsid w:val="002779F6"/>
    <w:rsid w:val="00277A48"/>
    <w:rsid w:val="002802A5"/>
    <w:rsid w:val="0028097B"/>
    <w:rsid w:val="002809B1"/>
    <w:rsid w:val="00281CFD"/>
    <w:rsid w:val="00282F36"/>
    <w:rsid w:val="0028352A"/>
    <w:rsid w:val="00283585"/>
    <w:rsid w:val="002843BE"/>
    <w:rsid w:val="00285232"/>
    <w:rsid w:val="002855C1"/>
    <w:rsid w:val="00285FA5"/>
    <w:rsid w:val="002864A2"/>
    <w:rsid w:val="002906EF"/>
    <w:rsid w:val="00290CF3"/>
    <w:rsid w:val="002910E8"/>
    <w:rsid w:val="002912B7"/>
    <w:rsid w:val="00293688"/>
    <w:rsid w:val="002940DE"/>
    <w:rsid w:val="00294FC9"/>
    <w:rsid w:val="00295281"/>
    <w:rsid w:val="00295A08"/>
    <w:rsid w:val="00295BA6"/>
    <w:rsid w:val="002963EE"/>
    <w:rsid w:val="0029762A"/>
    <w:rsid w:val="002A2364"/>
    <w:rsid w:val="002A34AD"/>
    <w:rsid w:val="002A4930"/>
    <w:rsid w:val="002A4DC8"/>
    <w:rsid w:val="002A52A4"/>
    <w:rsid w:val="002A7DC9"/>
    <w:rsid w:val="002B026D"/>
    <w:rsid w:val="002B104B"/>
    <w:rsid w:val="002B13E4"/>
    <w:rsid w:val="002B14C0"/>
    <w:rsid w:val="002B1630"/>
    <w:rsid w:val="002B30E5"/>
    <w:rsid w:val="002B433D"/>
    <w:rsid w:val="002B4B5B"/>
    <w:rsid w:val="002B55D3"/>
    <w:rsid w:val="002B744B"/>
    <w:rsid w:val="002B7793"/>
    <w:rsid w:val="002B7931"/>
    <w:rsid w:val="002C04EF"/>
    <w:rsid w:val="002C0862"/>
    <w:rsid w:val="002C0CAC"/>
    <w:rsid w:val="002C0E4C"/>
    <w:rsid w:val="002C246B"/>
    <w:rsid w:val="002C4AFB"/>
    <w:rsid w:val="002C4DAD"/>
    <w:rsid w:val="002C530D"/>
    <w:rsid w:val="002C5561"/>
    <w:rsid w:val="002C5F55"/>
    <w:rsid w:val="002C7062"/>
    <w:rsid w:val="002C792F"/>
    <w:rsid w:val="002C7D43"/>
    <w:rsid w:val="002D0BE0"/>
    <w:rsid w:val="002D0C8F"/>
    <w:rsid w:val="002D0E4B"/>
    <w:rsid w:val="002D1302"/>
    <w:rsid w:val="002D182D"/>
    <w:rsid w:val="002D3E30"/>
    <w:rsid w:val="002D75C9"/>
    <w:rsid w:val="002E01C6"/>
    <w:rsid w:val="002E0C60"/>
    <w:rsid w:val="002E0F74"/>
    <w:rsid w:val="002E0FDE"/>
    <w:rsid w:val="002E1735"/>
    <w:rsid w:val="002E1E86"/>
    <w:rsid w:val="002E2AEB"/>
    <w:rsid w:val="002E318F"/>
    <w:rsid w:val="002E44AE"/>
    <w:rsid w:val="002E68FF"/>
    <w:rsid w:val="002F1571"/>
    <w:rsid w:val="002F1A57"/>
    <w:rsid w:val="002F252F"/>
    <w:rsid w:val="002F25AE"/>
    <w:rsid w:val="002F37D5"/>
    <w:rsid w:val="002F5603"/>
    <w:rsid w:val="002F6A89"/>
    <w:rsid w:val="002F7B66"/>
    <w:rsid w:val="00300AB8"/>
    <w:rsid w:val="00300C98"/>
    <w:rsid w:val="00302232"/>
    <w:rsid w:val="00302EF3"/>
    <w:rsid w:val="0030435A"/>
    <w:rsid w:val="00304E63"/>
    <w:rsid w:val="003050AE"/>
    <w:rsid w:val="0030577F"/>
    <w:rsid w:val="00305B0B"/>
    <w:rsid w:val="00306418"/>
    <w:rsid w:val="00310A7F"/>
    <w:rsid w:val="003118F8"/>
    <w:rsid w:val="00311E96"/>
    <w:rsid w:val="00312F6B"/>
    <w:rsid w:val="00313255"/>
    <w:rsid w:val="00313594"/>
    <w:rsid w:val="00316A81"/>
    <w:rsid w:val="00316DDF"/>
    <w:rsid w:val="00317350"/>
    <w:rsid w:val="00320FB0"/>
    <w:rsid w:val="003217FE"/>
    <w:rsid w:val="00322785"/>
    <w:rsid w:val="003227EA"/>
    <w:rsid w:val="00323B31"/>
    <w:rsid w:val="00326290"/>
    <w:rsid w:val="0033089F"/>
    <w:rsid w:val="00331660"/>
    <w:rsid w:val="003319A4"/>
    <w:rsid w:val="003325B0"/>
    <w:rsid w:val="00332AB8"/>
    <w:rsid w:val="00334140"/>
    <w:rsid w:val="0033435C"/>
    <w:rsid w:val="00335021"/>
    <w:rsid w:val="003351DF"/>
    <w:rsid w:val="003368AE"/>
    <w:rsid w:val="00336DF8"/>
    <w:rsid w:val="00336F0A"/>
    <w:rsid w:val="0033726A"/>
    <w:rsid w:val="00340B0C"/>
    <w:rsid w:val="00342292"/>
    <w:rsid w:val="0034258F"/>
    <w:rsid w:val="00343796"/>
    <w:rsid w:val="00344067"/>
    <w:rsid w:val="00344B70"/>
    <w:rsid w:val="003459F3"/>
    <w:rsid w:val="003463D7"/>
    <w:rsid w:val="00346BE2"/>
    <w:rsid w:val="003473C8"/>
    <w:rsid w:val="0035062D"/>
    <w:rsid w:val="0035065C"/>
    <w:rsid w:val="0035079C"/>
    <w:rsid w:val="00351DE4"/>
    <w:rsid w:val="003528FA"/>
    <w:rsid w:val="00352AA8"/>
    <w:rsid w:val="00353FF0"/>
    <w:rsid w:val="00355AB8"/>
    <w:rsid w:val="003561B6"/>
    <w:rsid w:val="00356228"/>
    <w:rsid w:val="0035686A"/>
    <w:rsid w:val="003570BA"/>
    <w:rsid w:val="00357537"/>
    <w:rsid w:val="00357715"/>
    <w:rsid w:val="00357C3C"/>
    <w:rsid w:val="0036016C"/>
    <w:rsid w:val="0036159E"/>
    <w:rsid w:val="003619F7"/>
    <w:rsid w:val="0036210B"/>
    <w:rsid w:val="003626E6"/>
    <w:rsid w:val="00362BF8"/>
    <w:rsid w:val="00362DE8"/>
    <w:rsid w:val="00363838"/>
    <w:rsid w:val="00363B06"/>
    <w:rsid w:val="0036409C"/>
    <w:rsid w:val="0036477E"/>
    <w:rsid w:val="00365040"/>
    <w:rsid w:val="00366403"/>
    <w:rsid w:val="003670EF"/>
    <w:rsid w:val="003672DD"/>
    <w:rsid w:val="00367A14"/>
    <w:rsid w:val="00371A42"/>
    <w:rsid w:val="003733FE"/>
    <w:rsid w:val="00373748"/>
    <w:rsid w:val="00373E81"/>
    <w:rsid w:val="00374A0F"/>
    <w:rsid w:val="00375604"/>
    <w:rsid w:val="00375CE7"/>
    <w:rsid w:val="0037623F"/>
    <w:rsid w:val="003772FA"/>
    <w:rsid w:val="00377E5B"/>
    <w:rsid w:val="003816FB"/>
    <w:rsid w:val="003843F6"/>
    <w:rsid w:val="003846D3"/>
    <w:rsid w:val="003849D5"/>
    <w:rsid w:val="00385FA3"/>
    <w:rsid w:val="00386288"/>
    <w:rsid w:val="00386364"/>
    <w:rsid w:val="003877C6"/>
    <w:rsid w:val="00387C46"/>
    <w:rsid w:val="003913F6"/>
    <w:rsid w:val="003926A2"/>
    <w:rsid w:val="00393DC1"/>
    <w:rsid w:val="0039428F"/>
    <w:rsid w:val="00394448"/>
    <w:rsid w:val="003953FF"/>
    <w:rsid w:val="00395835"/>
    <w:rsid w:val="00395FD6"/>
    <w:rsid w:val="003962E5"/>
    <w:rsid w:val="00396365"/>
    <w:rsid w:val="003A0585"/>
    <w:rsid w:val="003A083B"/>
    <w:rsid w:val="003A23E1"/>
    <w:rsid w:val="003A2702"/>
    <w:rsid w:val="003A2FD2"/>
    <w:rsid w:val="003A42F1"/>
    <w:rsid w:val="003A52BF"/>
    <w:rsid w:val="003A6240"/>
    <w:rsid w:val="003B02FC"/>
    <w:rsid w:val="003B0C55"/>
    <w:rsid w:val="003B0E4A"/>
    <w:rsid w:val="003B13C4"/>
    <w:rsid w:val="003B1BC0"/>
    <w:rsid w:val="003B1FE3"/>
    <w:rsid w:val="003B3C8A"/>
    <w:rsid w:val="003B475C"/>
    <w:rsid w:val="003B5C4A"/>
    <w:rsid w:val="003B624E"/>
    <w:rsid w:val="003B64EA"/>
    <w:rsid w:val="003B7683"/>
    <w:rsid w:val="003B7BD1"/>
    <w:rsid w:val="003C1B65"/>
    <w:rsid w:val="003C2F7E"/>
    <w:rsid w:val="003C379E"/>
    <w:rsid w:val="003C3E28"/>
    <w:rsid w:val="003C4182"/>
    <w:rsid w:val="003C41E5"/>
    <w:rsid w:val="003C44BF"/>
    <w:rsid w:val="003C6B61"/>
    <w:rsid w:val="003C7710"/>
    <w:rsid w:val="003D0413"/>
    <w:rsid w:val="003D131B"/>
    <w:rsid w:val="003D2307"/>
    <w:rsid w:val="003D2E74"/>
    <w:rsid w:val="003D35F1"/>
    <w:rsid w:val="003D508F"/>
    <w:rsid w:val="003D53C2"/>
    <w:rsid w:val="003D5DBC"/>
    <w:rsid w:val="003D6206"/>
    <w:rsid w:val="003D636B"/>
    <w:rsid w:val="003D68DB"/>
    <w:rsid w:val="003D6AB0"/>
    <w:rsid w:val="003D71D4"/>
    <w:rsid w:val="003D7488"/>
    <w:rsid w:val="003D792A"/>
    <w:rsid w:val="003D7BAC"/>
    <w:rsid w:val="003E145C"/>
    <w:rsid w:val="003E33CF"/>
    <w:rsid w:val="003E38D6"/>
    <w:rsid w:val="003E4511"/>
    <w:rsid w:val="003E561F"/>
    <w:rsid w:val="003E6E1B"/>
    <w:rsid w:val="003E7E32"/>
    <w:rsid w:val="003E7F8B"/>
    <w:rsid w:val="003F028E"/>
    <w:rsid w:val="003F02BC"/>
    <w:rsid w:val="003F03B5"/>
    <w:rsid w:val="003F21AD"/>
    <w:rsid w:val="003F2E35"/>
    <w:rsid w:val="003F3DD9"/>
    <w:rsid w:val="003F5F26"/>
    <w:rsid w:val="003F696E"/>
    <w:rsid w:val="003F7619"/>
    <w:rsid w:val="003F7E0F"/>
    <w:rsid w:val="00400C5E"/>
    <w:rsid w:val="0040234F"/>
    <w:rsid w:val="00402BBA"/>
    <w:rsid w:val="0040357F"/>
    <w:rsid w:val="00404750"/>
    <w:rsid w:val="00405348"/>
    <w:rsid w:val="00405DAD"/>
    <w:rsid w:val="0040665F"/>
    <w:rsid w:val="00406F30"/>
    <w:rsid w:val="00407307"/>
    <w:rsid w:val="00410759"/>
    <w:rsid w:val="00411C72"/>
    <w:rsid w:val="004128D8"/>
    <w:rsid w:val="00412C4D"/>
    <w:rsid w:val="004131CA"/>
    <w:rsid w:val="00413A29"/>
    <w:rsid w:val="00413A61"/>
    <w:rsid w:val="004141C5"/>
    <w:rsid w:val="004145E1"/>
    <w:rsid w:val="00415731"/>
    <w:rsid w:val="00415D0A"/>
    <w:rsid w:val="0041608D"/>
    <w:rsid w:val="004162BF"/>
    <w:rsid w:val="0041708D"/>
    <w:rsid w:val="00420FAF"/>
    <w:rsid w:val="00421018"/>
    <w:rsid w:val="00421C69"/>
    <w:rsid w:val="00422106"/>
    <w:rsid w:val="00422666"/>
    <w:rsid w:val="0042279E"/>
    <w:rsid w:val="00423CB9"/>
    <w:rsid w:val="00424526"/>
    <w:rsid w:val="00424EA3"/>
    <w:rsid w:val="004253EA"/>
    <w:rsid w:val="00425B47"/>
    <w:rsid w:val="004264A6"/>
    <w:rsid w:val="00426557"/>
    <w:rsid w:val="004270A0"/>
    <w:rsid w:val="0042743C"/>
    <w:rsid w:val="00431FE2"/>
    <w:rsid w:val="004327E6"/>
    <w:rsid w:val="00432BD7"/>
    <w:rsid w:val="00432DEF"/>
    <w:rsid w:val="00433B7E"/>
    <w:rsid w:val="00433C66"/>
    <w:rsid w:val="004353B4"/>
    <w:rsid w:val="00435422"/>
    <w:rsid w:val="0043564D"/>
    <w:rsid w:val="00435673"/>
    <w:rsid w:val="0043657E"/>
    <w:rsid w:val="0043797A"/>
    <w:rsid w:val="00440702"/>
    <w:rsid w:val="004409D6"/>
    <w:rsid w:val="00441382"/>
    <w:rsid w:val="00441B30"/>
    <w:rsid w:val="00441FA3"/>
    <w:rsid w:val="00442D49"/>
    <w:rsid w:val="00443DC5"/>
    <w:rsid w:val="00444F75"/>
    <w:rsid w:val="0044536A"/>
    <w:rsid w:val="0044583D"/>
    <w:rsid w:val="00447AFC"/>
    <w:rsid w:val="00447B3C"/>
    <w:rsid w:val="00452580"/>
    <w:rsid w:val="004531CA"/>
    <w:rsid w:val="00453B2E"/>
    <w:rsid w:val="00455222"/>
    <w:rsid w:val="004558A3"/>
    <w:rsid w:val="00456109"/>
    <w:rsid w:val="004567D2"/>
    <w:rsid w:val="004567F5"/>
    <w:rsid w:val="00456CA9"/>
    <w:rsid w:val="00457A8E"/>
    <w:rsid w:val="00460EC9"/>
    <w:rsid w:val="00461F95"/>
    <w:rsid w:val="00464B33"/>
    <w:rsid w:val="00465114"/>
    <w:rsid w:val="0046756D"/>
    <w:rsid w:val="00467F1E"/>
    <w:rsid w:val="0047197B"/>
    <w:rsid w:val="00471E79"/>
    <w:rsid w:val="004723FB"/>
    <w:rsid w:val="00472521"/>
    <w:rsid w:val="004728AC"/>
    <w:rsid w:val="0047307A"/>
    <w:rsid w:val="00473AFE"/>
    <w:rsid w:val="00473BB1"/>
    <w:rsid w:val="0047763B"/>
    <w:rsid w:val="00477A00"/>
    <w:rsid w:val="00477D7B"/>
    <w:rsid w:val="00480014"/>
    <w:rsid w:val="0048063D"/>
    <w:rsid w:val="004807AE"/>
    <w:rsid w:val="00482332"/>
    <w:rsid w:val="0048279C"/>
    <w:rsid w:val="00482BB0"/>
    <w:rsid w:val="00483485"/>
    <w:rsid w:val="004836F7"/>
    <w:rsid w:val="00483944"/>
    <w:rsid w:val="004840F8"/>
    <w:rsid w:val="00484A9A"/>
    <w:rsid w:val="00484ECF"/>
    <w:rsid w:val="00485371"/>
    <w:rsid w:val="00485601"/>
    <w:rsid w:val="00486092"/>
    <w:rsid w:val="00486807"/>
    <w:rsid w:val="00487C4D"/>
    <w:rsid w:val="00492A68"/>
    <w:rsid w:val="00492F26"/>
    <w:rsid w:val="00493124"/>
    <w:rsid w:val="00494CDB"/>
    <w:rsid w:val="004953F2"/>
    <w:rsid w:val="00495A98"/>
    <w:rsid w:val="00496041"/>
    <w:rsid w:val="00496843"/>
    <w:rsid w:val="00496BF1"/>
    <w:rsid w:val="004A01CD"/>
    <w:rsid w:val="004A079D"/>
    <w:rsid w:val="004A0F83"/>
    <w:rsid w:val="004A2FC2"/>
    <w:rsid w:val="004A349C"/>
    <w:rsid w:val="004A3B5D"/>
    <w:rsid w:val="004A40A4"/>
    <w:rsid w:val="004A46EA"/>
    <w:rsid w:val="004A46EC"/>
    <w:rsid w:val="004A4F52"/>
    <w:rsid w:val="004A5BFE"/>
    <w:rsid w:val="004A5F03"/>
    <w:rsid w:val="004A66EE"/>
    <w:rsid w:val="004A7341"/>
    <w:rsid w:val="004B18B6"/>
    <w:rsid w:val="004B2A83"/>
    <w:rsid w:val="004B4688"/>
    <w:rsid w:val="004B7D6A"/>
    <w:rsid w:val="004C0320"/>
    <w:rsid w:val="004C0D40"/>
    <w:rsid w:val="004C2C5A"/>
    <w:rsid w:val="004C2EEF"/>
    <w:rsid w:val="004C33CB"/>
    <w:rsid w:val="004C405C"/>
    <w:rsid w:val="004C453B"/>
    <w:rsid w:val="004C46A6"/>
    <w:rsid w:val="004C4BFD"/>
    <w:rsid w:val="004C582B"/>
    <w:rsid w:val="004C6858"/>
    <w:rsid w:val="004C69D9"/>
    <w:rsid w:val="004C6C2C"/>
    <w:rsid w:val="004C6E52"/>
    <w:rsid w:val="004C7C7D"/>
    <w:rsid w:val="004D0A15"/>
    <w:rsid w:val="004D15AC"/>
    <w:rsid w:val="004D1A59"/>
    <w:rsid w:val="004D31E9"/>
    <w:rsid w:val="004D41E8"/>
    <w:rsid w:val="004D5372"/>
    <w:rsid w:val="004E0D02"/>
    <w:rsid w:val="004E1D4D"/>
    <w:rsid w:val="004E1EDA"/>
    <w:rsid w:val="004E21F7"/>
    <w:rsid w:val="004E3674"/>
    <w:rsid w:val="004E3A76"/>
    <w:rsid w:val="004E3F36"/>
    <w:rsid w:val="004E4BA3"/>
    <w:rsid w:val="004E502B"/>
    <w:rsid w:val="004F089C"/>
    <w:rsid w:val="004F15A3"/>
    <w:rsid w:val="004F1DFB"/>
    <w:rsid w:val="004F2629"/>
    <w:rsid w:val="004F266A"/>
    <w:rsid w:val="004F277C"/>
    <w:rsid w:val="004F3705"/>
    <w:rsid w:val="004F58A8"/>
    <w:rsid w:val="004F6155"/>
    <w:rsid w:val="004F6D94"/>
    <w:rsid w:val="004F7158"/>
    <w:rsid w:val="004F7736"/>
    <w:rsid w:val="005011F4"/>
    <w:rsid w:val="00501B1F"/>
    <w:rsid w:val="0050209D"/>
    <w:rsid w:val="00502B37"/>
    <w:rsid w:val="00503579"/>
    <w:rsid w:val="00504D1F"/>
    <w:rsid w:val="00507F99"/>
    <w:rsid w:val="00510075"/>
    <w:rsid w:val="005107AE"/>
    <w:rsid w:val="005115E4"/>
    <w:rsid w:val="00511915"/>
    <w:rsid w:val="00511A98"/>
    <w:rsid w:val="00511B7D"/>
    <w:rsid w:val="005137CA"/>
    <w:rsid w:val="00513AC0"/>
    <w:rsid w:val="00513CE7"/>
    <w:rsid w:val="00513E6A"/>
    <w:rsid w:val="0051532D"/>
    <w:rsid w:val="00515F5C"/>
    <w:rsid w:val="005200F9"/>
    <w:rsid w:val="0052160F"/>
    <w:rsid w:val="00522519"/>
    <w:rsid w:val="00522B86"/>
    <w:rsid w:val="00522CB8"/>
    <w:rsid w:val="005242E3"/>
    <w:rsid w:val="0052638F"/>
    <w:rsid w:val="0052675F"/>
    <w:rsid w:val="005269F8"/>
    <w:rsid w:val="0052769D"/>
    <w:rsid w:val="00527F7B"/>
    <w:rsid w:val="0053066B"/>
    <w:rsid w:val="005316D4"/>
    <w:rsid w:val="00533791"/>
    <w:rsid w:val="00535042"/>
    <w:rsid w:val="0053580D"/>
    <w:rsid w:val="00535CFD"/>
    <w:rsid w:val="00536818"/>
    <w:rsid w:val="005374CE"/>
    <w:rsid w:val="00537A22"/>
    <w:rsid w:val="00537CE9"/>
    <w:rsid w:val="00540C9A"/>
    <w:rsid w:val="00540E8E"/>
    <w:rsid w:val="005428B6"/>
    <w:rsid w:val="00542FF3"/>
    <w:rsid w:val="0054332F"/>
    <w:rsid w:val="00543707"/>
    <w:rsid w:val="00544A42"/>
    <w:rsid w:val="00545950"/>
    <w:rsid w:val="00546359"/>
    <w:rsid w:val="0054698E"/>
    <w:rsid w:val="00546F67"/>
    <w:rsid w:val="005477A1"/>
    <w:rsid w:val="00547D4C"/>
    <w:rsid w:val="00553AC1"/>
    <w:rsid w:val="00553BEE"/>
    <w:rsid w:val="00554018"/>
    <w:rsid w:val="00554035"/>
    <w:rsid w:val="00555237"/>
    <w:rsid w:val="00555895"/>
    <w:rsid w:val="005561D8"/>
    <w:rsid w:val="0055651F"/>
    <w:rsid w:val="00557E73"/>
    <w:rsid w:val="00560542"/>
    <w:rsid w:val="0056106C"/>
    <w:rsid w:val="005612A8"/>
    <w:rsid w:val="00561D42"/>
    <w:rsid w:val="00563ED1"/>
    <w:rsid w:val="0056431B"/>
    <w:rsid w:val="00566BAC"/>
    <w:rsid w:val="00567EEF"/>
    <w:rsid w:val="005702EE"/>
    <w:rsid w:val="005714CE"/>
    <w:rsid w:val="00572727"/>
    <w:rsid w:val="0057276C"/>
    <w:rsid w:val="00572ABB"/>
    <w:rsid w:val="00575DF1"/>
    <w:rsid w:val="00576896"/>
    <w:rsid w:val="00576A79"/>
    <w:rsid w:val="00576AC2"/>
    <w:rsid w:val="00577598"/>
    <w:rsid w:val="00580AC4"/>
    <w:rsid w:val="00580F00"/>
    <w:rsid w:val="00581355"/>
    <w:rsid w:val="00582C2E"/>
    <w:rsid w:val="00583533"/>
    <w:rsid w:val="00586453"/>
    <w:rsid w:val="00586A95"/>
    <w:rsid w:val="00590CF7"/>
    <w:rsid w:val="005913B5"/>
    <w:rsid w:val="00591921"/>
    <w:rsid w:val="00591E72"/>
    <w:rsid w:val="005943BF"/>
    <w:rsid w:val="005949AB"/>
    <w:rsid w:val="00595041"/>
    <w:rsid w:val="005959AB"/>
    <w:rsid w:val="00596CB0"/>
    <w:rsid w:val="005978F8"/>
    <w:rsid w:val="00597CD4"/>
    <w:rsid w:val="005A0439"/>
    <w:rsid w:val="005A1284"/>
    <w:rsid w:val="005A21D5"/>
    <w:rsid w:val="005A3A2E"/>
    <w:rsid w:val="005A4D61"/>
    <w:rsid w:val="005A57ED"/>
    <w:rsid w:val="005A7E7F"/>
    <w:rsid w:val="005B10F6"/>
    <w:rsid w:val="005B2720"/>
    <w:rsid w:val="005B2F9B"/>
    <w:rsid w:val="005B38DE"/>
    <w:rsid w:val="005B38F7"/>
    <w:rsid w:val="005B3E6E"/>
    <w:rsid w:val="005B4A90"/>
    <w:rsid w:val="005B4D2E"/>
    <w:rsid w:val="005B5417"/>
    <w:rsid w:val="005B6063"/>
    <w:rsid w:val="005B62D0"/>
    <w:rsid w:val="005B6644"/>
    <w:rsid w:val="005C0AB9"/>
    <w:rsid w:val="005C1329"/>
    <w:rsid w:val="005C16B8"/>
    <w:rsid w:val="005C22C5"/>
    <w:rsid w:val="005C3479"/>
    <w:rsid w:val="005C4005"/>
    <w:rsid w:val="005C41D5"/>
    <w:rsid w:val="005C5628"/>
    <w:rsid w:val="005C56B4"/>
    <w:rsid w:val="005C6A43"/>
    <w:rsid w:val="005C7FD0"/>
    <w:rsid w:val="005D189E"/>
    <w:rsid w:val="005D1B4D"/>
    <w:rsid w:val="005D21B3"/>
    <w:rsid w:val="005D3A99"/>
    <w:rsid w:val="005D3DE8"/>
    <w:rsid w:val="005D3E97"/>
    <w:rsid w:val="005D4E37"/>
    <w:rsid w:val="005D55BE"/>
    <w:rsid w:val="005D59AA"/>
    <w:rsid w:val="005D5E5C"/>
    <w:rsid w:val="005D68D6"/>
    <w:rsid w:val="005E07AB"/>
    <w:rsid w:val="005E17E6"/>
    <w:rsid w:val="005E3E55"/>
    <w:rsid w:val="005E429D"/>
    <w:rsid w:val="005E4C6B"/>
    <w:rsid w:val="005E4E55"/>
    <w:rsid w:val="005E5812"/>
    <w:rsid w:val="005E67E8"/>
    <w:rsid w:val="005E73B6"/>
    <w:rsid w:val="005F0163"/>
    <w:rsid w:val="005F05FF"/>
    <w:rsid w:val="005F0F18"/>
    <w:rsid w:val="005F12C3"/>
    <w:rsid w:val="005F1BDA"/>
    <w:rsid w:val="005F41F8"/>
    <w:rsid w:val="005F6BF6"/>
    <w:rsid w:val="005F73FA"/>
    <w:rsid w:val="005F7A68"/>
    <w:rsid w:val="005F7B86"/>
    <w:rsid w:val="00600207"/>
    <w:rsid w:val="00600E47"/>
    <w:rsid w:val="00601794"/>
    <w:rsid w:val="006017D0"/>
    <w:rsid w:val="0060273A"/>
    <w:rsid w:val="00604E7F"/>
    <w:rsid w:val="00606CE1"/>
    <w:rsid w:val="00606EAF"/>
    <w:rsid w:val="0061223B"/>
    <w:rsid w:val="00614A1F"/>
    <w:rsid w:val="00614B1A"/>
    <w:rsid w:val="0061526A"/>
    <w:rsid w:val="006158CC"/>
    <w:rsid w:val="00617602"/>
    <w:rsid w:val="0061790C"/>
    <w:rsid w:val="006218E7"/>
    <w:rsid w:val="00622BF2"/>
    <w:rsid w:val="00623762"/>
    <w:rsid w:val="0062391F"/>
    <w:rsid w:val="00623C94"/>
    <w:rsid w:val="00623DBC"/>
    <w:rsid w:val="00623FF1"/>
    <w:rsid w:val="0062478E"/>
    <w:rsid w:val="0062753A"/>
    <w:rsid w:val="006277D3"/>
    <w:rsid w:val="00630E9A"/>
    <w:rsid w:val="0063161F"/>
    <w:rsid w:val="0063393A"/>
    <w:rsid w:val="006342E0"/>
    <w:rsid w:val="0063456C"/>
    <w:rsid w:val="006345B6"/>
    <w:rsid w:val="006365AD"/>
    <w:rsid w:val="006420E2"/>
    <w:rsid w:val="006421E1"/>
    <w:rsid w:val="006423AE"/>
    <w:rsid w:val="00642FA7"/>
    <w:rsid w:val="006472DD"/>
    <w:rsid w:val="00647610"/>
    <w:rsid w:val="0065050D"/>
    <w:rsid w:val="00651310"/>
    <w:rsid w:val="00652091"/>
    <w:rsid w:val="00652250"/>
    <w:rsid w:val="00652D59"/>
    <w:rsid w:val="0065341E"/>
    <w:rsid w:val="00653E93"/>
    <w:rsid w:val="00654857"/>
    <w:rsid w:val="00654C79"/>
    <w:rsid w:val="00655F36"/>
    <w:rsid w:val="00656FEB"/>
    <w:rsid w:val="00657177"/>
    <w:rsid w:val="0066055D"/>
    <w:rsid w:val="006608B4"/>
    <w:rsid w:val="00660F71"/>
    <w:rsid w:val="00661550"/>
    <w:rsid w:val="00662115"/>
    <w:rsid w:val="00663DE3"/>
    <w:rsid w:val="00664F40"/>
    <w:rsid w:val="00665EB4"/>
    <w:rsid w:val="006662C5"/>
    <w:rsid w:val="006669D9"/>
    <w:rsid w:val="00666B7F"/>
    <w:rsid w:val="006677C7"/>
    <w:rsid w:val="006707E9"/>
    <w:rsid w:val="00670F57"/>
    <w:rsid w:val="0067128C"/>
    <w:rsid w:val="00671DEE"/>
    <w:rsid w:val="00672E45"/>
    <w:rsid w:val="00673100"/>
    <w:rsid w:val="00673216"/>
    <w:rsid w:val="00674BD1"/>
    <w:rsid w:val="00674D57"/>
    <w:rsid w:val="006754BF"/>
    <w:rsid w:val="006757B0"/>
    <w:rsid w:val="00675AF0"/>
    <w:rsid w:val="00675EEE"/>
    <w:rsid w:val="0067718F"/>
    <w:rsid w:val="0068139B"/>
    <w:rsid w:val="00682118"/>
    <w:rsid w:val="0068214B"/>
    <w:rsid w:val="00682469"/>
    <w:rsid w:val="00685966"/>
    <w:rsid w:val="00685C70"/>
    <w:rsid w:val="00685C8C"/>
    <w:rsid w:val="00687142"/>
    <w:rsid w:val="00690064"/>
    <w:rsid w:val="006906D2"/>
    <w:rsid w:val="006910DF"/>
    <w:rsid w:val="0069160F"/>
    <w:rsid w:val="00691B49"/>
    <w:rsid w:val="006941EF"/>
    <w:rsid w:val="00695237"/>
    <w:rsid w:val="00695DEA"/>
    <w:rsid w:val="006971EE"/>
    <w:rsid w:val="006A0887"/>
    <w:rsid w:val="006A09BB"/>
    <w:rsid w:val="006A0BC1"/>
    <w:rsid w:val="006A0E33"/>
    <w:rsid w:val="006A1E00"/>
    <w:rsid w:val="006A2FBE"/>
    <w:rsid w:val="006A69DB"/>
    <w:rsid w:val="006A6F16"/>
    <w:rsid w:val="006A721E"/>
    <w:rsid w:val="006A7593"/>
    <w:rsid w:val="006B362A"/>
    <w:rsid w:val="006B4CB2"/>
    <w:rsid w:val="006B4CDE"/>
    <w:rsid w:val="006B58FE"/>
    <w:rsid w:val="006B7BD9"/>
    <w:rsid w:val="006C0E8E"/>
    <w:rsid w:val="006C2569"/>
    <w:rsid w:val="006C3E8E"/>
    <w:rsid w:val="006C60E0"/>
    <w:rsid w:val="006C665D"/>
    <w:rsid w:val="006C66BB"/>
    <w:rsid w:val="006C70E5"/>
    <w:rsid w:val="006C74F7"/>
    <w:rsid w:val="006C7C6A"/>
    <w:rsid w:val="006D1EEB"/>
    <w:rsid w:val="006D2229"/>
    <w:rsid w:val="006D306B"/>
    <w:rsid w:val="006D38AE"/>
    <w:rsid w:val="006D4028"/>
    <w:rsid w:val="006D4387"/>
    <w:rsid w:val="006D4AD4"/>
    <w:rsid w:val="006D52EB"/>
    <w:rsid w:val="006D5FA5"/>
    <w:rsid w:val="006D7479"/>
    <w:rsid w:val="006D7917"/>
    <w:rsid w:val="006E1283"/>
    <w:rsid w:val="006E1670"/>
    <w:rsid w:val="006E226E"/>
    <w:rsid w:val="006E2E27"/>
    <w:rsid w:val="006E4FAB"/>
    <w:rsid w:val="006E5CC8"/>
    <w:rsid w:val="006E65BD"/>
    <w:rsid w:val="006E732F"/>
    <w:rsid w:val="006E7783"/>
    <w:rsid w:val="006F02C4"/>
    <w:rsid w:val="006F0C5A"/>
    <w:rsid w:val="006F1467"/>
    <w:rsid w:val="006F1579"/>
    <w:rsid w:val="006F24D0"/>
    <w:rsid w:val="006F2A8D"/>
    <w:rsid w:val="006F3E78"/>
    <w:rsid w:val="006F447A"/>
    <w:rsid w:val="006F468E"/>
    <w:rsid w:val="006F62A2"/>
    <w:rsid w:val="006F704C"/>
    <w:rsid w:val="00700EDD"/>
    <w:rsid w:val="007021E8"/>
    <w:rsid w:val="00702A7D"/>
    <w:rsid w:val="00702BA3"/>
    <w:rsid w:val="0070450E"/>
    <w:rsid w:val="00705603"/>
    <w:rsid w:val="00705E8B"/>
    <w:rsid w:val="007070D1"/>
    <w:rsid w:val="0070779F"/>
    <w:rsid w:val="00710770"/>
    <w:rsid w:val="00710D6A"/>
    <w:rsid w:val="0071103C"/>
    <w:rsid w:val="00711920"/>
    <w:rsid w:val="007124B2"/>
    <w:rsid w:val="00712B9E"/>
    <w:rsid w:val="007130CE"/>
    <w:rsid w:val="0071474C"/>
    <w:rsid w:val="007151FF"/>
    <w:rsid w:val="007156FD"/>
    <w:rsid w:val="007160F6"/>
    <w:rsid w:val="00716337"/>
    <w:rsid w:val="0071658F"/>
    <w:rsid w:val="007168E8"/>
    <w:rsid w:val="00716CCC"/>
    <w:rsid w:val="007170DB"/>
    <w:rsid w:val="00721B00"/>
    <w:rsid w:val="00722843"/>
    <w:rsid w:val="007244A9"/>
    <w:rsid w:val="007248A2"/>
    <w:rsid w:val="00724E08"/>
    <w:rsid w:val="007252A2"/>
    <w:rsid w:val="00726068"/>
    <w:rsid w:val="00726EE6"/>
    <w:rsid w:val="007300CD"/>
    <w:rsid w:val="00730918"/>
    <w:rsid w:val="00730BBC"/>
    <w:rsid w:val="00730FC1"/>
    <w:rsid w:val="0073276D"/>
    <w:rsid w:val="007334AB"/>
    <w:rsid w:val="00733C4A"/>
    <w:rsid w:val="00733CB4"/>
    <w:rsid w:val="007342D6"/>
    <w:rsid w:val="00734869"/>
    <w:rsid w:val="00736610"/>
    <w:rsid w:val="007425A0"/>
    <w:rsid w:val="00742D90"/>
    <w:rsid w:val="00742E90"/>
    <w:rsid w:val="0074383D"/>
    <w:rsid w:val="00744886"/>
    <w:rsid w:val="007449F1"/>
    <w:rsid w:val="00744AB2"/>
    <w:rsid w:val="00746713"/>
    <w:rsid w:val="007474B1"/>
    <w:rsid w:val="007503AE"/>
    <w:rsid w:val="00750975"/>
    <w:rsid w:val="00751F5D"/>
    <w:rsid w:val="0075241B"/>
    <w:rsid w:val="00752A9A"/>
    <w:rsid w:val="00753016"/>
    <w:rsid w:val="00753F73"/>
    <w:rsid w:val="007547C6"/>
    <w:rsid w:val="0075482C"/>
    <w:rsid w:val="00755803"/>
    <w:rsid w:val="00755F4D"/>
    <w:rsid w:val="007567EF"/>
    <w:rsid w:val="007577A8"/>
    <w:rsid w:val="00763659"/>
    <w:rsid w:val="00763F83"/>
    <w:rsid w:val="007651D4"/>
    <w:rsid w:val="007655E5"/>
    <w:rsid w:val="00766C00"/>
    <w:rsid w:val="00766E75"/>
    <w:rsid w:val="00767606"/>
    <w:rsid w:val="0076784A"/>
    <w:rsid w:val="00767BEB"/>
    <w:rsid w:val="00770A5A"/>
    <w:rsid w:val="00772D8F"/>
    <w:rsid w:val="00774DD1"/>
    <w:rsid w:val="0077594C"/>
    <w:rsid w:val="00777C43"/>
    <w:rsid w:val="00781F69"/>
    <w:rsid w:val="0078257F"/>
    <w:rsid w:val="00782BEC"/>
    <w:rsid w:val="00783831"/>
    <w:rsid w:val="00785159"/>
    <w:rsid w:val="00786157"/>
    <w:rsid w:val="00786AF5"/>
    <w:rsid w:val="00786FE2"/>
    <w:rsid w:val="007870A1"/>
    <w:rsid w:val="007907D8"/>
    <w:rsid w:val="00791773"/>
    <w:rsid w:val="007931C3"/>
    <w:rsid w:val="00794EE7"/>
    <w:rsid w:val="00794EF9"/>
    <w:rsid w:val="0079598D"/>
    <w:rsid w:val="00796217"/>
    <w:rsid w:val="00796E02"/>
    <w:rsid w:val="00796E8C"/>
    <w:rsid w:val="0079749C"/>
    <w:rsid w:val="00797834"/>
    <w:rsid w:val="007A0609"/>
    <w:rsid w:val="007A07A9"/>
    <w:rsid w:val="007A09C9"/>
    <w:rsid w:val="007A1C14"/>
    <w:rsid w:val="007A1D23"/>
    <w:rsid w:val="007A228F"/>
    <w:rsid w:val="007A2479"/>
    <w:rsid w:val="007A4454"/>
    <w:rsid w:val="007A51F2"/>
    <w:rsid w:val="007A5337"/>
    <w:rsid w:val="007A5493"/>
    <w:rsid w:val="007A5CA2"/>
    <w:rsid w:val="007A6B13"/>
    <w:rsid w:val="007A70D4"/>
    <w:rsid w:val="007A7863"/>
    <w:rsid w:val="007B023F"/>
    <w:rsid w:val="007B13EB"/>
    <w:rsid w:val="007B1E7D"/>
    <w:rsid w:val="007B2BC8"/>
    <w:rsid w:val="007B31F6"/>
    <w:rsid w:val="007B4F2F"/>
    <w:rsid w:val="007B63E9"/>
    <w:rsid w:val="007B79FF"/>
    <w:rsid w:val="007C04B5"/>
    <w:rsid w:val="007C064D"/>
    <w:rsid w:val="007C0ECA"/>
    <w:rsid w:val="007C2015"/>
    <w:rsid w:val="007C26AF"/>
    <w:rsid w:val="007C276F"/>
    <w:rsid w:val="007C3E66"/>
    <w:rsid w:val="007C56C5"/>
    <w:rsid w:val="007C7709"/>
    <w:rsid w:val="007D0CEB"/>
    <w:rsid w:val="007D0EB4"/>
    <w:rsid w:val="007D11FD"/>
    <w:rsid w:val="007D1AA9"/>
    <w:rsid w:val="007D2DFB"/>
    <w:rsid w:val="007D4C86"/>
    <w:rsid w:val="007D4D3E"/>
    <w:rsid w:val="007D573F"/>
    <w:rsid w:val="007D69A5"/>
    <w:rsid w:val="007D6B56"/>
    <w:rsid w:val="007E0A6A"/>
    <w:rsid w:val="007E0C03"/>
    <w:rsid w:val="007E22F9"/>
    <w:rsid w:val="007E2402"/>
    <w:rsid w:val="007E260B"/>
    <w:rsid w:val="007E2837"/>
    <w:rsid w:val="007E2C53"/>
    <w:rsid w:val="007E3367"/>
    <w:rsid w:val="007E35AA"/>
    <w:rsid w:val="007E3796"/>
    <w:rsid w:val="007E3DDF"/>
    <w:rsid w:val="007E46B1"/>
    <w:rsid w:val="007E5A1B"/>
    <w:rsid w:val="007E5B94"/>
    <w:rsid w:val="007E668C"/>
    <w:rsid w:val="007E6E76"/>
    <w:rsid w:val="007E6EB5"/>
    <w:rsid w:val="007F15FB"/>
    <w:rsid w:val="007F26E2"/>
    <w:rsid w:val="007F2C86"/>
    <w:rsid w:val="007F4440"/>
    <w:rsid w:val="007F501B"/>
    <w:rsid w:val="007F676D"/>
    <w:rsid w:val="007F7FEB"/>
    <w:rsid w:val="0080023B"/>
    <w:rsid w:val="00801428"/>
    <w:rsid w:val="00801697"/>
    <w:rsid w:val="00801DD5"/>
    <w:rsid w:val="008024D9"/>
    <w:rsid w:val="008024E9"/>
    <w:rsid w:val="00802B91"/>
    <w:rsid w:val="008042EC"/>
    <w:rsid w:val="00806817"/>
    <w:rsid w:val="00806A26"/>
    <w:rsid w:val="00806D17"/>
    <w:rsid w:val="0080799A"/>
    <w:rsid w:val="00810615"/>
    <w:rsid w:val="0081191C"/>
    <w:rsid w:val="00811CA9"/>
    <w:rsid w:val="00812825"/>
    <w:rsid w:val="00812AD1"/>
    <w:rsid w:val="00812EEF"/>
    <w:rsid w:val="008143A1"/>
    <w:rsid w:val="00815019"/>
    <w:rsid w:val="00816408"/>
    <w:rsid w:val="008164CF"/>
    <w:rsid w:val="008177A9"/>
    <w:rsid w:val="00817DBF"/>
    <w:rsid w:val="00817EF1"/>
    <w:rsid w:val="008203AA"/>
    <w:rsid w:val="0082131F"/>
    <w:rsid w:val="00821489"/>
    <w:rsid w:val="008218BA"/>
    <w:rsid w:val="00822171"/>
    <w:rsid w:val="008231F5"/>
    <w:rsid w:val="00825447"/>
    <w:rsid w:val="00825986"/>
    <w:rsid w:val="00825B26"/>
    <w:rsid w:val="00826AB0"/>
    <w:rsid w:val="008306B2"/>
    <w:rsid w:val="00830D40"/>
    <w:rsid w:val="00832099"/>
    <w:rsid w:val="00832410"/>
    <w:rsid w:val="0083343E"/>
    <w:rsid w:val="00833491"/>
    <w:rsid w:val="00833CC2"/>
    <w:rsid w:val="0083428E"/>
    <w:rsid w:val="0083477E"/>
    <w:rsid w:val="00834C18"/>
    <w:rsid w:val="00835653"/>
    <w:rsid w:val="008356D9"/>
    <w:rsid w:val="008362B7"/>
    <w:rsid w:val="008369FB"/>
    <w:rsid w:val="008418C9"/>
    <w:rsid w:val="00841BFC"/>
    <w:rsid w:val="00841F5B"/>
    <w:rsid w:val="00842A4E"/>
    <w:rsid w:val="00843825"/>
    <w:rsid w:val="0084407F"/>
    <w:rsid w:val="008454FB"/>
    <w:rsid w:val="00845EB2"/>
    <w:rsid w:val="008508AE"/>
    <w:rsid w:val="008517D5"/>
    <w:rsid w:val="008534AC"/>
    <w:rsid w:val="008546A9"/>
    <w:rsid w:val="0085513E"/>
    <w:rsid w:val="00855AB8"/>
    <w:rsid w:val="00855DD1"/>
    <w:rsid w:val="0085616D"/>
    <w:rsid w:val="00856624"/>
    <w:rsid w:val="00856A8D"/>
    <w:rsid w:val="00856F48"/>
    <w:rsid w:val="0085748E"/>
    <w:rsid w:val="008576DC"/>
    <w:rsid w:val="0086087E"/>
    <w:rsid w:val="00860CC8"/>
    <w:rsid w:val="00861151"/>
    <w:rsid w:val="0086291C"/>
    <w:rsid w:val="00863152"/>
    <w:rsid w:val="00865A01"/>
    <w:rsid w:val="00865E35"/>
    <w:rsid w:val="00865FC0"/>
    <w:rsid w:val="00867207"/>
    <w:rsid w:val="008703E5"/>
    <w:rsid w:val="00871DB8"/>
    <w:rsid w:val="00872328"/>
    <w:rsid w:val="00872449"/>
    <w:rsid w:val="0087388A"/>
    <w:rsid w:val="008743CF"/>
    <w:rsid w:val="00876152"/>
    <w:rsid w:val="008761AE"/>
    <w:rsid w:val="0088038B"/>
    <w:rsid w:val="00881DAC"/>
    <w:rsid w:val="00881FE2"/>
    <w:rsid w:val="008831D4"/>
    <w:rsid w:val="0088407F"/>
    <w:rsid w:val="008849EE"/>
    <w:rsid w:val="00887446"/>
    <w:rsid w:val="00890450"/>
    <w:rsid w:val="0089185D"/>
    <w:rsid w:val="00891F7F"/>
    <w:rsid w:val="00892A98"/>
    <w:rsid w:val="00892BC2"/>
    <w:rsid w:val="00892C26"/>
    <w:rsid w:val="00892CB8"/>
    <w:rsid w:val="00893B5A"/>
    <w:rsid w:val="00895890"/>
    <w:rsid w:val="008959EF"/>
    <w:rsid w:val="00895A74"/>
    <w:rsid w:val="008960EB"/>
    <w:rsid w:val="00896B92"/>
    <w:rsid w:val="00896C64"/>
    <w:rsid w:val="008971AE"/>
    <w:rsid w:val="0089724F"/>
    <w:rsid w:val="00897AA2"/>
    <w:rsid w:val="008A0137"/>
    <w:rsid w:val="008A01DA"/>
    <w:rsid w:val="008A08F1"/>
    <w:rsid w:val="008A29C3"/>
    <w:rsid w:val="008A4905"/>
    <w:rsid w:val="008A553C"/>
    <w:rsid w:val="008A5BD8"/>
    <w:rsid w:val="008A5C61"/>
    <w:rsid w:val="008A6498"/>
    <w:rsid w:val="008A68E0"/>
    <w:rsid w:val="008A6D2E"/>
    <w:rsid w:val="008A6FC5"/>
    <w:rsid w:val="008B00CA"/>
    <w:rsid w:val="008B049D"/>
    <w:rsid w:val="008B07A9"/>
    <w:rsid w:val="008B0B30"/>
    <w:rsid w:val="008B0DD2"/>
    <w:rsid w:val="008B18BE"/>
    <w:rsid w:val="008B1E1D"/>
    <w:rsid w:val="008B1EFF"/>
    <w:rsid w:val="008B2CA4"/>
    <w:rsid w:val="008B2CBC"/>
    <w:rsid w:val="008B4572"/>
    <w:rsid w:val="008B47CF"/>
    <w:rsid w:val="008B5425"/>
    <w:rsid w:val="008B5B97"/>
    <w:rsid w:val="008B6636"/>
    <w:rsid w:val="008B664C"/>
    <w:rsid w:val="008B7374"/>
    <w:rsid w:val="008B7730"/>
    <w:rsid w:val="008B7F9C"/>
    <w:rsid w:val="008C1C43"/>
    <w:rsid w:val="008C2B74"/>
    <w:rsid w:val="008C2D97"/>
    <w:rsid w:val="008C3BB4"/>
    <w:rsid w:val="008C46D6"/>
    <w:rsid w:val="008C7287"/>
    <w:rsid w:val="008C7443"/>
    <w:rsid w:val="008C74C5"/>
    <w:rsid w:val="008C7866"/>
    <w:rsid w:val="008C7F24"/>
    <w:rsid w:val="008D16B3"/>
    <w:rsid w:val="008D1BCC"/>
    <w:rsid w:val="008D26C7"/>
    <w:rsid w:val="008D2A64"/>
    <w:rsid w:val="008D5C1A"/>
    <w:rsid w:val="008D5E5D"/>
    <w:rsid w:val="008D6B80"/>
    <w:rsid w:val="008D6E21"/>
    <w:rsid w:val="008E0188"/>
    <w:rsid w:val="008E07B5"/>
    <w:rsid w:val="008E09E8"/>
    <w:rsid w:val="008E0A4C"/>
    <w:rsid w:val="008E16CC"/>
    <w:rsid w:val="008E1AB7"/>
    <w:rsid w:val="008E23A0"/>
    <w:rsid w:val="008E23D3"/>
    <w:rsid w:val="008E282C"/>
    <w:rsid w:val="008E2B7D"/>
    <w:rsid w:val="008E5775"/>
    <w:rsid w:val="008E6716"/>
    <w:rsid w:val="008E7C96"/>
    <w:rsid w:val="008F089D"/>
    <w:rsid w:val="008F134D"/>
    <w:rsid w:val="008F38AE"/>
    <w:rsid w:val="008F64AD"/>
    <w:rsid w:val="008F65E0"/>
    <w:rsid w:val="008F68B7"/>
    <w:rsid w:val="008F6B7E"/>
    <w:rsid w:val="008F6C1A"/>
    <w:rsid w:val="008F7158"/>
    <w:rsid w:val="008F74B7"/>
    <w:rsid w:val="008F776C"/>
    <w:rsid w:val="008F7E51"/>
    <w:rsid w:val="0090048B"/>
    <w:rsid w:val="00901041"/>
    <w:rsid w:val="0090122D"/>
    <w:rsid w:val="00901851"/>
    <w:rsid w:val="00903159"/>
    <w:rsid w:val="009032C3"/>
    <w:rsid w:val="009033A7"/>
    <w:rsid w:val="009036BA"/>
    <w:rsid w:val="00903CAB"/>
    <w:rsid w:val="00903FD0"/>
    <w:rsid w:val="00904431"/>
    <w:rsid w:val="009061DB"/>
    <w:rsid w:val="009066CF"/>
    <w:rsid w:val="00906920"/>
    <w:rsid w:val="00906A29"/>
    <w:rsid w:val="009072FD"/>
    <w:rsid w:val="00910208"/>
    <w:rsid w:val="009104EC"/>
    <w:rsid w:val="00910AE1"/>
    <w:rsid w:val="0091108E"/>
    <w:rsid w:val="00911271"/>
    <w:rsid w:val="00912E67"/>
    <w:rsid w:val="00914ADA"/>
    <w:rsid w:val="00916248"/>
    <w:rsid w:val="0091645C"/>
    <w:rsid w:val="00916A02"/>
    <w:rsid w:val="00917E33"/>
    <w:rsid w:val="009231B6"/>
    <w:rsid w:val="00923C51"/>
    <w:rsid w:val="00924B13"/>
    <w:rsid w:val="00926245"/>
    <w:rsid w:val="00927F32"/>
    <w:rsid w:val="00927F7F"/>
    <w:rsid w:val="00932D99"/>
    <w:rsid w:val="0093310F"/>
    <w:rsid w:val="0093356F"/>
    <w:rsid w:val="0093388F"/>
    <w:rsid w:val="009361BE"/>
    <w:rsid w:val="0093644E"/>
    <w:rsid w:val="00936B93"/>
    <w:rsid w:val="009372D9"/>
    <w:rsid w:val="00940541"/>
    <w:rsid w:val="0094128E"/>
    <w:rsid w:val="00941A2F"/>
    <w:rsid w:val="009422EE"/>
    <w:rsid w:val="0094248C"/>
    <w:rsid w:val="00942F54"/>
    <w:rsid w:val="00943042"/>
    <w:rsid w:val="00944026"/>
    <w:rsid w:val="00944214"/>
    <w:rsid w:val="009447B1"/>
    <w:rsid w:val="00944AB2"/>
    <w:rsid w:val="009458F5"/>
    <w:rsid w:val="00946373"/>
    <w:rsid w:val="009469B5"/>
    <w:rsid w:val="00950AAD"/>
    <w:rsid w:val="00950C39"/>
    <w:rsid w:val="009511CF"/>
    <w:rsid w:val="0095274C"/>
    <w:rsid w:val="0095325E"/>
    <w:rsid w:val="0095489A"/>
    <w:rsid w:val="0095553C"/>
    <w:rsid w:val="0095567F"/>
    <w:rsid w:val="00955DF0"/>
    <w:rsid w:val="00956AF8"/>
    <w:rsid w:val="00957086"/>
    <w:rsid w:val="009605AC"/>
    <w:rsid w:val="009609AE"/>
    <w:rsid w:val="00961CC2"/>
    <w:rsid w:val="009630CB"/>
    <w:rsid w:val="0096366F"/>
    <w:rsid w:val="00964F68"/>
    <w:rsid w:val="0096547E"/>
    <w:rsid w:val="0096562C"/>
    <w:rsid w:val="00965D50"/>
    <w:rsid w:val="00966043"/>
    <w:rsid w:val="00966223"/>
    <w:rsid w:val="00966584"/>
    <w:rsid w:val="0096787D"/>
    <w:rsid w:val="009679D4"/>
    <w:rsid w:val="0097053E"/>
    <w:rsid w:val="00970A12"/>
    <w:rsid w:val="00971E2E"/>
    <w:rsid w:val="00971FBC"/>
    <w:rsid w:val="00971FDE"/>
    <w:rsid w:val="00972E75"/>
    <w:rsid w:val="0097365A"/>
    <w:rsid w:val="00973B73"/>
    <w:rsid w:val="009749A3"/>
    <w:rsid w:val="0097522C"/>
    <w:rsid w:val="009753FC"/>
    <w:rsid w:val="0098052C"/>
    <w:rsid w:val="009807C7"/>
    <w:rsid w:val="009826BC"/>
    <w:rsid w:val="0098295A"/>
    <w:rsid w:val="00982F70"/>
    <w:rsid w:val="00986557"/>
    <w:rsid w:val="0098703A"/>
    <w:rsid w:val="009876EB"/>
    <w:rsid w:val="0099097B"/>
    <w:rsid w:val="0099164F"/>
    <w:rsid w:val="009919B1"/>
    <w:rsid w:val="0099348A"/>
    <w:rsid w:val="00993AE6"/>
    <w:rsid w:val="00994AF5"/>
    <w:rsid w:val="00997629"/>
    <w:rsid w:val="0099782B"/>
    <w:rsid w:val="0099788D"/>
    <w:rsid w:val="009A085A"/>
    <w:rsid w:val="009A3429"/>
    <w:rsid w:val="009A3950"/>
    <w:rsid w:val="009A3E5D"/>
    <w:rsid w:val="009A4538"/>
    <w:rsid w:val="009B0571"/>
    <w:rsid w:val="009B062D"/>
    <w:rsid w:val="009B31AB"/>
    <w:rsid w:val="009B3D2E"/>
    <w:rsid w:val="009B3FC3"/>
    <w:rsid w:val="009B55E7"/>
    <w:rsid w:val="009B61BA"/>
    <w:rsid w:val="009B6204"/>
    <w:rsid w:val="009B6E61"/>
    <w:rsid w:val="009B74AB"/>
    <w:rsid w:val="009C0975"/>
    <w:rsid w:val="009C1CD3"/>
    <w:rsid w:val="009C3347"/>
    <w:rsid w:val="009C5FB5"/>
    <w:rsid w:val="009C7917"/>
    <w:rsid w:val="009D0E84"/>
    <w:rsid w:val="009D1B8E"/>
    <w:rsid w:val="009D236E"/>
    <w:rsid w:val="009D34EC"/>
    <w:rsid w:val="009D39FF"/>
    <w:rsid w:val="009D4FAD"/>
    <w:rsid w:val="009D505A"/>
    <w:rsid w:val="009D5777"/>
    <w:rsid w:val="009D59B4"/>
    <w:rsid w:val="009E16F1"/>
    <w:rsid w:val="009E1AF1"/>
    <w:rsid w:val="009E1BBF"/>
    <w:rsid w:val="009E2A0B"/>
    <w:rsid w:val="009E2A99"/>
    <w:rsid w:val="009E3FAE"/>
    <w:rsid w:val="009E416F"/>
    <w:rsid w:val="009E49B6"/>
    <w:rsid w:val="009E5B68"/>
    <w:rsid w:val="009E6EF2"/>
    <w:rsid w:val="009E7CE2"/>
    <w:rsid w:val="009F1A3D"/>
    <w:rsid w:val="009F1AF7"/>
    <w:rsid w:val="009F21F8"/>
    <w:rsid w:val="009F268F"/>
    <w:rsid w:val="009F33CC"/>
    <w:rsid w:val="009F49AD"/>
    <w:rsid w:val="009F4F59"/>
    <w:rsid w:val="009F59D9"/>
    <w:rsid w:val="009F67EA"/>
    <w:rsid w:val="009F685F"/>
    <w:rsid w:val="00A0141C"/>
    <w:rsid w:val="00A0155F"/>
    <w:rsid w:val="00A02780"/>
    <w:rsid w:val="00A02C95"/>
    <w:rsid w:val="00A032E8"/>
    <w:rsid w:val="00A03333"/>
    <w:rsid w:val="00A03A20"/>
    <w:rsid w:val="00A04BBE"/>
    <w:rsid w:val="00A0574C"/>
    <w:rsid w:val="00A05F6D"/>
    <w:rsid w:val="00A060EA"/>
    <w:rsid w:val="00A06135"/>
    <w:rsid w:val="00A062F0"/>
    <w:rsid w:val="00A07108"/>
    <w:rsid w:val="00A10084"/>
    <w:rsid w:val="00A11198"/>
    <w:rsid w:val="00A1138E"/>
    <w:rsid w:val="00A11CCE"/>
    <w:rsid w:val="00A12696"/>
    <w:rsid w:val="00A12A63"/>
    <w:rsid w:val="00A13F87"/>
    <w:rsid w:val="00A14432"/>
    <w:rsid w:val="00A149B6"/>
    <w:rsid w:val="00A14C4C"/>
    <w:rsid w:val="00A14CCC"/>
    <w:rsid w:val="00A14EB8"/>
    <w:rsid w:val="00A161C1"/>
    <w:rsid w:val="00A16B46"/>
    <w:rsid w:val="00A171C4"/>
    <w:rsid w:val="00A17D61"/>
    <w:rsid w:val="00A200F2"/>
    <w:rsid w:val="00A20129"/>
    <w:rsid w:val="00A20AE3"/>
    <w:rsid w:val="00A2101C"/>
    <w:rsid w:val="00A21761"/>
    <w:rsid w:val="00A22AC7"/>
    <w:rsid w:val="00A22E80"/>
    <w:rsid w:val="00A2326D"/>
    <w:rsid w:val="00A23AAC"/>
    <w:rsid w:val="00A23C02"/>
    <w:rsid w:val="00A23D6F"/>
    <w:rsid w:val="00A2431B"/>
    <w:rsid w:val="00A24389"/>
    <w:rsid w:val="00A259F5"/>
    <w:rsid w:val="00A25D5C"/>
    <w:rsid w:val="00A25E85"/>
    <w:rsid w:val="00A25F4D"/>
    <w:rsid w:val="00A26BBD"/>
    <w:rsid w:val="00A27303"/>
    <w:rsid w:val="00A30F6E"/>
    <w:rsid w:val="00A33A1E"/>
    <w:rsid w:val="00A33E49"/>
    <w:rsid w:val="00A33E4F"/>
    <w:rsid w:val="00A3587B"/>
    <w:rsid w:val="00A35974"/>
    <w:rsid w:val="00A36DB7"/>
    <w:rsid w:val="00A37451"/>
    <w:rsid w:val="00A4116A"/>
    <w:rsid w:val="00A411EC"/>
    <w:rsid w:val="00A414C8"/>
    <w:rsid w:val="00A428F8"/>
    <w:rsid w:val="00A42A2D"/>
    <w:rsid w:val="00A4396C"/>
    <w:rsid w:val="00A4412B"/>
    <w:rsid w:val="00A44E1A"/>
    <w:rsid w:val="00A453B7"/>
    <w:rsid w:val="00A45989"/>
    <w:rsid w:val="00A45D4E"/>
    <w:rsid w:val="00A464B8"/>
    <w:rsid w:val="00A46AA0"/>
    <w:rsid w:val="00A471F7"/>
    <w:rsid w:val="00A47D4A"/>
    <w:rsid w:val="00A47DBC"/>
    <w:rsid w:val="00A47F90"/>
    <w:rsid w:val="00A500C3"/>
    <w:rsid w:val="00A50361"/>
    <w:rsid w:val="00A505E2"/>
    <w:rsid w:val="00A52D8C"/>
    <w:rsid w:val="00A53A69"/>
    <w:rsid w:val="00A54375"/>
    <w:rsid w:val="00A552E1"/>
    <w:rsid w:val="00A558BB"/>
    <w:rsid w:val="00A55A9C"/>
    <w:rsid w:val="00A55F87"/>
    <w:rsid w:val="00A562F0"/>
    <w:rsid w:val="00A57CA9"/>
    <w:rsid w:val="00A602EA"/>
    <w:rsid w:val="00A60DAE"/>
    <w:rsid w:val="00A636AD"/>
    <w:rsid w:val="00A649CD"/>
    <w:rsid w:val="00A656BC"/>
    <w:rsid w:val="00A6586C"/>
    <w:rsid w:val="00A65A69"/>
    <w:rsid w:val="00A65E7B"/>
    <w:rsid w:val="00A66114"/>
    <w:rsid w:val="00A6646F"/>
    <w:rsid w:val="00A67D22"/>
    <w:rsid w:val="00A70C18"/>
    <w:rsid w:val="00A7108A"/>
    <w:rsid w:val="00A72A16"/>
    <w:rsid w:val="00A72BAD"/>
    <w:rsid w:val="00A7304C"/>
    <w:rsid w:val="00A73298"/>
    <w:rsid w:val="00A73A41"/>
    <w:rsid w:val="00A74DB9"/>
    <w:rsid w:val="00A751D4"/>
    <w:rsid w:val="00A76A40"/>
    <w:rsid w:val="00A7748E"/>
    <w:rsid w:val="00A813A6"/>
    <w:rsid w:val="00A81DD5"/>
    <w:rsid w:val="00A85CA3"/>
    <w:rsid w:val="00A86B7E"/>
    <w:rsid w:val="00A86BBB"/>
    <w:rsid w:val="00A8774C"/>
    <w:rsid w:val="00A87D08"/>
    <w:rsid w:val="00A90171"/>
    <w:rsid w:val="00A9038A"/>
    <w:rsid w:val="00A91307"/>
    <w:rsid w:val="00A917CD"/>
    <w:rsid w:val="00A91D91"/>
    <w:rsid w:val="00A938B6"/>
    <w:rsid w:val="00A94322"/>
    <w:rsid w:val="00A94B08"/>
    <w:rsid w:val="00A94DF0"/>
    <w:rsid w:val="00A967FA"/>
    <w:rsid w:val="00A96949"/>
    <w:rsid w:val="00AA00B0"/>
    <w:rsid w:val="00AA1D12"/>
    <w:rsid w:val="00AA1FFD"/>
    <w:rsid w:val="00AA269B"/>
    <w:rsid w:val="00AA311E"/>
    <w:rsid w:val="00AA33DB"/>
    <w:rsid w:val="00AA4C7D"/>
    <w:rsid w:val="00AA4E75"/>
    <w:rsid w:val="00AA5631"/>
    <w:rsid w:val="00AA56C0"/>
    <w:rsid w:val="00AA578F"/>
    <w:rsid w:val="00AA5A9F"/>
    <w:rsid w:val="00AA5F7F"/>
    <w:rsid w:val="00AA6C44"/>
    <w:rsid w:val="00AA6FBE"/>
    <w:rsid w:val="00AA70DB"/>
    <w:rsid w:val="00AB2987"/>
    <w:rsid w:val="00AB2E9E"/>
    <w:rsid w:val="00AB4F02"/>
    <w:rsid w:val="00AB6149"/>
    <w:rsid w:val="00AB64D1"/>
    <w:rsid w:val="00AB6743"/>
    <w:rsid w:val="00AB6F14"/>
    <w:rsid w:val="00AB757D"/>
    <w:rsid w:val="00AB7804"/>
    <w:rsid w:val="00AB7ADF"/>
    <w:rsid w:val="00AC05E5"/>
    <w:rsid w:val="00AC111A"/>
    <w:rsid w:val="00AC1823"/>
    <w:rsid w:val="00AC2534"/>
    <w:rsid w:val="00AC2BDB"/>
    <w:rsid w:val="00AC41DB"/>
    <w:rsid w:val="00AC4682"/>
    <w:rsid w:val="00AC5B42"/>
    <w:rsid w:val="00AC5FE8"/>
    <w:rsid w:val="00AC62AD"/>
    <w:rsid w:val="00AC6BB8"/>
    <w:rsid w:val="00AC7CDA"/>
    <w:rsid w:val="00AD0B8F"/>
    <w:rsid w:val="00AD1429"/>
    <w:rsid w:val="00AD1599"/>
    <w:rsid w:val="00AD1C37"/>
    <w:rsid w:val="00AD2F56"/>
    <w:rsid w:val="00AD357F"/>
    <w:rsid w:val="00AD3A2D"/>
    <w:rsid w:val="00AD6F5A"/>
    <w:rsid w:val="00AD7171"/>
    <w:rsid w:val="00AD7244"/>
    <w:rsid w:val="00AD736C"/>
    <w:rsid w:val="00AD7406"/>
    <w:rsid w:val="00AE0AA7"/>
    <w:rsid w:val="00AE1706"/>
    <w:rsid w:val="00AE3252"/>
    <w:rsid w:val="00AE3677"/>
    <w:rsid w:val="00AE3A78"/>
    <w:rsid w:val="00AE41A0"/>
    <w:rsid w:val="00AE55C9"/>
    <w:rsid w:val="00AE5B7B"/>
    <w:rsid w:val="00AF399F"/>
    <w:rsid w:val="00AF4813"/>
    <w:rsid w:val="00AF4A52"/>
    <w:rsid w:val="00AF563E"/>
    <w:rsid w:val="00AF6E20"/>
    <w:rsid w:val="00B00602"/>
    <w:rsid w:val="00B01ACC"/>
    <w:rsid w:val="00B0439A"/>
    <w:rsid w:val="00B04E3A"/>
    <w:rsid w:val="00B05692"/>
    <w:rsid w:val="00B06895"/>
    <w:rsid w:val="00B06DEF"/>
    <w:rsid w:val="00B1000F"/>
    <w:rsid w:val="00B11E04"/>
    <w:rsid w:val="00B13B16"/>
    <w:rsid w:val="00B13D1B"/>
    <w:rsid w:val="00B143B0"/>
    <w:rsid w:val="00B1762D"/>
    <w:rsid w:val="00B20B02"/>
    <w:rsid w:val="00B2108C"/>
    <w:rsid w:val="00B21D39"/>
    <w:rsid w:val="00B22D38"/>
    <w:rsid w:val="00B2373D"/>
    <w:rsid w:val="00B23826"/>
    <w:rsid w:val="00B23964"/>
    <w:rsid w:val="00B24951"/>
    <w:rsid w:val="00B2536A"/>
    <w:rsid w:val="00B25CF8"/>
    <w:rsid w:val="00B25F3A"/>
    <w:rsid w:val="00B26664"/>
    <w:rsid w:val="00B268FA"/>
    <w:rsid w:val="00B272A2"/>
    <w:rsid w:val="00B276C9"/>
    <w:rsid w:val="00B301FB"/>
    <w:rsid w:val="00B30AC5"/>
    <w:rsid w:val="00B31347"/>
    <w:rsid w:val="00B31AE5"/>
    <w:rsid w:val="00B32B09"/>
    <w:rsid w:val="00B331DB"/>
    <w:rsid w:val="00B34213"/>
    <w:rsid w:val="00B34DB1"/>
    <w:rsid w:val="00B34FE7"/>
    <w:rsid w:val="00B36369"/>
    <w:rsid w:val="00B365F9"/>
    <w:rsid w:val="00B36B73"/>
    <w:rsid w:val="00B36FF8"/>
    <w:rsid w:val="00B37BD6"/>
    <w:rsid w:val="00B401D7"/>
    <w:rsid w:val="00B4027A"/>
    <w:rsid w:val="00B403DD"/>
    <w:rsid w:val="00B41DDA"/>
    <w:rsid w:val="00B42DAD"/>
    <w:rsid w:val="00B4558E"/>
    <w:rsid w:val="00B46C7A"/>
    <w:rsid w:val="00B47C87"/>
    <w:rsid w:val="00B522BD"/>
    <w:rsid w:val="00B527F1"/>
    <w:rsid w:val="00B52C7B"/>
    <w:rsid w:val="00B535B2"/>
    <w:rsid w:val="00B53E7C"/>
    <w:rsid w:val="00B55542"/>
    <w:rsid w:val="00B5654A"/>
    <w:rsid w:val="00B5734B"/>
    <w:rsid w:val="00B57568"/>
    <w:rsid w:val="00B5769A"/>
    <w:rsid w:val="00B579FA"/>
    <w:rsid w:val="00B6169B"/>
    <w:rsid w:val="00B619C7"/>
    <w:rsid w:val="00B61A2F"/>
    <w:rsid w:val="00B61D72"/>
    <w:rsid w:val="00B62A86"/>
    <w:rsid w:val="00B6357E"/>
    <w:rsid w:val="00B63707"/>
    <w:rsid w:val="00B63D61"/>
    <w:rsid w:val="00B63EFB"/>
    <w:rsid w:val="00B642A9"/>
    <w:rsid w:val="00B6443F"/>
    <w:rsid w:val="00B651C0"/>
    <w:rsid w:val="00B658A2"/>
    <w:rsid w:val="00B66463"/>
    <w:rsid w:val="00B669F7"/>
    <w:rsid w:val="00B71A08"/>
    <w:rsid w:val="00B71E0D"/>
    <w:rsid w:val="00B71FE9"/>
    <w:rsid w:val="00B73059"/>
    <w:rsid w:val="00B73171"/>
    <w:rsid w:val="00B7336D"/>
    <w:rsid w:val="00B735A3"/>
    <w:rsid w:val="00B737C8"/>
    <w:rsid w:val="00B7436C"/>
    <w:rsid w:val="00B74C86"/>
    <w:rsid w:val="00B7530E"/>
    <w:rsid w:val="00B754D4"/>
    <w:rsid w:val="00B76955"/>
    <w:rsid w:val="00B77174"/>
    <w:rsid w:val="00B7734C"/>
    <w:rsid w:val="00B774A0"/>
    <w:rsid w:val="00B77EEB"/>
    <w:rsid w:val="00B8011B"/>
    <w:rsid w:val="00B80406"/>
    <w:rsid w:val="00B806D1"/>
    <w:rsid w:val="00B809BB"/>
    <w:rsid w:val="00B80E9C"/>
    <w:rsid w:val="00B813D9"/>
    <w:rsid w:val="00B8156E"/>
    <w:rsid w:val="00B81A98"/>
    <w:rsid w:val="00B83A40"/>
    <w:rsid w:val="00B83B5A"/>
    <w:rsid w:val="00B85487"/>
    <w:rsid w:val="00B859F0"/>
    <w:rsid w:val="00B878F4"/>
    <w:rsid w:val="00B90895"/>
    <w:rsid w:val="00B90F77"/>
    <w:rsid w:val="00B931A3"/>
    <w:rsid w:val="00B932A6"/>
    <w:rsid w:val="00B93B57"/>
    <w:rsid w:val="00B93BB4"/>
    <w:rsid w:val="00B95105"/>
    <w:rsid w:val="00B9557E"/>
    <w:rsid w:val="00B957AE"/>
    <w:rsid w:val="00BA0A3B"/>
    <w:rsid w:val="00BA0A7E"/>
    <w:rsid w:val="00BA1F7D"/>
    <w:rsid w:val="00BA2714"/>
    <w:rsid w:val="00BA2C63"/>
    <w:rsid w:val="00BA33BB"/>
    <w:rsid w:val="00BA425D"/>
    <w:rsid w:val="00BA5A30"/>
    <w:rsid w:val="00BA6000"/>
    <w:rsid w:val="00BA7608"/>
    <w:rsid w:val="00BA7E52"/>
    <w:rsid w:val="00BB023F"/>
    <w:rsid w:val="00BB02E1"/>
    <w:rsid w:val="00BB328F"/>
    <w:rsid w:val="00BB36AB"/>
    <w:rsid w:val="00BB39B2"/>
    <w:rsid w:val="00BB3C48"/>
    <w:rsid w:val="00BB3FFE"/>
    <w:rsid w:val="00BB4541"/>
    <w:rsid w:val="00BB5F1B"/>
    <w:rsid w:val="00BB6452"/>
    <w:rsid w:val="00BB6764"/>
    <w:rsid w:val="00BB7430"/>
    <w:rsid w:val="00BB7B61"/>
    <w:rsid w:val="00BC05D3"/>
    <w:rsid w:val="00BC07AA"/>
    <w:rsid w:val="00BC0C0B"/>
    <w:rsid w:val="00BC17E5"/>
    <w:rsid w:val="00BC23E6"/>
    <w:rsid w:val="00BC40DF"/>
    <w:rsid w:val="00BD0E06"/>
    <w:rsid w:val="00BD29BC"/>
    <w:rsid w:val="00BD2C2F"/>
    <w:rsid w:val="00BD3C6E"/>
    <w:rsid w:val="00BD47C4"/>
    <w:rsid w:val="00BD4F4D"/>
    <w:rsid w:val="00BD5166"/>
    <w:rsid w:val="00BD65E2"/>
    <w:rsid w:val="00BD71A8"/>
    <w:rsid w:val="00BE11E0"/>
    <w:rsid w:val="00BE199C"/>
    <w:rsid w:val="00BE442E"/>
    <w:rsid w:val="00BE5C43"/>
    <w:rsid w:val="00BE638E"/>
    <w:rsid w:val="00BE6BA6"/>
    <w:rsid w:val="00BE7995"/>
    <w:rsid w:val="00BF2B84"/>
    <w:rsid w:val="00BF3141"/>
    <w:rsid w:val="00BF4263"/>
    <w:rsid w:val="00BF4B76"/>
    <w:rsid w:val="00BF4BB8"/>
    <w:rsid w:val="00BF5636"/>
    <w:rsid w:val="00BF621F"/>
    <w:rsid w:val="00BF6D4A"/>
    <w:rsid w:val="00C01BD0"/>
    <w:rsid w:val="00C03B73"/>
    <w:rsid w:val="00C046D6"/>
    <w:rsid w:val="00C05604"/>
    <w:rsid w:val="00C059BF"/>
    <w:rsid w:val="00C06509"/>
    <w:rsid w:val="00C06603"/>
    <w:rsid w:val="00C07141"/>
    <w:rsid w:val="00C10A1C"/>
    <w:rsid w:val="00C10C8A"/>
    <w:rsid w:val="00C1106F"/>
    <w:rsid w:val="00C120CB"/>
    <w:rsid w:val="00C122F6"/>
    <w:rsid w:val="00C12BD4"/>
    <w:rsid w:val="00C130EE"/>
    <w:rsid w:val="00C145EC"/>
    <w:rsid w:val="00C146AF"/>
    <w:rsid w:val="00C14C32"/>
    <w:rsid w:val="00C1506F"/>
    <w:rsid w:val="00C150E8"/>
    <w:rsid w:val="00C16BD8"/>
    <w:rsid w:val="00C16F64"/>
    <w:rsid w:val="00C17700"/>
    <w:rsid w:val="00C17816"/>
    <w:rsid w:val="00C22FF8"/>
    <w:rsid w:val="00C2323D"/>
    <w:rsid w:val="00C23309"/>
    <w:rsid w:val="00C238DB"/>
    <w:rsid w:val="00C25B88"/>
    <w:rsid w:val="00C26D0C"/>
    <w:rsid w:val="00C26F07"/>
    <w:rsid w:val="00C27179"/>
    <w:rsid w:val="00C2765C"/>
    <w:rsid w:val="00C3218E"/>
    <w:rsid w:val="00C323DC"/>
    <w:rsid w:val="00C32F67"/>
    <w:rsid w:val="00C33CC9"/>
    <w:rsid w:val="00C343BE"/>
    <w:rsid w:val="00C34536"/>
    <w:rsid w:val="00C35C4E"/>
    <w:rsid w:val="00C4180C"/>
    <w:rsid w:val="00C41DE1"/>
    <w:rsid w:val="00C42A0B"/>
    <w:rsid w:val="00C434C7"/>
    <w:rsid w:val="00C43E5B"/>
    <w:rsid w:val="00C44462"/>
    <w:rsid w:val="00C44D41"/>
    <w:rsid w:val="00C461CF"/>
    <w:rsid w:val="00C46BDD"/>
    <w:rsid w:val="00C471C1"/>
    <w:rsid w:val="00C502AF"/>
    <w:rsid w:val="00C50552"/>
    <w:rsid w:val="00C50C63"/>
    <w:rsid w:val="00C50C79"/>
    <w:rsid w:val="00C51261"/>
    <w:rsid w:val="00C53AF7"/>
    <w:rsid w:val="00C54493"/>
    <w:rsid w:val="00C558C1"/>
    <w:rsid w:val="00C560AD"/>
    <w:rsid w:val="00C567A5"/>
    <w:rsid w:val="00C56CE7"/>
    <w:rsid w:val="00C5723D"/>
    <w:rsid w:val="00C573F8"/>
    <w:rsid w:val="00C57FC5"/>
    <w:rsid w:val="00C61EAD"/>
    <w:rsid w:val="00C63503"/>
    <w:rsid w:val="00C6441D"/>
    <w:rsid w:val="00C644D1"/>
    <w:rsid w:val="00C648FF"/>
    <w:rsid w:val="00C6587A"/>
    <w:rsid w:val="00C65A8F"/>
    <w:rsid w:val="00C65B3E"/>
    <w:rsid w:val="00C678C2"/>
    <w:rsid w:val="00C71816"/>
    <w:rsid w:val="00C71900"/>
    <w:rsid w:val="00C7404D"/>
    <w:rsid w:val="00C74536"/>
    <w:rsid w:val="00C75A8C"/>
    <w:rsid w:val="00C76D37"/>
    <w:rsid w:val="00C76D8F"/>
    <w:rsid w:val="00C76DF4"/>
    <w:rsid w:val="00C808CD"/>
    <w:rsid w:val="00C80C8C"/>
    <w:rsid w:val="00C816D6"/>
    <w:rsid w:val="00C82205"/>
    <w:rsid w:val="00C823F5"/>
    <w:rsid w:val="00C82914"/>
    <w:rsid w:val="00C831E6"/>
    <w:rsid w:val="00C83C35"/>
    <w:rsid w:val="00C85B40"/>
    <w:rsid w:val="00C8633F"/>
    <w:rsid w:val="00C87020"/>
    <w:rsid w:val="00C87023"/>
    <w:rsid w:val="00C87523"/>
    <w:rsid w:val="00C87D61"/>
    <w:rsid w:val="00C907DA"/>
    <w:rsid w:val="00C91383"/>
    <w:rsid w:val="00C92DAD"/>
    <w:rsid w:val="00C9396E"/>
    <w:rsid w:val="00C952F3"/>
    <w:rsid w:val="00C95674"/>
    <w:rsid w:val="00C95846"/>
    <w:rsid w:val="00C96B33"/>
    <w:rsid w:val="00C96EF5"/>
    <w:rsid w:val="00CA0C36"/>
    <w:rsid w:val="00CA1745"/>
    <w:rsid w:val="00CA3353"/>
    <w:rsid w:val="00CA370C"/>
    <w:rsid w:val="00CA56B4"/>
    <w:rsid w:val="00CA6953"/>
    <w:rsid w:val="00CA7D6D"/>
    <w:rsid w:val="00CB099A"/>
    <w:rsid w:val="00CB1622"/>
    <w:rsid w:val="00CB19DD"/>
    <w:rsid w:val="00CB22D0"/>
    <w:rsid w:val="00CB2578"/>
    <w:rsid w:val="00CB3165"/>
    <w:rsid w:val="00CB49E0"/>
    <w:rsid w:val="00CB4A3B"/>
    <w:rsid w:val="00CC0555"/>
    <w:rsid w:val="00CC0885"/>
    <w:rsid w:val="00CC0F7B"/>
    <w:rsid w:val="00CC18E4"/>
    <w:rsid w:val="00CC3224"/>
    <w:rsid w:val="00CC344C"/>
    <w:rsid w:val="00CC54B0"/>
    <w:rsid w:val="00CC6A52"/>
    <w:rsid w:val="00CC7354"/>
    <w:rsid w:val="00CC79B6"/>
    <w:rsid w:val="00CD04DF"/>
    <w:rsid w:val="00CD23B0"/>
    <w:rsid w:val="00CD3CEA"/>
    <w:rsid w:val="00CD71EC"/>
    <w:rsid w:val="00CD73F9"/>
    <w:rsid w:val="00CD7BEF"/>
    <w:rsid w:val="00CE057F"/>
    <w:rsid w:val="00CE1C78"/>
    <w:rsid w:val="00CE2135"/>
    <w:rsid w:val="00CE23BB"/>
    <w:rsid w:val="00CE285C"/>
    <w:rsid w:val="00CE36B9"/>
    <w:rsid w:val="00CE3DF7"/>
    <w:rsid w:val="00CE5111"/>
    <w:rsid w:val="00CE58AC"/>
    <w:rsid w:val="00CE62F1"/>
    <w:rsid w:val="00CE6E98"/>
    <w:rsid w:val="00CF0B87"/>
    <w:rsid w:val="00CF2687"/>
    <w:rsid w:val="00CF27D8"/>
    <w:rsid w:val="00CF2C42"/>
    <w:rsid w:val="00CF3025"/>
    <w:rsid w:val="00CF35EC"/>
    <w:rsid w:val="00CF3961"/>
    <w:rsid w:val="00CF4827"/>
    <w:rsid w:val="00CF666F"/>
    <w:rsid w:val="00CF68AD"/>
    <w:rsid w:val="00CF7CD2"/>
    <w:rsid w:val="00D01C6A"/>
    <w:rsid w:val="00D02E52"/>
    <w:rsid w:val="00D03249"/>
    <w:rsid w:val="00D0332D"/>
    <w:rsid w:val="00D04834"/>
    <w:rsid w:val="00D04E68"/>
    <w:rsid w:val="00D061AD"/>
    <w:rsid w:val="00D0723B"/>
    <w:rsid w:val="00D079EE"/>
    <w:rsid w:val="00D100B0"/>
    <w:rsid w:val="00D104F4"/>
    <w:rsid w:val="00D10C90"/>
    <w:rsid w:val="00D11526"/>
    <w:rsid w:val="00D12088"/>
    <w:rsid w:val="00D121DC"/>
    <w:rsid w:val="00D13CAD"/>
    <w:rsid w:val="00D1441B"/>
    <w:rsid w:val="00D14991"/>
    <w:rsid w:val="00D1571B"/>
    <w:rsid w:val="00D16A9B"/>
    <w:rsid w:val="00D16C0D"/>
    <w:rsid w:val="00D17968"/>
    <w:rsid w:val="00D21427"/>
    <w:rsid w:val="00D2254F"/>
    <w:rsid w:val="00D225CA"/>
    <w:rsid w:val="00D2276C"/>
    <w:rsid w:val="00D22B25"/>
    <w:rsid w:val="00D23E84"/>
    <w:rsid w:val="00D24464"/>
    <w:rsid w:val="00D25FF1"/>
    <w:rsid w:val="00D265B6"/>
    <w:rsid w:val="00D276C8"/>
    <w:rsid w:val="00D27E1E"/>
    <w:rsid w:val="00D329A9"/>
    <w:rsid w:val="00D3384B"/>
    <w:rsid w:val="00D3471F"/>
    <w:rsid w:val="00D35905"/>
    <w:rsid w:val="00D35C63"/>
    <w:rsid w:val="00D371FD"/>
    <w:rsid w:val="00D37A76"/>
    <w:rsid w:val="00D37F46"/>
    <w:rsid w:val="00D40CA9"/>
    <w:rsid w:val="00D41AEE"/>
    <w:rsid w:val="00D41C10"/>
    <w:rsid w:val="00D41C88"/>
    <w:rsid w:val="00D42223"/>
    <w:rsid w:val="00D44048"/>
    <w:rsid w:val="00D44855"/>
    <w:rsid w:val="00D452FD"/>
    <w:rsid w:val="00D4592C"/>
    <w:rsid w:val="00D470F5"/>
    <w:rsid w:val="00D47566"/>
    <w:rsid w:val="00D47788"/>
    <w:rsid w:val="00D47A0E"/>
    <w:rsid w:val="00D47AB3"/>
    <w:rsid w:val="00D507DD"/>
    <w:rsid w:val="00D51313"/>
    <w:rsid w:val="00D51D55"/>
    <w:rsid w:val="00D521A8"/>
    <w:rsid w:val="00D52246"/>
    <w:rsid w:val="00D522FE"/>
    <w:rsid w:val="00D54251"/>
    <w:rsid w:val="00D54393"/>
    <w:rsid w:val="00D56286"/>
    <w:rsid w:val="00D57FDE"/>
    <w:rsid w:val="00D60350"/>
    <w:rsid w:val="00D609E6"/>
    <w:rsid w:val="00D62EBF"/>
    <w:rsid w:val="00D63350"/>
    <w:rsid w:val="00D64377"/>
    <w:rsid w:val="00D643F3"/>
    <w:rsid w:val="00D64ADD"/>
    <w:rsid w:val="00D65D1F"/>
    <w:rsid w:val="00D67800"/>
    <w:rsid w:val="00D67EE3"/>
    <w:rsid w:val="00D67FBC"/>
    <w:rsid w:val="00D70C09"/>
    <w:rsid w:val="00D7238C"/>
    <w:rsid w:val="00D727DE"/>
    <w:rsid w:val="00D72FC1"/>
    <w:rsid w:val="00D73F8C"/>
    <w:rsid w:val="00D742F0"/>
    <w:rsid w:val="00D7488F"/>
    <w:rsid w:val="00D74959"/>
    <w:rsid w:val="00D751FA"/>
    <w:rsid w:val="00D75EAC"/>
    <w:rsid w:val="00D76273"/>
    <w:rsid w:val="00D7703C"/>
    <w:rsid w:val="00D77140"/>
    <w:rsid w:val="00D81A2A"/>
    <w:rsid w:val="00D845C5"/>
    <w:rsid w:val="00D858FA"/>
    <w:rsid w:val="00D859A1"/>
    <w:rsid w:val="00D875BD"/>
    <w:rsid w:val="00D90102"/>
    <w:rsid w:val="00D91508"/>
    <w:rsid w:val="00D930D3"/>
    <w:rsid w:val="00D93921"/>
    <w:rsid w:val="00D962C1"/>
    <w:rsid w:val="00D97029"/>
    <w:rsid w:val="00D9706C"/>
    <w:rsid w:val="00DA1145"/>
    <w:rsid w:val="00DA444E"/>
    <w:rsid w:val="00DA4C73"/>
    <w:rsid w:val="00DA56A0"/>
    <w:rsid w:val="00DA5EC9"/>
    <w:rsid w:val="00DA6876"/>
    <w:rsid w:val="00DA6D23"/>
    <w:rsid w:val="00DA773F"/>
    <w:rsid w:val="00DB05E1"/>
    <w:rsid w:val="00DB08CD"/>
    <w:rsid w:val="00DB16FD"/>
    <w:rsid w:val="00DB3717"/>
    <w:rsid w:val="00DB37DB"/>
    <w:rsid w:val="00DB6230"/>
    <w:rsid w:val="00DB780E"/>
    <w:rsid w:val="00DB7923"/>
    <w:rsid w:val="00DC01DE"/>
    <w:rsid w:val="00DC531D"/>
    <w:rsid w:val="00DD06A0"/>
    <w:rsid w:val="00DD0705"/>
    <w:rsid w:val="00DD0F98"/>
    <w:rsid w:val="00DD1707"/>
    <w:rsid w:val="00DD18C9"/>
    <w:rsid w:val="00DD1DB3"/>
    <w:rsid w:val="00DD329C"/>
    <w:rsid w:val="00DD348A"/>
    <w:rsid w:val="00DD3651"/>
    <w:rsid w:val="00DD36DA"/>
    <w:rsid w:val="00DD4642"/>
    <w:rsid w:val="00DE0091"/>
    <w:rsid w:val="00DE03F0"/>
    <w:rsid w:val="00DE0503"/>
    <w:rsid w:val="00DE06CC"/>
    <w:rsid w:val="00DE1E69"/>
    <w:rsid w:val="00DE27D9"/>
    <w:rsid w:val="00DE2910"/>
    <w:rsid w:val="00DE2E24"/>
    <w:rsid w:val="00DE436E"/>
    <w:rsid w:val="00DE56CF"/>
    <w:rsid w:val="00DE5A8F"/>
    <w:rsid w:val="00DE5C70"/>
    <w:rsid w:val="00DE7851"/>
    <w:rsid w:val="00DE7C1C"/>
    <w:rsid w:val="00DE7C41"/>
    <w:rsid w:val="00DF0559"/>
    <w:rsid w:val="00DF1295"/>
    <w:rsid w:val="00DF19A4"/>
    <w:rsid w:val="00DF1FEC"/>
    <w:rsid w:val="00DF202A"/>
    <w:rsid w:val="00DF2238"/>
    <w:rsid w:val="00DF278A"/>
    <w:rsid w:val="00DF413B"/>
    <w:rsid w:val="00DF4C9B"/>
    <w:rsid w:val="00DF55F3"/>
    <w:rsid w:val="00DF5F06"/>
    <w:rsid w:val="00DF7C04"/>
    <w:rsid w:val="00E00CC1"/>
    <w:rsid w:val="00E013EC"/>
    <w:rsid w:val="00E0234E"/>
    <w:rsid w:val="00E057D3"/>
    <w:rsid w:val="00E06927"/>
    <w:rsid w:val="00E07066"/>
    <w:rsid w:val="00E07FEA"/>
    <w:rsid w:val="00E10AFE"/>
    <w:rsid w:val="00E110A1"/>
    <w:rsid w:val="00E11D58"/>
    <w:rsid w:val="00E120EE"/>
    <w:rsid w:val="00E12911"/>
    <w:rsid w:val="00E13607"/>
    <w:rsid w:val="00E14150"/>
    <w:rsid w:val="00E1429D"/>
    <w:rsid w:val="00E1564C"/>
    <w:rsid w:val="00E16144"/>
    <w:rsid w:val="00E165B0"/>
    <w:rsid w:val="00E172E6"/>
    <w:rsid w:val="00E1736B"/>
    <w:rsid w:val="00E176D8"/>
    <w:rsid w:val="00E177D3"/>
    <w:rsid w:val="00E17F6D"/>
    <w:rsid w:val="00E209E3"/>
    <w:rsid w:val="00E22864"/>
    <w:rsid w:val="00E22C34"/>
    <w:rsid w:val="00E23212"/>
    <w:rsid w:val="00E238BC"/>
    <w:rsid w:val="00E266B9"/>
    <w:rsid w:val="00E27CCD"/>
    <w:rsid w:val="00E3126B"/>
    <w:rsid w:val="00E31588"/>
    <w:rsid w:val="00E3179C"/>
    <w:rsid w:val="00E32B82"/>
    <w:rsid w:val="00E32F5C"/>
    <w:rsid w:val="00E34C2E"/>
    <w:rsid w:val="00E36D02"/>
    <w:rsid w:val="00E37CEA"/>
    <w:rsid w:val="00E37EFC"/>
    <w:rsid w:val="00E41B38"/>
    <w:rsid w:val="00E4221A"/>
    <w:rsid w:val="00E422CE"/>
    <w:rsid w:val="00E42BE8"/>
    <w:rsid w:val="00E43EF2"/>
    <w:rsid w:val="00E4660B"/>
    <w:rsid w:val="00E518D3"/>
    <w:rsid w:val="00E51EAC"/>
    <w:rsid w:val="00E53EC3"/>
    <w:rsid w:val="00E54DEF"/>
    <w:rsid w:val="00E558E8"/>
    <w:rsid w:val="00E55B72"/>
    <w:rsid w:val="00E57CAD"/>
    <w:rsid w:val="00E60ACB"/>
    <w:rsid w:val="00E61448"/>
    <w:rsid w:val="00E618B8"/>
    <w:rsid w:val="00E61CC9"/>
    <w:rsid w:val="00E61D89"/>
    <w:rsid w:val="00E61E77"/>
    <w:rsid w:val="00E62754"/>
    <w:rsid w:val="00E63644"/>
    <w:rsid w:val="00E6389B"/>
    <w:rsid w:val="00E65357"/>
    <w:rsid w:val="00E65A8A"/>
    <w:rsid w:val="00E66C22"/>
    <w:rsid w:val="00E6715A"/>
    <w:rsid w:val="00E671C2"/>
    <w:rsid w:val="00E67801"/>
    <w:rsid w:val="00E71321"/>
    <w:rsid w:val="00E71454"/>
    <w:rsid w:val="00E727D3"/>
    <w:rsid w:val="00E74652"/>
    <w:rsid w:val="00E757B0"/>
    <w:rsid w:val="00E76461"/>
    <w:rsid w:val="00E76D0E"/>
    <w:rsid w:val="00E77ACE"/>
    <w:rsid w:val="00E80EC0"/>
    <w:rsid w:val="00E81279"/>
    <w:rsid w:val="00E83C93"/>
    <w:rsid w:val="00E84038"/>
    <w:rsid w:val="00E8428C"/>
    <w:rsid w:val="00E86456"/>
    <w:rsid w:val="00E86A65"/>
    <w:rsid w:val="00E8716B"/>
    <w:rsid w:val="00E87BD0"/>
    <w:rsid w:val="00E87F02"/>
    <w:rsid w:val="00E906F9"/>
    <w:rsid w:val="00E90F3F"/>
    <w:rsid w:val="00E91C75"/>
    <w:rsid w:val="00E92068"/>
    <w:rsid w:val="00E924E3"/>
    <w:rsid w:val="00E92D24"/>
    <w:rsid w:val="00E95302"/>
    <w:rsid w:val="00E9598F"/>
    <w:rsid w:val="00E963F9"/>
    <w:rsid w:val="00E97C90"/>
    <w:rsid w:val="00E97CE8"/>
    <w:rsid w:val="00EA1879"/>
    <w:rsid w:val="00EA1D16"/>
    <w:rsid w:val="00EA1E30"/>
    <w:rsid w:val="00EA2591"/>
    <w:rsid w:val="00EA2F26"/>
    <w:rsid w:val="00EA32CE"/>
    <w:rsid w:val="00EA390E"/>
    <w:rsid w:val="00EA444F"/>
    <w:rsid w:val="00EA5DDA"/>
    <w:rsid w:val="00EA739D"/>
    <w:rsid w:val="00EA7615"/>
    <w:rsid w:val="00EB2A61"/>
    <w:rsid w:val="00EB338D"/>
    <w:rsid w:val="00EB3444"/>
    <w:rsid w:val="00EB42BA"/>
    <w:rsid w:val="00EB4694"/>
    <w:rsid w:val="00EB4D8F"/>
    <w:rsid w:val="00EB6044"/>
    <w:rsid w:val="00EB6B47"/>
    <w:rsid w:val="00EB792E"/>
    <w:rsid w:val="00EC0A5C"/>
    <w:rsid w:val="00EC2E51"/>
    <w:rsid w:val="00EC3656"/>
    <w:rsid w:val="00EC38C9"/>
    <w:rsid w:val="00EC3B3C"/>
    <w:rsid w:val="00EC49FC"/>
    <w:rsid w:val="00EC6A88"/>
    <w:rsid w:val="00EC6E23"/>
    <w:rsid w:val="00EC7099"/>
    <w:rsid w:val="00EC795B"/>
    <w:rsid w:val="00ED0E76"/>
    <w:rsid w:val="00ED15DD"/>
    <w:rsid w:val="00ED22C0"/>
    <w:rsid w:val="00ED2C03"/>
    <w:rsid w:val="00ED34CC"/>
    <w:rsid w:val="00ED3B08"/>
    <w:rsid w:val="00ED5BFB"/>
    <w:rsid w:val="00ED656C"/>
    <w:rsid w:val="00ED66F7"/>
    <w:rsid w:val="00ED7DB6"/>
    <w:rsid w:val="00EE0056"/>
    <w:rsid w:val="00EE14EF"/>
    <w:rsid w:val="00EE2D06"/>
    <w:rsid w:val="00EE30D5"/>
    <w:rsid w:val="00EE3E5F"/>
    <w:rsid w:val="00EE5345"/>
    <w:rsid w:val="00EE5D19"/>
    <w:rsid w:val="00EE6D22"/>
    <w:rsid w:val="00EE7978"/>
    <w:rsid w:val="00EE7BBC"/>
    <w:rsid w:val="00EF1895"/>
    <w:rsid w:val="00EF1D0F"/>
    <w:rsid w:val="00EF29D9"/>
    <w:rsid w:val="00EF2E40"/>
    <w:rsid w:val="00EF3622"/>
    <w:rsid w:val="00EF36EA"/>
    <w:rsid w:val="00EF391A"/>
    <w:rsid w:val="00EF3C68"/>
    <w:rsid w:val="00EF40F5"/>
    <w:rsid w:val="00EF468C"/>
    <w:rsid w:val="00EF4A1F"/>
    <w:rsid w:val="00EF5EEA"/>
    <w:rsid w:val="00EF613C"/>
    <w:rsid w:val="00F00F31"/>
    <w:rsid w:val="00F01D02"/>
    <w:rsid w:val="00F020C1"/>
    <w:rsid w:val="00F034BC"/>
    <w:rsid w:val="00F052D6"/>
    <w:rsid w:val="00F06EB4"/>
    <w:rsid w:val="00F10FF6"/>
    <w:rsid w:val="00F12BB7"/>
    <w:rsid w:val="00F12D54"/>
    <w:rsid w:val="00F13288"/>
    <w:rsid w:val="00F132FB"/>
    <w:rsid w:val="00F13944"/>
    <w:rsid w:val="00F14377"/>
    <w:rsid w:val="00F145AA"/>
    <w:rsid w:val="00F17076"/>
    <w:rsid w:val="00F172EA"/>
    <w:rsid w:val="00F17358"/>
    <w:rsid w:val="00F1750E"/>
    <w:rsid w:val="00F1779B"/>
    <w:rsid w:val="00F20EB7"/>
    <w:rsid w:val="00F213ED"/>
    <w:rsid w:val="00F217E9"/>
    <w:rsid w:val="00F21A53"/>
    <w:rsid w:val="00F21AE9"/>
    <w:rsid w:val="00F21BDF"/>
    <w:rsid w:val="00F222ED"/>
    <w:rsid w:val="00F23348"/>
    <w:rsid w:val="00F24DF3"/>
    <w:rsid w:val="00F252EF"/>
    <w:rsid w:val="00F26B85"/>
    <w:rsid w:val="00F304FF"/>
    <w:rsid w:val="00F315B6"/>
    <w:rsid w:val="00F32BBF"/>
    <w:rsid w:val="00F33071"/>
    <w:rsid w:val="00F33164"/>
    <w:rsid w:val="00F33C07"/>
    <w:rsid w:val="00F354E0"/>
    <w:rsid w:val="00F36452"/>
    <w:rsid w:val="00F365B9"/>
    <w:rsid w:val="00F37AA2"/>
    <w:rsid w:val="00F43367"/>
    <w:rsid w:val="00F45211"/>
    <w:rsid w:val="00F466CD"/>
    <w:rsid w:val="00F46763"/>
    <w:rsid w:val="00F47E91"/>
    <w:rsid w:val="00F502BD"/>
    <w:rsid w:val="00F5098E"/>
    <w:rsid w:val="00F50BFA"/>
    <w:rsid w:val="00F51A6E"/>
    <w:rsid w:val="00F53327"/>
    <w:rsid w:val="00F53B32"/>
    <w:rsid w:val="00F55DE6"/>
    <w:rsid w:val="00F56DBE"/>
    <w:rsid w:val="00F6221A"/>
    <w:rsid w:val="00F63F35"/>
    <w:rsid w:val="00F63F83"/>
    <w:rsid w:val="00F644AB"/>
    <w:rsid w:val="00F648B8"/>
    <w:rsid w:val="00F659C9"/>
    <w:rsid w:val="00F65CD8"/>
    <w:rsid w:val="00F65FD0"/>
    <w:rsid w:val="00F66E2E"/>
    <w:rsid w:val="00F67152"/>
    <w:rsid w:val="00F67248"/>
    <w:rsid w:val="00F704A4"/>
    <w:rsid w:val="00F7151C"/>
    <w:rsid w:val="00F72EC8"/>
    <w:rsid w:val="00F737E5"/>
    <w:rsid w:val="00F749E6"/>
    <w:rsid w:val="00F74B42"/>
    <w:rsid w:val="00F75318"/>
    <w:rsid w:val="00F7591E"/>
    <w:rsid w:val="00F804D6"/>
    <w:rsid w:val="00F80AA7"/>
    <w:rsid w:val="00F80CDD"/>
    <w:rsid w:val="00F82FAD"/>
    <w:rsid w:val="00F84181"/>
    <w:rsid w:val="00F84236"/>
    <w:rsid w:val="00F853B8"/>
    <w:rsid w:val="00F85D41"/>
    <w:rsid w:val="00F90F9D"/>
    <w:rsid w:val="00F913DE"/>
    <w:rsid w:val="00F931FB"/>
    <w:rsid w:val="00F93325"/>
    <w:rsid w:val="00F933D9"/>
    <w:rsid w:val="00F9461A"/>
    <w:rsid w:val="00F94C84"/>
    <w:rsid w:val="00F96273"/>
    <w:rsid w:val="00FA0A27"/>
    <w:rsid w:val="00FA0A8E"/>
    <w:rsid w:val="00FA0BFE"/>
    <w:rsid w:val="00FA14D3"/>
    <w:rsid w:val="00FA19A6"/>
    <w:rsid w:val="00FA2B82"/>
    <w:rsid w:val="00FA374A"/>
    <w:rsid w:val="00FA3812"/>
    <w:rsid w:val="00FA3AED"/>
    <w:rsid w:val="00FA3D4C"/>
    <w:rsid w:val="00FA495A"/>
    <w:rsid w:val="00FA6286"/>
    <w:rsid w:val="00FA7CE5"/>
    <w:rsid w:val="00FB053C"/>
    <w:rsid w:val="00FB058E"/>
    <w:rsid w:val="00FB0D25"/>
    <w:rsid w:val="00FB0DFF"/>
    <w:rsid w:val="00FB1107"/>
    <w:rsid w:val="00FB1D0D"/>
    <w:rsid w:val="00FB2540"/>
    <w:rsid w:val="00FB47E2"/>
    <w:rsid w:val="00FB4FFA"/>
    <w:rsid w:val="00FB5F1A"/>
    <w:rsid w:val="00FB6A5D"/>
    <w:rsid w:val="00FB6E1B"/>
    <w:rsid w:val="00FB70F9"/>
    <w:rsid w:val="00FB73B7"/>
    <w:rsid w:val="00FB7F01"/>
    <w:rsid w:val="00FC1A39"/>
    <w:rsid w:val="00FC34BC"/>
    <w:rsid w:val="00FC351F"/>
    <w:rsid w:val="00FC3FC0"/>
    <w:rsid w:val="00FC4060"/>
    <w:rsid w:val="00FC41D4"/>
    <w:rsid w:val="00FC5F6E"/>
    <w:rsid w:val="00FC7259"/>
    <w:rsid w:val="00FC7AB1"/>
    <w:rsid w:val="00FC7EA9"/>
    <w:rsid w:val="00FD0387"/>
    <w:rsid w:val="00FD1898"/>
    <w:rsid w:val="00FD2F6F"/>
    <w:rsid w:val="00FD52C4"/>
    <w:rsid w:val="00FD611B"/>
    <w:rsid w:val="00FD64B6"/>
    <w:rsid w:val="00FD653F"/>
    <w:rsid w:val="00FD656C"/>
    <w:rsid w:val="00FD69CC"/>
    <w:rsid w:val="00FE3359"/>
    <w:rsid w:val="00FE33B2"/>
    <w:rsid w:val="00FE451A"/>
    <w:rsid w:val="00FE4CD0"/>
    <w:rsid w:val="00FE66DA"/>
    <w:rsid w:val="00FE6BAD"/>
    <w:rsid w:val="00FE74AE"/>
    <w:rsid w:val="00FF0BD3"/>
    <w:rsid w:val="00FF1CE6"/>
    <w:rsid w:val="00FF2D69"/>
    <w:rsid w:val="00FF33E7"/>
    <w:rsid w:val="00FF38F9"/>
    <w:rsid w:val="00FF3E8D"/>
    <w:rsid w:val="00FF490F"/>
    <w:rsid w:val="00FF649C"/>
    <w:rsid w:val="00FF7D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List Continue 2"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link w:val="Voetnoottekst"/>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uiPriority w:val="99"/>
    <w:rsid w:val="00CA7D6D"/>
    <w:rPr>
      <w:rFonts w:ascii="Times New Roman" w:eastAsia="Times New Roman" w:hAnsi="Times New Roman"/>
      <w:sz w:val="24"/>
      <w:szCs w:val="24"/>
    </w:rPr>
  </w:style>
  <w:style w:type="paragraph" w:styleId="Koptekst">
    <w:name w:val="header"/>
    <w:basedOn w:val="Standaard"/>
    <w:link w:val="KoptekstChar"/>
    <w:uiPriority w:val="99"/>
    <w:rsid w:val="00CA7D6D"/>
    <w:pPr>
      <w:tabs>
        <w:tab w:val="center" w:pos="4536"/>
        <w:tab w:val="right" w:pos="9072"/>
      </w:tabs>
    </w:pPr>
  </w:style>
  <w:style w:type="character" w:customStyle="1" w:styleId="KoptekstChar1">
    <w:name w:val="Koptekst Char1"/>
    <w:basedOn w:val="Standaardalinea-lettertype"/>
    <w:link w:val="Koptekst"/>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link w:val="Voettekst"/>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uiPriority w:val="99"/>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link w:val="Tekstopmerking"/>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link w:val="Onderwerpvanopmerking"/>
    <w:uiPriority w:val="99"/>
    <w:semiHidden/>
    <w:rsid w:val="00CA7D6D"/>
    <w:rPr>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link w:val="Plattetekst"/>
    <w:uiPriority w:val="99"/>
    <w:semiHidden/>
    <w:rsid w:val="00CA7D6D"/>
    <w:rPr>
      <w:rFonts w:ascii="Times New Roman" w:eastAsia="Times New Roman" w:hAnsi="Times New Roman"/>
      <w:sz w:val="24"/>
      <w:szCs w:val="24"/>
    </w:rPr>
  </w:style>
  <w:style w:type="character" w:styleId="Zwaar">
    <w:name w:val="Strong"/>
    <w:basedOn w:val="Standaardalinea-lettertype"/>
    <w:uiPriority w:val="22"/>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uiPriority w:val="39"/>
    <w:qFormat/>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styleId="Kopvaninhoudsopgave">
    <w:name w:val="TOC Heading"/>
    <w:basedOn w:val="Kop1"/>
    <w:next w:val="Standaard"/>
    <w:uiPriority w:val="39"/>
    <w:semiHidden/>
    <w:unhideWhenUsed/>
    <w:qFormat/>
    <w:rsid w:val="00710D6A"/>
    <w:pPr>
      <w:keepLines/>
      <w:spacing w:before="480" w:line="276" w:lineRule="auto"/>
      <w:outlineLvl w:val="9"/>
    </w:pPr>
    <w:rPr>
      <w:rFonts w:asciiTheme="majorHAnsi" w:eastAsiaTheme="majorEastAsia" w:hAnsiTheme="majorHAnsi" w:cstheme="majorBidi"/>
      <w:bCs/>
      <w:color w:val="365F91" w:themeColor="accent1" w:themeShade="BF"/>
      <w:sz w:val="28"/>
      <w:szCs w:val="28"/>
      <w:lang w:val="nl-NL" w:eastAsia="en-US"/>
    </w:rPr>
  </w:style>
  <w:style w:type="paragraph" w:styleId="Inhopg1">
    <w:name w:val="toc 1"/>
    <w:basedOn w:val="Standaard"/>
    <w:next w:val="Standaard"/>
    <w:autoRedefine/>
    <w:uiPriority w:val="39"/>
    <w:unhideWhenUsed/>
    <w:qFormat/>
    <w:rsid w:val="00362BF8"/>
    <w:pPr>
      <w:tabs>
        <w:tab w:val="right" w:leader="dot" w:pos="7240"/>
      </w:tabs>
      <w:spacing w:after="100" w:line="260" w:lineRule="exact"/>
    </w:pPr>
    <w:rPr>
      <w:rFonts w:ascii="Verdana" w:eastAsiaTheme="minorEastAsia" w:hAnsi="Verdana" w:cstheme="minorBidi"/>
      <w:b/>
      <w:noProof/>
      <w:sz w:val="18"/>
      <w:szCs w:val="18"/>
      <w:lang w:eastAsia="en-US"/>
    </w:rPr>
  </w:style>
  <w:style w:type="paragraph" w:styleId="Inhopg3">
    <w:name w:val="toc 3"/>
    <w:basedOn w:val="Standaard"/>
    <w:next w:val="Standaard"/>
    <w:autoRedefine/>
    <w:uiPriority w:val="39"/>
    <w:semiHidden/>
    <w:unhideWhenUsed/>
    <w:qFormat/>
    <w:rsid w:val="005F05FF"/>
    <w:pPr>
      <w:spacing w:after="100" w:line="276" w:lineRule="auto"/>
      <w:ind w:left="440"/>
    </w:pPr>
    <w:rPr>
      <w:rFonts w:asciiTheme="minorHAnsi" w:eastAsiaTheme="minorEastAsia" w:hAnsiTheme="minorHAnsi" w:cstheme="minorBidi"/>
      <w:sz w:val="22"/>
      <w:szCs w:val="22"/>
      <w:lang w:eastAsia="en-US"/>
    </w:rPr>
  </w:style>
  <w:style w:type="paragraph" w:customStyle="1" w:styleId="doc-ti">
    <w:name w:val="doc-ti"/>
    <w:basedOn w:val="Standaard"/>
    <w:rsid w:val="00A91D91"/>
    <w:pPr>
      <w:spacing w:before="100" w:beforeAutospacing="1" w:after="100" w:afterAutospacing="1"/>
    </w:pPr>
  </w:style>
  <w:style w:type="paragraph" w:customStyle="1" w:styleId="CM3">
    <w:name w:val="CM3"/>
    <w:basedOn w:val="Default"/>
    <w:next w:val="Default"/>
    <w:uiPriority w:val="99"/>
    <w:rsid w:val="0062753A"/>
    <w:rPr>
      <w:rFonts w:eastAsia="Calibri" w:cs="Times New Roman"/>
      <w:color w:val="auto"/>
    </w:rPr>
  </w:style>
  <w:style w:type="paragraph" w:customStyle="1" w:styleId="CM4">
    <w:name w:val="CM4"/>
    <w:basedOn w:val="Default"/>
    <w:next w:val="Default"/>
    <w:uiPriority w:val="99"/>
    <w:rsid w:val="0062753A"/>
    <w:rPr>
      <w:rFonts w:eastAsia="Calibri" w:cs="Times New Roman"/>
      <w:color w:val="auto"/>
    </w:rPr>
  </w:style>
</w:styles>
</file>

<file path=word/webSettings.xml><?xml version="1.0" encoding="utf-8"?>
<w:webSettings xmlns:r="http://schemas.openxmlformats.org/officeDocument/2006/relationships" xmlns:w="http://schemas.openxmlformats.org/wordprocessingml/2006/main">
  <w:divs>
    <w:div w:id="16010753">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174615193">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413747571">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74358563">
      <w:bodyDiv w:val="1"/>
      <w:marLeft w:val="0"/>
      <w:marRight w:val="0"/>
      <w:marTop w:val="0"/>
      <w:marBottom w:val="0"/>
      <w:divBdr>
        <w:top w:val="none" w:sz="0" w:space="0" w:color="auto"/>
        <w:left w:val="none" w:sz="0" w:space="0" w:color="auto"/>
        <w:bottom w:val="none" w:sz="0" w:space="0" w:color="auto"/>
        <w:right w:val="none" w:sz="0" w:space="0" w:color="auto"/>
      </w:divBdr>
    </w:div>
    <w:div w:id="729691056">
      <w:bodyDiv w:val="1"/>
      <w:marLeft w:val="0"/>
      <w:marRight w:val="0"/>
      <w:marTop w:val="0"/>
      <w:marBottom w:val="0"/>
      <w:divBdr>
        <w:top w:val="none" w:sz="0" w:space="0" w:color="auto"/>
        <w:left w:val="none" w:sz="0" w:space="0" w:color="auto"/>
        <w:bottom w:val="none" w:sz="0" w:space="0" w:color="auto"/>
        <w:right w:val="none" w:sz="0" w:space="0" w:color="auto"/>
      </w:divBdr>
    </w:div>
    <w:div w:id="840974102">
      <w:bodyDiv w:val="1"/>
      <w:marLeft w:val="0"/>
      <w:marRight w:val="0"/>
      <w:marTop w:val="0"/>
      <w:marBottom w:val="0"/>
      <w:divBdr>
        <w:top w:val="none" w:sz="0" w:space="0" w:color="auto"/>
        <w:left w:val="none" w:sz="0" w:space="0" w:color="auto"/>
        <w:bottom w:val="none" w:sz="0" w:space="0" w:color="auto"/>
        <w:right w:val="none" w:sz="0" w:space="0" w:color="auto"/>
      </w:divBdr>
    </w:div>
    <w:div w:id="986277006">
      <w:bodyDiv w:val="1"/>
      <w:marLeft w:val="0"/>
      <w:marRight w:val="0"/>
      <w:marTop w:val="0"/>
      <w:marBottom w:val="0"/>
      <w:divBdr>
        <w:top w:val="none" w:sz="0" w:space="0" w:color="auto"/>
        <w:left w:val="none" w:sz="0" w:space="0" w:color="auto"/>
        <w:bottom w:val="none" w:sz="0" w:space="0" w:color="auto"/>
        <w:right w:val="none" w:sz="0" w:space="0" w:color="auto"/>
      </w:divBdr>
    </w:div>
    <w:div w:id="1006983564">
      <w:bodyDiv w:val="1"/>
      <w:marLeft w:val="0"/>
      <w:marRight w:val="0"/>
      <w:marTop w:val="0"/>
      <w:marBottom w:val="0"/>
      <w:divBdr>
        <w:top w:val="none" w:sz="0" w:space="0" w:color="auto"/>
        <w:left w:val="none" w:sz="0" w:space="0" w:color="auto"/>
        <w:bottom w:val="none" w:sz="0" w:space="0" w:color="auto"/>
        <w:right w:val="none" w:sz="0" w:space="0" w:color="auto"/>
      </w:divBdr>
    </w:div>
    <w:div w:id="1012534741">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09862229">
      <w:bodyDiv w:val="1"/>
      <w:marLeft w:val="0"/>
      <w:marRight w:val="0"/>
      <w:marTop w:val="0"/>
      <w:marBottom w:val="0"/>
      <w:divBdr>
        <w:top w:val="none" w:sz="0" w:space="0" w:color="auto"/>
        <w:left w:val="none" w:sz="0" w:space="0" w:color="auto"/>
        <w:bottom w:val="none" w:sz="0" w:space="0" w:color="auto"/>
        <w:right w:val="none" w:sz="0" w:space="0" w:color="auto"/>
      </w:divBdr>
    </w:div>
    <w:div w:id="1187140983">
      <w:bodyDiv w:val="1"/>
      <w:marLeft w:val="0"/>
      <w:marRight w:val="0"/>
      <w:marTop w:val="0"/>
      <w:marBottom w:val="0"/>
      <w:divBdr>
        <w:top w:val="none" w:sz="0" w:space="0" w:color="auto"/>
        <w:left w:val="none" w:sz="0" w:space="0" w:color="auto"/>
        <w:bottom w:val="none" w:sz="0" w:space="0" w:color="auto"/>
        <w:right w:val="none" w:sz="0" w:space="0" w:color="auto"/>
      </w:divBdr>
    </w:div>
    <w:div w:id="1187446964">
      <w:bodyDiv w:val="1"/>
      <w:marLeft w:val="0"/>
      <w:marRight w:val="0"/>
      <w:marTop w:val="0"/>
      <w:marBottom w:val="0"/>
      <w:divBdr>
        <w:top w:val="none" w:sz="0" w:space="0" w:color="auto"/>
        <w:left w:val="none" w:sz="0" w:space="0" w:color="auto"/>
        <w:bottom w:val="none" w:sz="0" w:space="0" w:color="auto"/>
        <w:right w:val="none" w:sz="0" w:space="0" w:color="auto"/>
      </w:divBdr>
      <w:divsChild>
        <w:div w:id="753481006">
          <w:marLeft w:val="0"/>
          <w:marRight w:val="0"/>
          <w:marTop w:val="0"/>
          <w:marBottom w:val="0"/>
          <w:divBdr>
            <w:top w:val="none" w:sz="0" w:space="0" w:color="auto"/>
            <w:left w:val="none" w:sz="0" w:space="0" w:color="auto"/>
            <w:bottom w:val="none" w:sz="0" w:space="0" w:color="auto"/>
            <w:right w:val="none" w:sz="0" w:space="0" w:color="auto"/>
          </w:divBdr>
          <w:divsChild>
            <w:div w:id="1122532512">
              <w:marLeft w:val="0"/>
              <w:marRight w:val="0"/>
              <w:marTop w:val="0"/>
              <w:marBottom w:val="0"/>
              <w:divBdr>
                <w:top w:val="none" w:sz="0" w:space="0" w:color="auto"/>
                <w:left w:val="none" w:sz="0" w:space="0" w:color="auto"/>
                <w:bottom w:val="none" w:sz="0" w:space="0" w:color="auto"/>
                <w:right w:val="none" w:sz="0" w:space="0" w:color="auto"/>
              </w:divBdr>
              <w:divsChild>
                <w:div w:id="1296720985">
                  <w:marLeft w:val="0"/>
                  <w:marRight w:val="0"/>
                  <w:marTop w:val="0"/>
                  <w:marBottom w:val="0"/>
                  <w:divBdr>
                    <w:top w:val="none" w:sz="0" w:space="0" w:color="auto"/>
                    <w:left w:val="none" w:sz="0" w:space="0" w:color="auto"/>
                    <w:bottom w:val="none" w:sz="0" w:space="0" w:color="auto"/>
                    <w:right w:val="none" w:sz="0" w:space="0" w:color="auto"/>
                  </w:divBdr>
                  <w:divsChild>
                    <w:div w:id="1609311236">
                      <w:marLeft w:val="0"/>
                      <w:marRight w:val="0"/>
                      <w:marTop w:val="0"/>
                      <w:marBottom w:val="0"/>
                      <w:divBdr>
                        <w:top w:val="none" w:sz="0" w:space="0" w:color="auto"/>
                        <w:left w:val="none" w:sz="0" w:space="0" w:color="auto"/>
                        <w:bottom w:val="none" w:sz="0" w:space="0" w:color="auto"/>
                        <w:right w:val="none" w:sz="0" w:space="0" w:color="auto"/>
                      </w:divBdr>
                      <w:divsChild>
                        <w:div w:id="172957814">
                          <w:marLeft w:val="0"/>
                          <w:marRight w:val="0"/>
                          <w:marTop w:val="0"/>
                          <w:marBottom w:val="0"/>
                          <w:divBdr>
                            <w:top w:val="none" w:sz="0" w:space="0" w:color="auto"/>
                            <w:left w:val="none" w:sz="0" w:space="0" w:color="auto"/>
                            <w:bottom w:val="none" w:sz="0" w:space="0" w:color="auto"/>
                            <w:right w:val="none" w:sz="0" w:space="0" w:color="auto"/>
                          </w:divBdr>
                          <w:divsChild>
                            <w:div w:id="6458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98395">
      <w:bodyDiv w:val="1"/>
      <w:marLeft w:val="0"/>
      <w:marRight w:val="0"/>
      <w:marTop w:val="0"/>
      <w:marBottom w:val="0"/>
      <w:divBdr>
        <w:top w:val="none" w:sz="0" w:space="0" w:color="auto"/>
        <w:left w:val="none" w:sz="0" w:space="0" w:color="auto"/>
        <w:bottom w:val="none" w:sz="0" w:space="0" w:color="auto"/>
        <w:right w:val="none" w:sz="0" w:space="0" w:color="auto"/>
      </w:divBdr>
    </w:div>
    <w:div w:id="1256476930">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34087158">
      <w:bodyDiv w:val="1"/>
      <w:marLeft w:val="0"/>
      <w:marRight w:val="0"/>
      <w:marTop w:val="0"/>
      <w:marBottom w:val="0"/>
      <w:divBdr>
        <w:top w:val="none" w:sz="0" w:space="0" w:color="auto"/>
        <w:left w:val="none" w:sz="0" w:space="0" w:color="auto"/>
        <w:bottom w:val="none" w:sz="0" w:space="0" w:color="auto"/>
        <w:right w:val="none" w:sz="0" w:space="0" w:color="auto"/>
      </w:divBdr>
    </w:div>
    <w:div w:id="1746611150">
      <w:bodyDiv w:val="1"/>
      <w:marLeft w:val="0"/>
      <w:marRight w:val="0"/>
      <w:marTop w:val="0"/>
      <w:marBottom w:val="0"/>
      <w:divBdr>
        <w:top w:val="none" w:sz="0" w:space="0" w:color="auto"/>
        <w:left w:val="none" w:sz="0" w:space="0" w:color="auto"/>
        <w:bottom w:val="none" w:sz="0" w:space="0" w:color="auto"/>
        <w:right w:val="none" w:sz="0" w:space="0" w:color="auto"/>
      </w:divBdr>
    </w:div>
    <w:div w:id="1766656050">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etten.overheid.nl/jci1.3:c:BWBR0020368&amp;artikel=3a:2&amp;g=2016-03-17&amp;z=2016-03-17"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E8C6208342AC42BBD432D6EF287C1B" ma:contentTypeVersion="0" ma:contentTypeDescription="Een nieuw document maken." ma:contentTypeScope="" ma:versionID="6c7f4fed33b1128c656b2b906f129d69">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D44C6-FF58-460A-92CA-B96C2926E2F3}"/>
</file>

<file path=customXml/itemProps2.xml><?xml version="1.0" encoding="utf-8"?>
<ds:datastoreItem xmlns:ds="http://schemas.openxmlformats.org/officeDocument/2006/customXml" ds:itemID="{4BE3557F-D9EC-4C1A-9041-F8D39FC437D5}"/>
</file>

<file path=customXml/itemProps3.xml><?xml version="1.0" encoding="utf-8"?>
<ds:datastoreItem xmlns:ds="http://schemas.openxmlformats.org/officeDocument/2006/customXml" ds:itemID="{117D22D3-535C-449E-BD67-C0B010EFCC28}"/>
</file>

<file path=docProps/app.xml><?xml version="1.0" encoding="utf-8"?>
<Properties xmlns="http://schemas.openxmlformats.org/officeDocument/2006/extended-properties" xmlns:vt="http://schemas.openxmlformats.org/officeDocument/2006/docPropsVTypes">
  <Template>Normal</Template>
  <TotalTime>1</TotalTime>
  <Pages>1</Pages>
  <Words>11024</Words>
  <Characters>60633</Characters>
  <Application>Microsoft Office Word</Application>
  <DocSecurity>0</DocSecurity>
  <Lines>505</Lines>
  <Paragraphs>143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BERGSMA</dc:creator>
  <cp:lastModifiedBy>SONNEVELD</cp:lastModifiedBy>
  <cp:revision>4</cp:revision>
  <cp:lastPrinted>2016-12-20T09:50:00Z</cp:lastPrinted>
  <dcterms:created xsi:type="dcterms:W3CDTF">2016-12-20T09:19:00Z</dcterms:created>
  <dcterms:modified xsi:type="dcterms:W3CDTF">2016-12-20T09:50:00Z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0x010100E8E8C6208342AC42BBD432D6EF287C1B</vt:lpwstr>
  </property>
</Properties>
</file>