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CE1" w:rsidRDefault="00321CE1" w:rsidP="00321CE1">
      <w:pPr>
        <w:widowControl w:val="0"/>
        <w:autoSpaceDE w:val="0"/>
        <w:autoSpaceDN w:val="0"/>
        <w:adjustRightInd w:val="0"/>
        <w:rPr>
          <w:rFonts w:ascii="Arial" w:hAnsi="Arial" w:cs="Arial"/>
        </w:rPr>
      </w:pPr>
      <w:bookmarkStart w:id="0" w:name="_GoBack"/>
      <w:bookmarkEnd w:id="0"/>
      <w:r>
        <w:rPr>
          <w:rFonts w:ascii="Arial" w:hAnsi="Arial" w:cs="Arial"/>
          <w:b/>
          <w:bCs/>
          <w:sz w:val="20"/>
          <w:szCs w:val="20"/>
        </w:rPr>
        <w:t>A. ARTIKELSGEWIJZE TOELICHTING BIJ HET WETSVOORSTEL</w:t>
      </w:r>
    </w:p>
    <w:p w:rsidR="00321CE1" w:rsidRDefault="00321CE1" w:rsidP="00321CE1">
      <w:pPr>
        <w:widowControl w:val="0"/>
        <w:autoSpaceDE w:val="0"/>
        <w:autoSpaceDN w:val="0"/>
        <w:adjustRightInd w:val="0"/>
        <w:rPr>
          <w:rFonts w:ascii="Arial" w:hAnsi="Arial" w:cs="Arial"/>
        </w:rPr>
      </w:pPr>
      <w:r>
        <w:rPr>
          <w:rFonts w:ascii="Arial" w:hAnsi="Arial" w:cs="Arial"/>
        </w:rPr>
        <w:t> </w:t>
      </w:r>
    </w:p>
    <w:p w:rsidR="00321CE1" w:rsidRDefault="00321CE1" w:rsidP="00321CE1">
      <w:pPr>
        <w:widowControl w:val="0"/>
        <w:autoSpaceDE w:val="0"/>
        <w:autoSpaceDN w:val="0"/>
        <w:adjustRightInd w:val="0"/>
        <w:rPr>
          <w:rFonts w:ascii="Arial" w:hAnsi="Arial" w:cs="Arial"/>
        </w:rPr>
      </w:pPr>
      <w:r>
        <w:rPr>
          <w:rFonts w:ascii="Arial" w:hAnsi="Arial" w:cs="Arial"/>
          <w:b/>
          <w:bCs/>
          <w:sz w:val="20"/>
          <w:szCs w:val="20"/>
        </w:rPr>
        <w:t>Wetsartikelen 1 tot en met 3</w:t>
      </w:r>
    </w:p>
    <w:p w:rsidR="00321CE1" w:rsidRDefault="00321CE1" w:rsidP="00321CE1">
      <w:pPr>
        <w:widowControl w:val="0"/>
        <w:autoSpaceDE w:val="0"/>
        <w:autoSpaceDN w:val="0"/>
        <w:adjustRightInd w:val="0"/>
        <w:rPr>
          <w:rFonts w:ascii="Arial" w:hAnsi="Arial" w:cs="Arial"/>
        </w:rPr>
      </w:pPr>
      <w:r>
        <w:rPr>
          <w:rFonts w:ascii="Arial" w:hAnsi="Arial" w:cs="Arial"/>
        </w:rPr>
        <w:t> </w:t>
      </w:r>
    </w:p>
    <w:p w:rsidR="00321CE1" w:rsidRDefault="00321CE1" w:rsidP="00321CE1">
      <w:pPr>
        <w:widowControl w:val="0"/>
        <w:autoSpaceDE w:val="0"/>
        <w:autoSpaceDN w:val="0"/>
        <w:adjustRightInd w:val="0"/>
        <w:rPr>
          <w:rFonts w:ascii="Arial" w:hAnsi="Arial" w:cs="Arial"/>
        </w:rPr>
      </w:pPr>
      <w:r>
        <w:rPr>
          <w:rFonts w:ascii="Arial" w:hAnsi="Arial" w:cs="Arial"/>
          <w:sz w:val="20"/>
          <w:szCs w:val="20"/>
        </w:rPr>
        <w:t xml:space="preserve">De begrotingsstaten die onderdeel zijn van de Rijksbegroting, worden op grond van artikel 1, derde lid, van de Comptabiliteitswet 2001 elk afzonderlijk bij de wet vastgesteld en derhalve ook gewijzigd. Het onderhavige wetsvoorstel strekt ertoe om voor het jaar 2015 wijzigingen aan te brengen in: </w:t>
      </w:r>
    </w:p>
    <w:p w:rsidR="00321CE1" w:rsidRDefault="00321CE1" w:rsidP="00321CE1">
      <w:pPr>
        <w:widowControl w:val="0"/>
        <w:autoSpaceDE w:val="0"/>
        <w:autoSpaceDN w:val="0"/>
        <w:adjustRightInd w:val="0"/>
        <w:rPr>
          <w:rFonts w:ascii="Arial" w:hAnsi="Arial" w:cs="Arial"/>
        </w:rPr>
      </w:pPr>
      <w:r>
        <w:rPr>
          <w:rFonts w:ascii="Arial" w:hAnsi="Arial" w:cs="Arial"/>
        </w:rPr>
        <w:t> </w:t>
      </w:r>
    </w:p>
    <w:p w:rsidR="00321CE1" w:rsidRDefault="00321CE1" w:rsidP="00321CE1">
      <w:pPr>
        <w:widowControl w:val="0"/>
        <w:autoSpaceDE w:val="0"/>
        <w:autoSpaceDN w:val="0"/>
        <w:adjustRightInd w:val="0"/>
        <w:spacing w:after="200"/>
        <w:ind w:left="320"/>
        <w:rPr>
          <w:rFonts w:ascii="Arial" w:hAnsi="Arial" w:cs="Arial"/>
          <w:sz w:val="20"/>
          <w:szCs w:val="20"/>
        </w:rPr>
      </w:pPr>
      <w:r>
        <w:rPr>
          <w:rFonts w:ascii="Arial" w:hAnsi="Arial" w:cs="Arial"/>
          <w:sz w:val="20"/>
          <w:szCs w:val="20"/>
        </w:rPr>
        <w:t xml:space="preserve">de departementale begrotingsstaat van het Ministerie van Buitenlandse Zaken (V); </w:t>
      </w:r>
    </w:p>
    <w:p w:rsidR="00321CE1" w:rsidRDefault="00321CE1" w:rsidP="00321CE1">
      <w:pPr>
        <w:widowControl w:val="0"/>
        <w:autoSpaceDE w:val="0"/>
        <w:autoSpaceDN w:val="0"/>
        <w:adjustRightInd w:val="0"/>
        <w:rPr>
          <w:rFonts w:ascii="Arial" w:hAnsi="Arial" w:cs="Arial"/>
        </w:rPr>
      </w:pPr>
      <w:r>
        <w:rPr>
          <w:rFonts w:ascii="Arial" w:hAnsi="Arial" w:cs="Arial"/>
        </w:rPr>
        <w:t> </w:t>
      </w:r>
    </w:p>
    <w:p w:rsidR="00321CE1" w:rsidRDefault="00321CE1" w:rsidP="00321CE1">
      <w:pPr>
        <w:widowControl w:val="0"/>
        <w:autoSpaceDE w:val="0"/>
        <w:autoSpaceDN w:val="0"/>
        <w:adjustRightInd w:val="0"/>
        <w:rPr>
          <w:rFonts w:ascii="Arial" w:hAnsi="Arial" w:cs="Arial"/>
        </w:rPr>
      </w:pPr>
      <w:r>
        <w:rPr>
          <w:rFonts w:ascii="Arial" w:hAnsi="Arial" w:cs="Arial"/>
          <w:sz w:val="20"/>
          <w:szCs w:val="20"/>
        </w:rPr>
        <w:t xml:space="preserve">De in de begrotingsstaat opgenomen begrotingsartikelen worden in onderdeel B van deze memorie van toelichting toegelicht (de zgn. begrotingstoelichting). </w:t>
      </w:r>
    </w:p>
    <w:p w:rsidR="00321CE1" w:rsidRDefault="00321CE1" w:rsidP="00321CE1">
      <w:pPr>
        <w:widowControl w:val="0"/>
        <w:autoSpaceDE w:val="0"/>
        <w:autoSpaceDN w:val="0"/>
        <w:adjustRightInd w:val="0"/>
        <w:rPr>
          <w:rFonts w:ascii="Arial" w:hAnsi="Arial" w:cs="Arial"/>
        </w:rPr>
      </w:pPr>
    </w:p>
    <w:p w:rsidR="00321CE1" w:rsidRDefault="00321CE1" w:rsidP="00321CE1">
      <w:pPr>
        <w:widowControl w:val="0"/>
        <w:autoSpaceDE w:val="0"/>
        <w:autoSpaceDN w:val="0"/>
        <w:adjustRightInd w:val="0"/>
        <w:rPr>
          <w:rFonts w:ascii="Arial" w:hAnsi="Arial" w:cs="Arial"/>
        </w:rPr>
      </w:pPr>
    </w:p>
    <w:p w:rsidR="00321CE1" w:rsidRDefault="00321CE1" w:rsidP="00321CE1">
      <w:pPr>
        <w:widowControl w:val="0"/>
        <w:autoSpaceDE w:val="0"/>
        <w:autoSpaceDN w:val="0"/>
        <w:adjustRightInd w:val="0"/>
        <w:rPr>
          <w:rFonts w:ascii="Arial" w:hAnsi="Arial" w:cs="Arial"/>
        </w:rPr>
      </w:pPr>
      <w:r>
        <w:rPr>
          <w:rFonts w:ascii="Arial" w:hAnsi="Arial" w:cs="Arial"/>
        </w:rPr>
        <w:t> </w:t>
      </w:r>
    </w:p>
    <w:p w:rsidR="00321CE1" w:rsidRDefault="00321CE1" w:rsidP="00321CE1">
      <w:pPr>
        <w:widowControl w:val="0"/>
        <w:autoSpaceDE w:val="0"/>
        <w:autoSpaceDN w:val="0"/>
        <w:adjustRightInd w:val="0"/>
        <w:rPr>
          <w:rFonts w:ascii="Arial" w:hAnsi="Arial" w:cs="Arial"/>
        </w:rPr>
      </w:pPr>
      <w:r>
        <w:rPr>
          <w:rFonts w:ascii="Arial" w:hAnsi="Arial" w:cs="Arial"/>
        </w:rPr>
        <w:t> </w:t>
      </w:r>
    </w:p>
    <w:p w:rsidR="00321CE1" w:rsidRDefault="00321CE1" w:rsidP="00321CE1">
      <w:pPr>
        <w:widowControl w:val="0"/>
        <w:autoSpaceDE w:val="0"/>
        <w:autoSpaceDN w:val="0"/>
        <w:adjustRightInd w:val="0"/>
        <w:rPr>
          <w:rFonts w:ascii="Arial" w:hAnsi="Arial" w:cs="Arial"/>
          <w:sz w:val="20"/>
          <w:szCs w:val="20"/>
        </w:rPr>
      </w:pPr>
      <w:r>
        <w:rPr>
          <w:rFonts w:ascii="Arial" w:hAnsi="Arial" w:cs="Arial"/>
          <w:sz w:val="20"/>
          <w:szCs w:val="20"/>
        </w:rPr>
        <w:t>De minister van Buitenlandse Zaken</w:t>
      </w:r>
    </w:p>
    <w:p w:rsidR="00321CE1" w:rsidRDefault="00321CE1" w:rsidP="00321CE1">
      <w:pPr>
        <w:widowControl w:val="0"/>
        <w:autoSpaceDE w:val="0"/>
        <w:autoSpaceDN w:val="0"/>
        <w:adjustRightInd w:val="0"/>
        <w:rPr>
          <w:rFonts w:ascii="Arial" w:hAnsi="Arial" w:cs="Arial"/>
          <w:sz w:val="20"/>
          <w:szCs w:val="20"/>
        </w:rPr>
      </w:pPr>
    </w:p>
    <w:p w:rsidR="00321CE1" w:rsidRDefault="00321CE1" w:rsidP="00321CE1">
      <w:pPr>
        <w:widowControl w:val="0"/>
        <w:autoSpaceDE w:val="0"/>
        <w:autoSpaceDN w:val="0"/>
        <w:adjustRightInd w:val="0"/>
        <w:rPr>
          <w:rFonts w:ascii="Arial" w:hAnsi="Arial" w:cs="Arial"/>
          <w:sz w:val="20"/>
          <w:szCs w:val="20"/>
        </w:rPr>
      </w:pPr>
    </w:p>
    <w:p w:rsidR="00321CE1" w:rsidRDefault="00321CE1" w:rsidP="00321CE1">
      <w:pPr>
        <w:widowControl w:val="0"/>
        <w:autoSpaceDE w:val="0"/>
        <w:autoSpaceDN w:val="0"/>
        <w:adjustRightInd w:val="0"/>
        <w:rPr>
          <w:rFonts w:ascii="Arial" w:hAnsi="Arial" w:cs="Arial"/>
          <w:sz w:val="20"/>
          <w:szCs w:val="20"/>
        </w:rPr>
      </w:pPr>
    </w:p>
    <w:p w:rsidR="00321CE1" w:rsidRDefault="00321CE1" w:rsidP="00321CE1">
      <w:pPr>
        <w:widowControl w:val="0"/>
        <w:autoSpaceDE w:val="0"/>
        <w:autoSpaceDN w:val="0"/>
        <w:adjustRightInd w:val="0"/>
        <w:rPr>
          <w:rFonts w:ascii="Arial" w:hAnsi="Arial" w:cs="Arial"/>
          <w:sz w:val="20"/>
          <w:szCs w:val="20"/>
        </w:rPr>
      </w:pPr>
    </w:p>
    <w:p w:rsidR="00321CE1" w:rsidRPr="00EF730F" w:rsidRDefault="00321CE1" w:rsidP="00321CE1">
      <w:pPr>
        <w:pStyle w:val="Kop2"/>
        <w:tabs>
          <w:tab w:val="left" w:pos="5293"/>
        </w:tabs>
        <w:rPr>
          <w:rFonts w:ascii="Verdana" w:hAnsi="Verdana"/>
          <w:sz w:val="18"/>
          <w:szCs w:val="18"/>
        </w:rPr>
      </w:pPr>
      <w:r>
        <w:rPr>
          <w:sz w:val="20"/>
          <w:szCs w:val="20"/>
        </w:rPr>
        <w:br w:type="page"/>
      </w:r>
      <w:r w:rsidRPr="00EF730F">
        <w:rPr>
          <w:rFonts w:ascii="Verdana" w:hAnsi="Verdana" w:cs="Times New Roman"/>
          <w:i w:val="0"/>
          <w:sz w:val="18"/>
          <w:szCs w:val="18"/>
        </w:rPr>
        <w:lastRenderedPageBreak/>
        <w:t>B) BEGROTINGSTOELICHTING</w:t>
      </w:r>
    </w:p>
    <w:p w:rsidR="00321CE1" w:rsidRDefault="00321CE1" w:rsidP="00321CE1">
      <w:pPr>
        <w:widowControl w:val="0"/>
        <w:autoSpaceDE w:val="0"/>
        <w:autoSpaceDN w:val="0"/>
        <w:adjustRightInd w:val="0"/>
        <w:rPr>
          <w:rFonts w:ascii="Arial" w:hAnsi="Arial" w:cs="Arial"/>
        </w:rPr>
      </w:pPr>
    </w:p>
    <w:p w:rsidR="00321CE1" w:rsidRPr="00163471" w:rsidRDefault="00321CE1" w:rsidP="00321CE1">
      <w:pPr>
        <w:pStyle w:val="Lijstalinea"/>
        <w:widowControl w:val="0"/>
        <w:numPr>
          <w:ilvl w:val="0"/>
          <w:numId w:val="1"/>
        </w:numPr>
        <w:autoSpaceDE w:val="0"/>
        <w:autoSpaceDN w:val="0"/>
        <w:adjustRightInd w:val="0"/>
        <w:spacing w:line="276" w:lineRule="auto"/>
        <w:rPr>
          <w:rFonts w:ascii="Verdana" w:hAnsi="Verdana"/>
          <w:b/>
          <w:sz w:val="18"/>
          <w:szCs w:val="18"/>
        </w:rPr>
      </w:pPr>
      <w:r w:rsidRPr="00163471">
        <w:rPr>
          <w:rFonts w:ascii="Verdana" w:hAnsi="Verdana"/>
          <w:b/>
          <w:sz w:val="18"/>
          <w:szCs w:val="18"/>
        </w:rPr>
        <w:t>Voorstel van Wet</w:t>
      </w:r>
    </w:p>
    <w:p w:rsidR="00321CE1" w:rsidRPr="00163471" w:rsidRDefault="00321CE1" w:rsidP="00321CE1">
      <w:pPr>
        <w:widowControl w:val="0"/>
        <w:autoSpaceDE w:val="0"/>
        <w:autoSpaceDN w:val="0"/>
        <w:adjustRightInd w:val="0"/>
        <w:rPr>
          <w:rFonts w:ascii="Verdana" w:hAnsi="Verdana"/>
          <w:b/>
          <w:iCs/>
          <w:sz w:val="18"/>
          <w:szCs w:val="18"/>
        </w:rPr>
      </w:pPr>
      <w:r w:rsidRPr="00163471">
        <w:rPr>
          <w:rFonts w:ascii="Verdana" w:hAnsi="Verdana"/>
          <w:sz w:val="18"/>
          <w:szCs w:val="18"/>
        </w:rPr>
        <w:t>Door middel van het onderhavige wetsvoorstel wordt voorgesteld de uitgaven van de begroting 201</w:t>
      </w:r>
      <w:r>
        <w:rPr>
          <w:rFonts w:ascii="Verdana" w:hAnsi="Verdana"/>
          <w:sz w:val="18"/>
          <w:szCs w:val="18"/>
        </w:rPr>
        <w:t>5</w:t>
      </w:r>
      <w:r w:rsidRPr="00163471">
        <w:rPr>
          <w:rFonts w:ascii="Verdana" w:hAnsi="Verdana"/>
          <w:sz w:val="18"/>
          <w:szCs w:val="18"/>
        </w:rPr>
        <w:t xml:space="preserve"> van Buitenlandse Zaken (V) met EUR </w:t>
      </w:r>
      <w:r>
        <w:rPr>
          <w:rFonts w:ascii="Verdana" w:hAnsi="Verdana"/>
          <w:sz w:val="18"/>
          <w:szCs w:val="18"/>
        </w:rPr>
        <w:t>1,03 miljard te verhogen en de ontvangsten te verhogen met EUR 85,2 miljoen.</w:t>
      </w:r>
      <w:r w:rsidRPr="00163471">
        <w:rPr>
          <w:rFonts w:ascii="Verdana" w:hAnsi="Verdana"/>
          <w:sz w:val="18"/>
          <w:szCs w:val="18"/>
        </w:rPr>
        <w:t xml:space="preserve"> </w:t>
      </w:r>
    </w:p>
    <w:p w:rsidR="00321CE1" w:rsidRPr="00163471" w:rsidRDefault="00321CE1" w:rsidP="00321CE1">
      <w:pPr>
        <w:widowControl w:val="0"/>
        <w:autoSpaceDE w:val="0"/>
        <w:autoSpaceDN w:val="0"/>
        <w:adjustRightInd w:val="0"/>
        <w:rPr>
          <w:rFonts w:ascii="Verdana" w:hAnsi="Verdana"/>
          <w:b/>
          <w:iCs/>
          <w:sz w:val="18"/>
          <w:szCs w:val="18"/>
        </w:rPr>
      </w:pPr>
    </w:p>
    <w:p w:rsidR="00321CE1" w:rsidRPr="00FC62D2" w:rsidRDefault="00321CE1" w:rsidP="00321CE1">
      <w:pPr>
        <w:pStyle w:val="Lijstalinea"/>
        <w:widowControl w:val="0"/>
        <w:numPr>
          <w:ilvl w:val="0"/>
          <w:numId w:val="1"/>
        </w:numPr>
        <w:autoSpaceDE w:val="0"/>
        <w:autoSpaceDN w:val="0"/>
        <w:adjustRightInd w:val="0"/>
        <w:rPr>
          <w:rFonts w:ascii="Verdana" w:hAnsi="Verdana"/>
          <w:b/>
          <w:iCs/>
          <w:sz w:val="18"/>
          <w:szCs w:val="18"/>
        </w:rPr>
      </w:pPr>
      <w:r w:rsidRPr="00FC62D2">
        <w:rPr>
          <w:rFonts w:ascii="Verdana" w:hAnsi="Verdana"/>
          <w:b/>
          <w:iCs/>
          <w:sz w:val="18"/>
          <w:szCs w:val="18"/>
        </w:rPr>
        <w:t>Leeswijzer</w:t>
      </w:r>
    </w:p>
    <w:p w:rsidR="00321CE1" w:rsidRDefault="00321CE1" w:rsidP="00321CE1">
      <w:pPr>
        <w:widowControl w:val="0"/>
        <w:autoSpaceDE w:val="0"/>
        <w:autoSpaceDN w:val="0"/>
        <w:adjustRightInd w:val="0"/>
        <w:rPr>
          <w:rFonts w:ascii="Verdana" w:hAnsi="Verdana"/>
          <w:iCs/>
          <w:sz w:val="18"/>
          <w:szCs w:val="18"/>
        </w:rPr>
      </w:pPr>
    </w:p>
    <w:p w:rsidR="00321CE1" w:rsidRPr="00FC62D2" w:rsidRDefault="00321CE1" w:rsidP="00321CE1">
      <w:pPr>
        <w:widowControl w:val="0"/>
        <w:autoSpaceDE w:val="0"/>
        <w:autoSpaceDN w:val="0"/>
        <w:adjustRightInd w:val="0"/>
        <w:rPr>
          <w:rFonts w:ascii="Verdana" w:hAnsi="Verdana"/>
          <w:iCs/>
          <w:sz w:val="18"/>
          <w:szCs w:val="18"/>
        </w:rPr>
      </w:pPr>
      <w:r w:rsidRPr="00FC62D2">
        <w:rPr>
          <w:rFonts w:ascii="Verdana" w:hAnsi="Verdana"/>
          <w:iCs/>
          <w:sz w:val="18"/>
          <w:szCs w:val="18"/>
        </w:rPr>
        <w:t xml:space="preserve">De voorliggende suppletoire begroting bevat de voorgestelde wijzigingen ten opzichte van de </w:t>
      </w:r>
      <w:r>
        <w:rPr>
          <w:rFonts w:ascii="Verdana" w:hAnsi="Verdana"/>
          <w:iCs/>
          <w:sz w:val="18"/>
          <w:szCs w:val="18"/>
        </w:rPr>
        <w:t>eerste suppletoire begroting</w:t>
      </w:r>
      <w:r w:rsidRPr="00FC62D2">
        <w:rPr>
          <w:rFonts w:ascii="Verdana" w:hAnsi="Verdana"/>
          <w:iCs/>
          <w:sz w:val="18"/>
          <w:szCs w:val="18"/>
        </w:rPr>
        <w:t xml:space="preserve"> 201</w:t>
      </w:r>
      <w:r>
        <w:rPr>
          <w:rFonts w:ascii="Verdana" w:hAnsi="Verdana"/>
          <w:iCs/>
          <w:sz w:val="18"/>
          <w:szCs w:val="18"/>
        </w:rPr>
        <w:t>5</w:t>
      </w:r>
      <w:r w:rsidRPr="00FC62D2">
        <w:rPr>
          <w:rFonts w:ascii="Verdana" w:hAnsi="Verdana"/>
          <w:iCs/>
          <w:sz w:val="18"/>
          <w:szCs w:val="18"/>
        </w:rPr>
        <w:t xml:space="preserve"> van hoofdstuk V van de begroting van het Rijk. </w:t>
      </w:r>
    </w:p>
    <w:p w:rsidR="00321CE1" w:rsidRDefault="00321CE1" w:rsidP="00321CE1">
      <w:pPr>
        <w:widowControl w:val="0"/>
        <w:autoSpaceDE w:val="0"/>
        <w:autoSpaceDN w:val="0"/>
        <w:adjustRightInd w:val="0"/>
        <w:rPr>
          <w:rFonts w:ascii="Verdana" w:hAnsi="Verdana"/>
          <w:iCs/>
          <w:sz w:val="18"/>
          <w:szCs w:val="18"/>
        </w:rPr>
      </w:pPr>
    </w:p>
    <w:p w:rsidR="00321CE1" w:rsidRDefault="00321CE1" w:rsidP="00321CE1">
      <w:pPr>
        <w:widowControl w:val="0"/>
        <w:autoSpaceDE w:val="0"/>
        <w:autoSpaceDN w:val="0"/>
        <w:adjustRightInd w:val="0"/>
        <w:rPr>
          <w:rFonts w:ascii="Verdana" w:hAnsi="Verdana"/>
          <w:iCs/>
          <w:sz w:val="18"/>
          <w:szCs w:val="18"/>
        </w:rPr>
      </w:pPr>
      <w:r>
        <w:rPr>
          <w:rFonts w:ascii="Verdana" w:hAnsi="Verdana"/>
          <w:iCs/>
          <w:sz w:val="18"/>
          <w:szCs w:val="18"/>
        </w:rPr>
        <w:t xml:space="preserve">In de toelichting worden de wijzigingen welke zijn opgetreden in de omvang van de HGIS en de belangrijkste mutaties op de begroting van Buitenlandse Zaken toegelicht. Ten slotte volgt per artikel de nieuwe stand en een toelichting op de opmerkelijke verschillen. </w:t>
      </w:r>
    </w:p>
    <w:p w:rsidR="00321CE1" w:rsidRDefault="00321CE1" w:rsidP="00321CE1">
      <w:pPr>
        <w:widowControl w:val="0"/>
        <w:autoSpaceDE w:val="0"/>
        <w:autoSpaceDN w:val="0"/>
        <w:adjustRightInd w:val="0"/>
        <w:rPr>
          <w:rFonts w:ascii="Verdana" w:hAnsi="Verdana"/>
          <w:iCs/>
          <w:sz w:val="18"/>
          <w:szCs w:val="18"/>
        </w:rPr>
      </w:pPr>
    </w:p>
    <w:p w:rsidR="00321CE1" w:rsidRDefault="00321CE1" w:rsidP="00321CE1">
      <w:pPr>
        <w:widowControl w:val="0"/>
        <w:autoSpaceDE w:val="0"/>
        <w:autoSpaceDN w:val="0"/>
        <w:adjustRightInd w:val="0"/>
        <w:rPr>
          <w:rFonts w:ascii="Verdana" w:hAnsi="Verdana" w:cs="Arial"/>
          <w:sz w:val="18"/>
          <w:szCs w:val="18"/>
        </w:rPr>
      </w:pPr>
      <w:r>
        <w:rPr>
          <w:rFonts w:ascii="Verdana" w:hAnsi="Verdana" w:cs="Arial"/>
          <w:sz w:val="18"/>
          <w:szCs w:val="18"/>
        </w:rPr>
        <w:t xml:space="preserve">Per artikel is een tabel opgenomen met de mutaties. De toelichting per beleidsartikel heeft betrekking op de kolom mutaties suppletoire begroting. </w:t>
      </w:r>
      <w:r>
        <w:rPr>
          <w:rFonts w:ascii="Verdana" w:eastAsia="Calibri" w:hAnsi="Verdana"/>
          <w:sz w:val="18"/>
          <w:szCs w:val="18"/>
        </w:rPr>
        <w:t>Het aantal activiteiten en het</w:t>
      </w:r>
      <w:r w:rsidRPr="00403BD2">
        <w:rPr>
          <w:rFonts w:ascii="Verdana" w:eastAsia="Calibri" w:hAnsi="Verdana"/>
          <w:sz w:val="18"/>
          <w:szCs w:val="18"/>
        </w:rPr>
        <w:t xml:space="preserve"> aantal </w:t>
      </w:r>
      <w:r>
        <w:rPr>
          <w:rFonts w:ascii="Verdana" w:eastAsia="Calibri" w:hAnsi="Verdana"/>
          <w:sz w:val="18"/>
          <w:szCs w:val="18"/>
        </w:rPr>
        <w:t xml:space="preserve">financiële </w:t>
      </w:r>
      <w:r w:rsidRPr="00403BD2">
        <w:rPr>
          <w:rFonts w:ascii="Verdana" w:eastAsia="Calibri" w:hAnsi="Verdana"/>
          <w:sz w:val="18"/>
          <w:szCs w:val="18"/>
        </w:rPr>
        <w:t xml:space="preserve">instrumenten </w:t>
      </w:r>
      <w:r>
        <w:rPr>
          <w:rFonts w:ascii="Verdana" w:eastAsia="Calibri" w:hAnsi="Verdana"/>
          <w:sz w:val="18"/>
          <w:szCs w:val="18"/>
        </w:rPr>
        <w:t xml:space="preserve">van het ministerie van Buitenlandse Zaken inclusief het postennet is </w:t>
      </w:r>
      <w:r w:rsidRPr="00403BD2">
        <w:rPr>
          <w:rFonts w:ascii="Verdana" w:eastAsia="Calibri" w:hAnsi="Verdana"/>
          <w:sz w:val="18"/>
          <w:szCs w:val="18"/>
        </w:rPr>
        <w:t xml:space="preserve">aanzienlijk. </w:t>
      </w:r>
      <w:r>
        <w:rPr>
          <w:rFonts w:ascii="Verdana" w:eastAsia="Calibri" w:hAnsi="Verdana"/>
          <w:sz w:val="18"/>
          <w:szCs w:val="18"/>
        </w:rPr>
        <w:t>Om de leesbaarheid te waarborgen zijn daarom alleen de financiële instrumenten die meer dan 3 procent van het artikelonderdeel uitmaken opgenomen in de financiële tabel. Dat betekent dat er in sommige gevallen geen uitputtende opsomming is van de financiële instrumenten per artikelonderdeel.</w:t>
      </w:r>
    </w:p>
    <w:p w:rsidR="00321CE1" w:rsidRDefault="00321CE1" w:rsidP="00321CE1">
      <w:pPr>
        <w:widowControl w:val="0"/>
        <w:autoSpaceDE w:val="0"/>
        <w:autoSpaceDN w:val="0"/>
        <w:adjustRightInd w:val="0"/>
        <w:rPr>
          <w:rFonts w:ascii="Verdana" w:hAnsi="Verdana" w:cs="Arial"/>
          <w:sz w:val="18"/>
          <w:szCs w:val="18"/>
        </w:rPr>
      </w:pPr>
    </w:p>
    <w:p w:rsidR="00321CE1" w:rsidRDefault="00321CE1" w:rsidP="00321CE1">
      <w:pPr>
        <w:widowControl w:val="0"/>
        <w:autoSpaceDE w:val="0"/>
        <w:autoSpaceDN w:val="0"/>
        <w:adjustRightInd w:val="0"/>
        <w:rPr>
          <w:rFonts w:ascii="Verdana" w:hAnsi="Verdana" w:cs="Arial"/>
          <w:sz w:val="18"/>
          <w:szCs w:val="18"/>
        </w:rPr>
      </w:pPr>
      <w:r>
        <w:rPr>
          <w:rFonts w:ascii="Verdana" w:hAnsi="Verdana" w:cs="Arial"/>
          <w:sz w:val="18"/>
          <w:szCs w:val="18"/>
        </w:rPr>
        <w:t xml:space="preserve">Conform de Rijksbegrotingsvoorschriften en de Comptabiliteitswet van 2001 dienen de opmerkelijke verschillen tussen de oorspronkelijke en huidige raming te worden toegelicht. </w:t>
      </w:r>
      <w:r w:rsidRPr="00A51F92">
        <w:rPr>
          <w:rFonts w:ascii="Verdana" w:hAnsi="Verdana" w:cs="Arial"/>
          <w:sz w:val="18"/>
          <w:szCs w:val="18"/>
        </w:rPr>
        <w:t>Op uitgavenniveau is voor deze toelichting een norm gehanteerd waarbij voor de beleidsartikelen 1-</w:t>
      </w:r>
      <w:r>
        <w:rPr>
          <w:rFonts w:ascii="Verdana" w:hAnsi="Verdana" w:cs="Arial"/>
          <w:sz w:val="18"/>
          <w:szCs w:val="18"/>
        </w:rPr>
        <w:t>4</w:t>
      </w:r>
      <w:r w:rsidRPr="00A51F92">
        <w:rPr>
          <w:rFonts w:ascii="Verdana" w:hAnsi="Verdana" w:cs="Arial"/>
          <w:sz w:val="18"/>
          <w:szCs w:val="18"/>
        </w:rPr>
        <w:t xml:space="preserve"> en niet-beleidsartikel </w:t>
      </w:r>
      <w:r>
        <w:rPr>
          <w:rFonts w:ascii="Verdana" w:hAnsi="Verdana" w:cs="Arial"/>
          <w:sz w:val="18"/>
          <w:szCs w:val="18"/>
        </w:rPr>
        <w:t>6</w:t>
      </w:r>
      <w:r w:rsidRPr="00A51F92">
        <w:rPr>
          <w:rFonts w:ascii="Verdana" w:hAnsi="Verdana" w:cs="Arial"/>
          <w:sz w:val="18"/>
          <w:szCs w:val="18"/>
        </w:rPr>
        <w:t xml:space="preserve"> afwijkingen van 10% of meer, met een minimum van EUR 2 miljoen, ten opzichte van de </w:t>
      </w:r>
      <w:r>
        <w:rPr>
          <w:rFonts w:ascii="Verdana" w:hAnsi="Verdana" w:cs="Arial"/>
          <w:sz w:val="18"/>
          <w:szCs w:val="18"/>
        </w:rPr>
        <w:t xml:space="preserve">stand van de eerste suppletoire begroting 2015 </w:t>
      </w:r>
      <w:r w:rsidRPr="00A51F92">
        <w:rPr>
          <w:rFonts w:ascii="Verdana" w:hAnsi="Verdana" w:cs="Arial"/>
          <w:sz w:val="18"/>
          <w:szCs w:val="18"/>
        </w:rPr>
        <w:t xml:space="preserve">op sub-artikel niveau zijn opgenomen. </w:t>
      </w:r>
      <w:r>
        <w:rPr>
          <w:rFonts w:ascii="Verdana" w:hAnsi="Verdana" w:cs="Arial"/>
          <w:sz w:val="18"/>
          <w:szCs w:val="18"/>
        </w:rPr>
        <w:t xml:space="preserve">Hierbij is een uitzondering gemaakt voor artikel 3.1 (EU-afdracht) omdat de mutaties op instrumentniveau in absolute zin een substantieel aandeel vormen van de mutatie op sub-artikel niveau. </w:t>
      </w:r>
      <w:r w:rsidRPr="00A51F92">
        <w:rPr>
          <w:rFonts w:ascii="Verdana" w:hAnsi="Verdana" w:cs="Arial"/>
          <w:sz w:val="18"/>
          <w:szCs w:val="18"/>
        </w:rPr>
        <w:t xml:space="preserve">Voor niet-beleidsartikel </w:t>
      </w:r>
      <w:r>
        <w:rPr>
          <w:rFonts w:ascii="Verdana" w:hAnsi="Verdana" w:cs="Arial"/>
          <w:sz w:val="18"/>
          <w:szCs w:val="18"/>
        </w:rPr>
        <w:t>7</w:t>
      </w:r>
      <w:r w:rsidRPr="00A51F92">
        <w:rPr>
          <w:rFonts w:ascii="Verdana" w:hAnsi="Verdana" w:cs="Arial"/>
          <w:sz w:val="18"/>
          <w:szCs w:val="18"/>
        </w:rPr>
        <w:t xml:space="preserve"> is een afwijking van 1% opgenomen. Voor verplichtingen wordt de norm van 10% op artikel niveau aangehouden.</w:t>
      </w:r>
      <w:r>
        <w:rPr>
          <w:rFonts w:ascii="Verdana" w:hAnsi="Verdana" w:cs="Arial"/>
          <w:sz w:val="18"/>
          <w:szCs w:val="18"/>
        </w:rPr>
        <w:t xml:space="preserve"> </w:t>
      </w:r>
    </w:p>
    <w:p w:rsidR="00321CE1" w:rsidRDefault="00321CE1" w:rsidP="00321CE1">
      <w:pPr>
        <w:widowControl w:val="0"/>
        <w:autoSpaceDE w:val="0"/>
        <w:autoSpaceDN w:val="0"/>
        <w:adjustRightInd w:val="0"/>
        <w:rPr>
          <w:rFonts w:ascii="Verdana" w:hAnsi="Verdana" w:cs="Arial"/>
          <w:sz w:val="18"/>
          <w:szCs w:val="18"/>
        </w:rPr>
      </w:pPr>
    </w:p>
    <w:p w:rsidR="00321CE1" w:rsidRPr="00834074" w:rsidRDefault="00321CE1" w:rsidP="00321CE1">
      <w:pPr>
        <w:widowControl w:val="0"/>
        <w:autoSpaceDE w:val="0"/>
        <w:autoSpaceDN w:val="0"/>
        <w:adjustRightInd w:val="0"/>
        <w:rPr>
          <w:rFonts w:ascii="Verdana" w:hAnsi="Verdana" w:cs="Arial"/>
          <w:sz w:val="18"/>
          <w:szCs w:val="18"/>
        </w:rPr>
      </w:pPr>
      <w:r>
        <w:rPr>
          <w:rFonts w:ascii="Verdana" w:hAnsi="Verdana"/>
          <w:sz w:val="18"/>
          <w:szCs w:val="18"/>
        </w:rPr>
        <w:t xml:space="preserve"> </w:t>
      </w:r>
    </w:p>
    <w:p w:rsidR="00321CE1" w:rsidRDefault="00321CE1" w:rsidP="00321CE1">
      <w:pPr>
        <w:widowControl w:val="0"/>
        <w:autoSpaceDE w:val="0"/>
        <w:autoSpaceDN w:val="0"/>
        <w:adjustRightInd w:val="0"/>
        <w:rPr>
          <w:rFonts w:ascii="Verdana" w:hAnsi="Verdana" w:cs="Arial"/>
          <w:sz w:val="18"/>
          <w:szCs w:val="18"/>
        </w:rPr>
      </w:pPr>
    </w:p>
    <w:p w:rsidR="00321CE1" w:rsidRPr="006B2886" w:rsidRDefault="00321CE1" w:rsidP="00321CE1">
      <w:pPr>
        <w:spacing w:after="200"/>
        <w:rPr>
          <w:rFonts w:ascii="Verdana" w:eastAsiaTheme="minorHAnsi" w:hAnsi="Verdana" w:cstheme="minorBidi"/>
          <w:sz w:val="16"/>
          <w:szCs w:val="16"/>
          <w:lang w:eastAsia="en-US"/>
        </w:rPr>
      </w:pPr>
    </w:p>
    <w:p w:rsidR="00321CE1" w:rsidRPr="006B2886" w:rsidRDefault="00321CE1" w:rsidP="00321CE1">
      <w:pPr>
        <w:spacing w:after="200"/>
        <w:rPr>
          <w:rFonts w:ascii="Verdana" w:eastAsiaTheme="minorHAnsi" w:hAnsi="Verdana" w:cstheme="minorBidi"/>
          <w:sz w:val="16"/>
          <w:szCs w:val="16"/>
          <w:lang w:eastAsia="en-US"/>
        </w:rPr>
      </w:pPr>
    </w:p>
    <w:p w:rsidR="00321CE1" w:rsidRPr="006B2886" w:rsidRDefault="00321CE1" w:rsidP="00321CE1">
      <w:pPr>
        <w:spacing w:after="200"/>
        <w:rPr>
          <w:rFonts w:ascii="Verdana" w:eastAsiaTheme="minorHAnsi" w:hAnsi="Verdana" w:cstheme="minorBidi"/>
          <w:sz w:val="16"/>
          <w:szCs w:val="16"/>
          <w:lang w:eastAsia="en-US"/>
        </w:rPr>
      </w:pPr>
    </w:p>
    <w:p w:rsidR="00321CE1" w:rsidRDefault="00321CE1" w:rsidP="00321CE1">
      <w:pPr>
        <w:rPr>
          <w:rFonts w:ascii="Verdana" w:hAnsi="Verdana"/>
          <w:b/>
          <w:sz w:val="18"/>
          <w:szCs w:val="18"/>
        </w:rPr>
      </w:pPr>
      <w:r>
        <w:rPr>
          <w:rFonts w:ascii="Verdana" w:hAnsi="Verdana"/>
          <w:b/>
          <w:sz w:val="18"/>
          <w:szCs w:val="18"/>
        </w:rPr>
        <w:br w:type="page"/>
      </w:r>
    </w:p>
    <w:p w:rsidR="00321CE1" w:rsidRPr="00FC62D2" w:rsidRDefault="00321CE1" w:rsidP="00321CE1">
      <w:pPr>
        <w:pStyle w:val="Lijstalinea"/>
        <w:numPr>
          <w:ilvl w:val="0"/>
          <w:numId w:val="1"/>
        </w:numPr>
        <w:rPr>
          <w:rFonts w:ascii="Verdana" w:hAnsi="Verdana"/>
          <w:b/>
          <w:sz w:val="18"/>
          <w:szCs w:val="18"/>
        </w:rPr>
      </w:pPr>
      <w:r w:rsidRPr="00FC62D2">
        <w:rPr>
          <w:rFonts w:ascii="Verdana" w:hAnsi="Verdana"/>
          <w:b/>
          <w:sz w:val="18"/>
          <w:szCs w:val="18"/>
        </w:rPr>
        <w:lastRenderedPageBreak/>
        <w:t>Wijzigingen in de omvang van de HGIS</w:t>
      </w:r>
    </w:p>
    <w:p w:rsidR="00321CE1" w:rsidRPr="00A8351E" w:rsidRDefault="00321CE1" w:rsidP="00321CE1">
      <w:pPr>
        <w:rPr>
          <w:rFonts w:ascii="Verdana" w:hAnsi="Verdana"/>
          <w:sz w:val="18"/>
          <w:szCs w:val="18"/>
        </w:rPr>
      </w:pPr>
    </w:p>
    <w:p w:rsidR="00321CE1" w:rsidRDefault="00321CE1" w:rsidP="00321CE1">
      <w:pPr>
        <w:rPr>
          <w:rFonts w:ascii="Verdana" w:hAnsi="Verdana"/>
          <w:sz w:val="18"/>
          <w:szCs w:val="18"/>
        </w:rPr>
      </w:pPr>
      <w:r w:rsidRPr="0041193A">
        <w:rPr>
          <w:rFonts w:ascii="Verdana" w:hAnsi="Verdana"/>
          <w:sz w:val="18"/>
          <w:szCs w:val="18"/>
        </w:rPr>
        <w:t xml:space="preserve">In deze paragraaf wordt geschetst welke wijzigingen zijn opgetreden in de omvang van de HGIS sinds de </w:t>
      </w:r>
      <w:r>
        <w:rPr>
          <w:rFonts w:ascii="Verdana" w:hAnsi="Verdana"/>
          <w:sz w:val="18"/>
          <w:szCs w:val="18"/>
        </w:rPr>
        <w:t>Voorjaarsnota</w:t>
      </w:r>
      <w:r w:rsidRPr="0041193A">
        <w:rPr>
          <w:rFonts w:ascii="Verdana" w:hAnsi="Verdana"/>
          <w:sz w:val="18"/>
          <w:szCs w:val="18"/>
        </w:rPr>
        <w:t xml:space="preserve"> 201</w:t>
      </w:r>
      <w:r>
        <w:rPr>
          <w:rFonts w:ascii="Verdana" w:hAnsi="Verdana"/>
          <w:sz w:val="18"/>
          <w:szCs w:val="18"/>
        </w:rPr>
        <w:t>5</w:t>
      </w:r>
      <w:r w:rsidRPr="0041193A">
        <w:rPr>
          <w:rFonts w:ascii="Verdana" w:hAnsi="Verdana"/>
          <w:sz w:val="18"/>
          <w:szCs w:val="18"/>
        </w:rPr>
        <w:t>. Zoals uit de hierna volgende tabel blijkt</w:t>
      </w:r>
      <w:r>
        <w:rPr>
          <w:rFonts w:ascii="Verdana" w:hAnsi="Verdana"/>
          <w:sz w:val="18"/>
          <w:szCs w:val="18"/>
        </w:rPr>
        <w:t>,</w:t>
      </w:r>
      <w:r w:rsidRPr="0041193A">
        <w:rPr>
          <w:rFonts w:ascii="Verdana" w:hAnsi="Verdana"/>
          <w:sz w:val="18"/>
          <w:szCs w:val="18"/>
        </w:rPr>
        <w:t xml:space="preserve"> is de </w:t>
      </w:r>
      <w:r>
        <w:rPr>
          <w:rFonts w:ascii="Verdana" w:hAnsi="Verdana"/>
          <w:sz w:val="18"/>
          <w:szCs w:val="18"/>
        </w:rPr>
        <w:t xml:space="preserve">netto </w:t>
      </w:r>
      <w:r w:rsidRPr="0041193A">
        <w:rPr>
          <w:rFonts w:ascii="Verdana" w:hAnsi="Verdana"/>
          <w:sz w:val="18"/>
          <w:szCs w:val="18"/>
        </w:rPr>
        <w:t xml:space="preserve">HGIS </w:t>
      </w:r>
      <w:r>
        <w:rPr>
          <w:rFonts w:ascii="Verdana" w:hAnsi="Verdana"/>
          <w:sz w:val="18"/>
          <w:szCs w:val="18"/>
        </w:rPr>
        <w:t>(uitgaven minus ontvangsten) ten opzichte van de stand bij de Voorjaarsnota 2015 toegenomen</w:t>
      </w:r>
      <w:r w:rsidRPr="0041193A">
        <w:rPr>
          <w:rFonts w:ascii="Verdana" w:hAnsi="Verdana"/>
          <w:sz w:val="18"/>
          <w:szCs w:val="18"/>
        </w:rPr>
        <w:t xml:space="preserve"> met EUR </w:t>
      </w:r>
      <w:r>
        <w:rPr>
          <w:rFonts w:ascii="Verdana" w:hAnsi="Verdana"/>
          <w:sz w:val="18"/>
          <w:szCs w:val="18"/>
        </w:rPr>
        <w:t>524,1</w:t>
      </w:r>
      <w:r w:rsidRPr="0041193A">
        <w:rPr>
          <w:rFonts w:ascii="Verdana" w:hAnsi="Verdana"/>
          <w:sz w:val="18"/>
          <w:szCs w:val="18"/>
        </w:rPr>
        <w:t xml:space="preserve"> miljoen.</w:t>
      </w:r>
      <w:r>
        <w:rPr>
          <w:rFonts w:ascii="Verdana" w:hAnsi="Verdana"/>
          <w:sz w:val="18"/>
          <w:szCs w:val="18"/>
        </w:rPr>
        <w:t xml:space="preserve"> </w:t>
      </w:r>
    </w:p>
    <w:p w:rsidR="00321CE1" w:rsidRDefault="00321CE1" w:rsidP="00321CE1">
      <w:pPr>
        <w:rPr>
          <w:rFonts w:ascii="Verdana" w:hAnsi="Verdana"/>
          <w:sz w:val="18"/>
          <w:szCs w:val="18"/>
        </w:rPr>
      </w:pPr>
    </w:p>
    <w:p w:rsidR="00321CE1" w:rsidRDefault="00321CE1" w:rsidP="00321CE1">
      <w:pPr>
        <w:rPr>
          <w:rFonts w:ascii="Verdana" w:hAnsi="Verdana"/>
          <w:sz w:val="18"/>
          <w:szCs w:val="18"/>
        </w:rPr>
      </w:pPr>
      <w:r>
        <w:rPr>
          <w:rFonts w:ascii="Verdana" w:hAnsi="Verdana"/>
          <w:sz w:val="18"/>
          <w:szCs w:val="18"/>
        </w:rPr>
        <w:object w:dxaOrig="12617" w:dyaOrig="3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85pt;height:146.05pt" o:ole="">
            <v:imagedata r:id="rId8" o:title=""/>
          </v:shape>
          <o:OLEObject Type="Embed" ProgID="Excel.Sheet.12" ShapeID="_x0000_i1025" DrawAspect="Content" ObjectID="_1510407233" r:id="rId9"/>
        </w:object>
      </w:r>
    </w:p>
    <w:p w:rsidR="00321CE1" w:rsidRDefault="00321CE1" w:rsidP="00321CE1">
      <w:pPr>
        <w:rPr>
          <w:rFonts w:ascii="Verdana" w:hAnsi="Verdana"/>
          <w:sz w:val="18"/>
          <w:szCs w:val="18"/>
        </w:rPr>
      </w:pPr>
    </w:p>
    <w:p w:rsidR="00321CE1" w:rsidRDefault="00321CE1" w:rsidP="00321CE1">
      <w:pPr>
        <w:rPr>
          <w:rFonts w:ascii="Verdana" w:hAnsi="Verdana"/>
          <w:sz w:val="18"/>
          <w:szCs w:val="18"/>
        </w:rPr>
      </w:pPr>
      <w:r w:rsidRPr="0041193A">
        <w:rPr>
          <w:rFonts w:ascii="Verdana" w:hAnsi="Verdana"/>
          <w:sz w:val="18"/>
          <w:szCs w:val="18"/>
        </w:rPr>
        <w:t xml:space="preserve">De </w:t>
      </w:r>
      <w:r>
        <w:rPr>
          <w:rFonts w:ascii="Verdana" w:hAnsi="Verdana"/>
          <w:sz w:val="18"/>
          <w:szCs w:val="18"/>
        </w:rPr>
        <w:t>toename</w:t>
      </w:r>
      <w:r w:rsidRPr="0041193A">
        <w:rPr>
          <w:rFonts w:ascii="Verdana" w:hAnsi="Verdana"/>
          <w:sz w:val="18"/>
          <w:szCs w:val="18"/>
        </w:rPr>
        <w:t xml:space="preserve"> van de HGIS is het gevolg van meerdere mutaties. In de hierna volgende tabel zijn </w:t>
      </w:r>
      <w:r>
        <w:rPr>
          <w:rFonts w:ascii="Verdana" w:hAnsi="Verdana"/>
          <w:sz w:val="18"/>
          <w:szCs w:val="18"/>
        </w:rPr>
        <w:t xml:space="preserve">de uitgaven </w:t>
      </w:r>
      <w:r w:rsidRPr="0041193A">
        <w:rPr>
          <w:rFonts w:ascii="Verdana" w:hAnsi="Verdana"/>
          <w:sz w:val="18"/>
          <w:szCs w:val="18"/>
        </w:rPr>
        <w:t>uitgesplitst.</w:t>
      </w:r>
    </w:p>
    <w:p w:rsidR="00321CE1" w:rsidRPr="0041193A" w:rsidRDefault="00321CE1" w:rsidP="00321CE1">
      <w:pPr>
        <w:rPr>
          <w:rFonts w:ascii="Verdana" w:hAnsi="Verdana"/>
          <w:sz w:val="18"/>
          <w:szCs w:val="18"/>
        </w:rPr>
      </w:pPr>
    </w:p>
    <w:p w:rsidR="00321CE1" w:rsidRDefault="00321CE1" w:rsidP="00321CE1">
      <w:pPr>
        <w:rPr>
          <w:rFonts w:ascii="Verdana" w:hAnsi="Verdana"/>
          <w:sz w:val="18"/>
          <w:szCs w:val="18"/>
        </w:rPr>
      </w:pPr>
      <w:r>
        <w:rPr>
          <w:rFonts w:ascii="Verdana" w:hAnsi="Verdana"/>
          <w:sz w:val="18"/>
          <w:szCs w:val="18"/>
        </w:rPr>
        <w:object w:dxaOrig="12617" w:dyaOrig="2102">
          <v:shape id="_x0000_i1026" type="#_x0000_t75" style="width:478.85pt;height:80.15pt" o:ole="">
            <v:imagedata r:id="rId10" o:title=""/>
          </v:shape>
          <o:OLEObject Type="Embed" ProgID="Excel.Sheet.12" ShapeID="_x0000_i1026" DrawAspect="Content" ObjectID="_1510407234" r:id="rId11"/>
        </w:object>
      </w:r>
    </w:p>
    <w:p w:rsidR="00321CE1" w:rsidRDefault="00321CE1" w:rsidP="00321CE1">
      <w:pPr>
        <w:rPr>
          <w:rFonts w:ascii="Verdana" w:hAnsi="Verdana"/>
          <w:sz w:val="18"/>
          <w:szCs w:val="18"/>
        </w:rPr>
      </w:pPr>
    </w:p>
    <w:p w:rsidR="00321CE1" w:rsidRDefault="00321CE1" w:rsidP="00321CE1">
      <w:pPr>
        <w:rPr>
          <w:rFonts w:ascii="Verdana" w:hAnsi="Verdana"/>
          <w:b/>
          <w:sz w:val="18"/>
          <w:szCs w:val="18"/>
        </w:rPr>
      </w:pPr>
      <w:r w:rsidRPr="00742388">
        <w:rPr>
          <w:rFonts w:ascii="Verdana" w:hAnsi="Verdana"/>
          <w:b/>
          <w:sz w:val="18"/>
          <w:szCs w:val="18"/>
        </w:rPr>
        <w:t>Toelichting uitgaven:</w:t>
      </w:r>
    </w:p>
    <w:p w:rsidR="00321CE1" w:rsidRPr="00742388" w:rsidRDefault="00321CE1" w:rsidP="00321CE1">
      <w:pPr>
        <w:rPr>
          <w:rFonts w:ascii="Verdana" w:hAnsi="Verdana"/>
          <w:b/>
          <w:sz w:val="18"/>
          <w:szCs w:val="18"/>
        </w:rPr>
      </w:pPr>
    </w:p>
    <w:p w:rsidR="00321CE1" w:rsidRPr="00433722" w:rsidRDefault="00321CE1" w:rsidP="00321CE1">
      <w:pPr>
        <w:pStyle w:val="Lijstalinea"/>
        <w:numPr>
          <w:ilvl w:val="0"/>
          <w:numId w:val="3"/>
        </w:numPr>
        <w:rPr>
          <w:rFonts w:ascii="Verdana" w:hAnsi="Verdana"/>
          <w:sz w:val="18"/>
          <w:szCs w:val="18"/>
        </w:rPr>
      </w:pPr>
      <w:r w:rsidRPr="00433722">
        <w:rPr>
          <w:rFonts w:ascii="Verdana" w:hAnsi="Verdana"/>
          <w:sz w:val="18"/>
          <w:szCs w:val="18"/>
        </w:rPr>
        <w:t>Op basis van wijzigingen in de CPB-ramingen voor het BN</w:t>
      </w:r>
      <w:r>
        <w:rPr>
          <w:rFonts w:ascii="Verdana" w:hAnsi="Verdana"/>
          <w:sz w:val="18"/>
          <w:szCs w:val="18"/>
        </w:rPr>
        <w:t>I</w:t>
      </w:r>
      <w:r w:rsidRPr="00433722">
        <w:rPr>
          <w:rFonts w:ascii="Verdana" w:hAnsi="Verdana"/>
          <w:sz w:val="18"/>
          <w:szCs w:val="18"/>
        </w:rPr>
        <w:t xml:space="preserve"> </w:t>
      </w:r>
      <w:r>
        <w:rPr>
          <w:rFonts w:ascii="Verdana" w:hAnsi="Verdana"/>
          <w:sz w:val="18"/>
          <w:szCs w:val="18"/>
        </w:rPr>
        <w:t xml:space="preserve">(ODA) </w:t>
      </w:r>
      <w:r w:rsidRPr="00433722">
        <w:rPr>
          <w:rFonts w:ascii="Verdana" w:hAnsi="Verdana"/>
          <w:sz w:val="18"/>
          <w:szCs w:val="18"/>
        </w:rPr>
        <w:t>en de prijscomponent van het BBP is de omvang van de HGIS bijgesteld.</w:t>
      </w:r>
    </w:p>
    <w:p w:rsidR="00321CE1" w:rsidRDefault="00321CE1" w:rsidP="00321CE1">
      <w:pPr>
        <w:pStyle w:val="Lijstalinea"/>
        <w:numPr>
          <w:ilvl w:val="0"/>
          <w:numId w:val="3"/>
        </w:numPr>
        <w:rPr>
          <w:rFonts w:ascii="Verdana" w:hAnsi="Verdana"/>
          <w:sz w:val="18"/>
          <w:szCs w:val="18"/>
        </w:rPr>
      </w:pPr>
      <w:r w:rsidRPr="00DD0EF2">
        <w:rPr>
          <w:rFonts w:ascii="Verdana" w:hAnsi="Verdana"/>
          <w:sz w:val="18"/>
          <w:szCs w:val="18"/>
        </w:rPr>
        <w:t>Er vind</w:t>
      </w:r>
      <w:r>
        <w:rPr>
          <w:rFonts w:ascii="Verdana" w:hAnsi="Verdana"/>
          <w:sz w:val="18"/>
          <w:szCs w:val="18"/>
        </w:rPr>
        <w:t xml:space="preserve">t een aantal </w:t>
      </w:r>
      <w:r w:rsidRPr="00DD0EF2">
        <w:rPr>
          <w:rFonts w:ascii="Verdana" w:hAnsi="Verdana"/>
          <w:sz w:val="18"/>
          <w:szCs w:val="18"/>
        </w:rPr>
        <w:t xml:space="preserve">overboekingen van en naar de HGIS plaats. </w:t>
      </w:r>
      <w:r>
        <w:rPr>
          <w:rFonts w:ascii="Verdana" w:hAnsi="Verdana"/>
          <w:sz w:val="18"/>
          <w:szCs w:val="18"/>
        </w:rPr>
        <w:t>De belangrijkste mutaties zijn:</w:t>
      </w:r>
    </w:p>
    <w:p w:rsidR="00321CE1" w:rsidRDefault="00321CE1" w:rsidP="00321CE1">
      <w:pPr>
        <w:pStyle w:val="Lijstalinea"/>
        <w:numPr>
          <w:ilvl w:val="0"/>
          <w:numId w:val="4"/>
        </w:numPr>
        <w:rPr>
          <w:rFonts w:ascii="Verdana" w:hAnsi="Verdana"/>
          <w:sz w:val="18"/>
          <w:szCs w:val="18"/>
        </w:rPr>
      </w:pPr>
      <w:r w:rsidRPr="009272ED">
        <w:rPr>
          <w:rFonts w:ascii="Verdana" w:hAnsi="Verdana"/>
          <w:sz w:val="18"/>
          <w:szCs w:val="18"/>
        </w:rPr>
        <w:t xml:space="preserve">Vanwege de, sinds augustus 2015, verhoogde vluchtelingeninstroom wordt de asielraming aangepast naar 58.000 voor 2015. De verhoogde raming heeft gevolgen voor de toerekening aan ODA van de eerstejaarsopvang voor vluchtelingen uit DAC-landen. Voor 2015 wordt er </w:t>
      </w:r>
      <w:r>
        <w:rPr>
          <w:rFonts w:ascii="Verdana" w:hAnsi="Verdana"/>
          <w:sz w:val="18"/>
          <w:szCs w:val="18"/>
        </w:rPr>
        <w:t xml:space="preserve">EUR </w:t>
      </w:r>
      <w:r w:rsidRPr="009272ED">
        <w:rPr>
          <w:rFonts w:ascii="Verdana" w:hAnsi="Verdana"/>
          <w:sz w:val="18"/>
          <w:szCs w:val="18"/>
        </w:rPr>
        <w:t>350 m</w:t>
      </w:r>
      <w:r>
        <w:rPr>
          <w:rFonts w:ascii="Verdana" w:hAnsi="Verdana"/>
          <w:sz w:val="18"/>
          <w:szCs w:val="18"/>
        </w:rPr>
        <w:t>iljoen</w:t>
      </w:r>
      <w:r w:rsidRPr="009272ED">
        <w:rPr>
          <w:rFonts w:ascii="Verdana" w:hAnsi="Verdana"/>
          <w:sz w:val="18"/>
          <w:szCs w:val="18"/>
        </w:rPr>
        <w:t xml:space="preserve"> additioneel beschikbaar gesteld voor de eerstejaarsopvang. </w:t>
      </w:r>
      <w:proofErr w:type="spellStart"/>
      <w:r w:rsidRPr="009272ED">
        <w:rPr>
          <w:rFonts w:ascii="Verdana" w:hAnsi="Verdana"/>
          <w:sz w:val="18"/>
          <w:szCs w:val="18"/>
        </w:rPr>
        <w:t>Onderuitputting</w:t>
      </w:r>
      <w:proofErr w:type="spellEnd"/>
      <w:r w:rsidRPr="009272ED">
        <w:rPr>
          <w:rFonts w:ascii="Verdana" w:hAnsi="Verdana"/>
          <w:sz w:val="18"/>
          <w:szCs w:val="18"/>
        </w:rPr>
        <w:t xml:space="preserve"> bij verschillende departementen wordt ingezet als dekking</w:t>
      </w:r>
      <w:r>
        <w:rPr>
          <w:rFonts w:ascii="Verdana" w:hAnsi="Verdana"/>
          <w:sz w:val="18"/>
          <w:szCs w:val="18"/>
        </w:rPr>
        <w:t>.</w:t>
      </w:r>
      <w:r w:rsidRPr="00D21A40">
        <w:rPr>
          <w:rFonts w:ascii="Verdana" w:hAnsi="Verdana"/>
          <w:sz w:val="18"/>
          <w:szCs w:val="18"/>
        </w:rPr>
        <w:t xml:space="preserve"> De totale asieltoerekening aan ODA komt daarmee in 2015 uit op EUR </w:t>
      </w:r>
      <w:r>
        <w:rPr>
          <w:rFonts w:ascii="Verdana" w:hAnsi="Verdana"/>
          <w:sz w:val="18"/>
          <w:szCs w:val="18"/>
        </w:rPr>
        <w:t>1,186 miljard.</w:t>
      </w:r>
    </w:p>
    <w:p w:rsidR="00321CE1" w:rsidRDefault="00321CE1" w:rsidP="00321CE1">
      <w:pPr>
        <w:pStyle w:val="Lijstalinea"/>
        <w:numPr>
          <w:ilvl w:val="0"/>
          <w:numId w:val="4"/>
        </w:numPr>
        <w:rPr>
          <w:rFonts w:ascii="Verdana" w:hAnsi="Verdana"/>
          <w:sz w:val="18"/>
          <w:szCs w:val="18"/>
        </w:rPr>
      </w:pPr>
      <w:r>
        <w:rPr>
          <w:rFonts w:ascii="Verdana" w:hAnsi="Verdana"/>
          <w:sz w:val="18"/>
          <w:szCs w:val="18"/>
          <w:lang w:eastAsia="nl-NL"/>
        </w:rPr>
        <w:t>Overheveling van budget binnen de Defensiebegroting</w:t>
      </w:r>
      <w:r w:rsidRPr="007A44AB">
        <w:rPr>
          <w:rFonts w:ascii="Verdana" w:hAnsi="Verdana"/>
          <w:sz w:val="18"/>
          <w:szCs w:val="18"/>
          <w:lang w:eastAsia="nl-NL"/>
        </w:rPr>
        <w:t xml:space="preserve">. </w:t>
      </w:r>
      <w:r w:rsidRPr="007A44AB">
        <w:rPr>
          <w:rFonts w:ascii="Verdana" w:hAnsi="Verdana"/>
          <w:sz w:val="18"/>
          <w:szCs w:val="18"/>
        </w:rPr>
        <w:t xml:space="preserve">De </w:t>
      </w:r>
      <w:proofErr w:type="spellStart"/>
      <w:r w:rsidRPr="007A44AB">
        <w:rPr>
          <w:rFonts w:ascii="Verdana" w:hAnsi="Verdana"/>
          <w:sz w:val="18"/>
          <w:szCs w:val="18"/>
        </w:rPr>
        <w:t>budgetten</w:t>
      </w:r>
      <w:proofErr w:type="spellEnd"/>
      <w:r w:rsidRPr="007A44AB">
        <w:rPr>
          <w:rFonts w:ascii="Verdana" w:hAnsi="Verdana"/>
          <w:sz w:val="18"/>
          <w:szCs w:val="18"/>
        </w:rPr>
        <w:t xml:space="preserve"> voor de inzet van </w:t>
      </w:r>
      <w:proofErr w:type="spellStart"/>
      <w:r w:rsidRPr="00B13C6B">
        <w:rPr>
          <w:rFonts w:ascii="Verdana" w:hAnsi="Verdana"/>
          <w:i/>
          <w:sz w:val="18"/>
          <w:szCs w:val="18"/>
        </w:rPr>
        <w:t>vessel</w:t>
      </w:r>
      <w:proofErr w:type="spellEnd"/>
      <w:r w:rsidRPr="00B13C6B">
        <w:rPr>
          <w:rFonts w:ascii="Verdana" w:hAnsi="Verdana"/>
          <w:i/>
          <w:sz w:val="18"/>
          <w:szCs w:val="18"/>
        </w:rPr>
        <w:t xml:space="preserve"> </w:t>
      </w:r>
      <w:proofErr w:type="spellStart"/>
      <w:r w:rsidRPr="00B13C6B">
        <w:rPr>
          <w:rFonts w:ascii="Verdana" w:hAnsi="Verdana"/>
          <w:i/>
          <w:sz w:val="18"/>
          <w:szCs w:val="18"/>
        </w:rPr>
        <w:t>protection</w:t>
      </w:r>
      <w:proofErr w:type="spellEnd"/>
      <w:r w:rsidRPr="00B13C6B">
        <w:rPr>
          <w:rFonts w:ascii="Verdana" w:hAnsi="Verdana"/>
          <w:i/>
          <w:sz w:val="18"/>
          <w:szCs w:val="18"/>
        </w:rPr>
        <w:t xml:space="preserve"> </w:t>
      </w:r>
      <w:proofErr w:type="spellStart"/>
      <w:r w:rsidRPr="00B13C6B">
        <w:rPr>
          <w:rFonts w:ascii="Verdana" w:hAnsi="Verdana"/>
          <w:i/>
          <w:sz w:val="18"/>
          <w:szCs w:val="18"/>
        </w:rPr>
        <w:t>detachments</w:t>
      </w:r>
      <w:proofErr w:type="spellEnd"/>
      <w:r>
        <w:rPr>
          <w:rFonts w:ascii="Verdana" w:hAnsi="Verdana"/>
          <w:sz w:val="18"/>
          <w:szCs w:val="18"/>
        </w:rPr>
        <w:t xml:space="preserve"> (</w:t>
      </w:r>
      <w:proofErr w:type="spellStart"/>
      <w:r w:rsidRPr="007A44AB">
        <w:rPr>
          <w:rFonts w:ascii="Verdana" w:hAnsi="Verdana"/>
          <w:sz w:val="18"/>
          <w:szCs w:val="18"/>
        </w:rPr>
        <w:t>VPD’s</w:t>
      </w:r>
      <w:proofErr w:type="spellEnd"/>
      <w:r>
        <w:rPr>
          <w:rFonts w:ascii="Verdana" w:hAnsi="Verdana"/>
          <w:sz w:val="18"/>
          <w:szCs w:val="18"/>
        </w:rPr>
        <w:t>)</w:t>
      </w:r>
      <w:r w:rsidRPr="007A44AB">
        <w:rPr>
          <w:rFonts w:ascii="Verdana" w:hAnsi="Verdana"/>
          <w:sz w:val="18"/>
          <w:szCs w:val="18"/>
        </w:rPr>
        <w:t xml:space="preserve"> zijn binnen artikel 1 (Inzet) overgebracht van overige inzet naar opdracht inzet</w:t>
      </w:r>
      <w:r>
        <w:rPr>
          <w:rFonts w:ascii="Verdana" w:hAnsi="Verdana"/>
          <w:sz w:val="18"/>
          <w:szCs w:val="18"/>
        </w:rPr>
        <w:t>,</w:t>
      </w:r>
      <w:r w:rsidRPr="007A44AB">
        <w:rPr>
          <w:rFonts w:ascii="Verdana" w:hAnsi="Verdana"/>
          <w:sz w:val="18"/>
          <w:szCs w:val="18"/>
        </w:rPr>
        <w:t xml:space="preserve"> zodat alle HGIS en BIV</w:t>
      </w:r>
      <w:r>
        <w:rPr>
          <w:rFonts w:ascii="Verdana" w:hAnsi="Verdana"/>
          <w:sz w:val="18"/>
          <w:szCs w:val="18"/>
        </w:rPr>
        <w:t xml:space="preserve"> (Budget Internationale Veiligheid)</w:t>
      </w:r>
      <w:r w:rsidRPr="007A44AB">
        <w:rPr>
          <w:rFonts w:ascii="Verdana" w:hAnsi="Verdana"/>
          <w:sz w:val="18"/>
          <w:szCs w:val="18"/>
        </w:rPr>
        <w:t xml:space="preserve"> gerelateerde activiteiten onder hetzelfde artikelonderdeel worden verantwoord.</w:t>
      </w:r>
      <w:r>
        <w:rPr>
          <w:rFonts w:ascii="Verdana" w:hAnsi="Verdana"/>
          <w:sz w:val="18"/>
          <w:szCs w:val="18"/>
          <w:lang w:eastAsia="nl-NL"/>
        </w:rPr>
        <w:t xml:space="preserve"> </w:t>
      </w:r>
    </w:p>
    <w:p w:rsidR="00321CE1" w:rsidRDefault="00321CE1" w:rsidP="00321CE1">
      <w:pPr>
        <w:pStyle w:val="Lijstalinea"/>
        <w:numPr>
          <w:ilvl w:val="0"/>
          <w:numId w:val="4"/>
        </w:numPr>
        <w:rPr>
          <w:rFonts w:ascii="Verdana" w:hAnsi="Verdana"/>
          <w:sz w:val="18"/>
          <w:szCs w:val="18"/>
        </w:rPr>
      </w:pPr>
      <w:r>
        <w:rPr>
          <w:rFonts w:ascii="Verdana" w:hAnsi="Verdana"/>
          <w:sz w:val="18"/>
          <w:szCs w:val="18"/>
          <w:lang w:eastAsia="nl-NL"/>
        </w:rPr>
        <w:t xml:space="preserve">Bij de afwikkeling van de uitgaven voor de GCCS zijn uitgaven gedaan door andere departementen. Deze uitgaven zijn niet-HGIS waardoor het HGIS saldo afneemt. </w:t>
      </w:r>
    </w:p>
    <w:p w:rsidR="00321CE1" w:rsidRPr="00997021" w:rsidRDefault="00321CE1" w:rsidP="00321CE1">
      <w:pPr>
        <w:pStyle w:val="Lijstalinea"/>
        <w:numPr>
          <w:ilvl w:val="0"/>
          <w:numId w:val="3"/>
        </w:numPr>
        <w:rPr>
          <w:rFonts w:ascii="Verdana" w:hAnsi="Verdana"/>
          <w:sz w:val="18"/>
          <w:szCs w:val="18"/>
        </w:rPr>
      </w:pPr>
      <w:r>
        <w:rPr>
          <w:rFonts w:ascii="Verdana" w:hAnsi="Verdana"/>
          <w:sz w:val="18"/>
          <w:szCs w:val="18"/>
          <w:lang w:eastAsia="nl-NL"/>
        </w:rPr>
        <w:t xml:space="preserve">Een deel van de ontvangsten op de begrotingen van Buitenlandse Zaken en Defensie wordt ingezet om de uitgaven van het HGIS-kader te verhogen. Bij Buitenlandse Zaken betreft het hogere consulaire opbrengsten en een restitutie op een eerder betaalde bijdrage voor de </w:t>
      </w:r>
      <w:proofErr w:type="spellStart"/>
      <w:r>
        <w:rPr>
          <w:rFonts w:ascii="Verdana" w:hAnsi="Verdana"/>
          <w:sz w:val="18"/>
          <w:szCs w:val="18"/>
          <w:lang w:eastAsia="nl-NL"/>
        </w:rPr>
        <w:t>wederoplevering</w:t>
      </w:r>
      <w:proofErr w:type="spellEnd"/>
      <w:r>
        <w:rPr>
          <w:rFonts w:ascii="Verdana" w:hAnsi="Verdana"/>
          <w:sz w:val="18"/>
          <w:szCs w:val="18"/>
          <w:lang w:eastAsia="nl-NL"/>
        </w:rPr>
        <w:t xml:space="preserve"> van het ICC-gebouw. Binnen het ministerie van Defensie zijn ontvangsten opgenomen die verband houden met de MINUSMA missie in Mali waarvoor vanuit de VN een vergoeding wordt betaald. Op de begroting van het ministerie van Financiën </w:t>
      </w:r>
      <w:r w:rsidRPr="00997021">
        <w:rPr>
          <w:rFonts w:ascii="Verdana" w:hAnsi="Verdana"/>
          <w:sz w:val="18"/>
          <w:szCs w:val="18"/>
          <w:lang w:eastAsia="nl-NL"/>
        </w:rPr>
        <w:t xml:space="preserve">stijgen </w:t>
      </w:r>
      <w:r>
        <w:rPr>
          <w:rFonts w:ascii="Verdana" w:hAnsi="Verdana"/>
          <w:sz w:val="18"/>
          <w:szCs w:val="18"/>
          <w:lang w:eastAsia="nl-NL"/>
        </w:rPr>
        <w:t xml:space="preserve">de ontvangsten </w:t>
      </w:r>
      <w:r w:rsidRPr="00997021">
        <w:rPr>
          <w:rFonts w:ascii="Verdana" w:hAnsi="Verdana"/>
          <w:sz w:val="18"/>
          <w:szCs w:val="18"/>
          <w:lang w:eastAsia="nl-NL"/>
        </w:rPr>
        <w:t xml:space="preserve">vanwege een aantal restituties door internationale financiële instellingen </w:t>
      </w:r>
      <w:r>
        <w:rPr>
          <w:rFonts w:ascii="Verdana" w:hAnsi="Verdana"/>
          <w:sz w:val="18"/>
          <w:szCs w:val="18"/>
          <w:lang w:eastAsia="nl-NL"/>
        </w:rPr>
        <w:t xml:space="preserve">en ten slotte zijn op de begroting van Buitenlandse Handel en Ontwikkelingssamenwerking middelen opgenomen uit de begrotingsreserve voor de Faciliteit Opkomende Markten (FOM). </w:t>
      </w:r>
    </w:p>
    <w:p w:rsidR="00321CE1" w:rsidRDefault="00321CE1" w:rsidP="00321CE1">
      <w:pPr>
        <w:pStyle w:val="Lijstalinea"/>
        <w:numPr>
          <w:ilvl w:val="0"/>
          <w:numId w:val="3"/>
        </w:numPr>
        <w:rPr>
          <w:rFonts w:ascii="Verdana" w:hAnsi="Verdana"/>
          <w:sz w:val="18"/>
          <w:szCs w:val="18"/>
        </w:rPr>
      </w:pPr>
      <w:r w:rsidRPr="009F3178">
        <w:rPr>
          <w:rFonts w:ascii="Verdana" w:hAnsi="Verdana"/>
          <w:sz w:val="18"/>
          <w:szCs w:val="18"/>
          <w:lang w:eastAsia="nl-NL"/>
        </w:rPr>
        <w:t>Een aantal kasschuiven heeft plaatsgevonden op de HGIS-onderdelen binnen de departementale begrotingen voor IDA (Financiën, EUR 80 miljoen) en noodhulpprogramma’s (BHOS, EUR 110 miljoen). Daarnaast is binnen het BIV in 2015 (EUR 26,5 miljoen) vrije ruimte ontstaan door vrijval van middelen binnen verschillende missieramingen. Dit wordt binnen het BIV meegenomen naar 2016.</w:t>
      </w:r>
    </w:p>
    <w:p w:rsidR="00321CE1" w:rsidRPr="009F3178" w:rsidRDefault="00321CE1" w:rsidP="00321CE1">
      <w:pPr>
        <w:pStyle w:val="Lijstalinea"/>
        <w:numPr>
          <w:ilvl w:val="0"/>
          <w:numId w:val="3"/>
        </w:numPr>
        <w:rPr>
          <w:rFonts w:ascii="Verdana" w:hAnsi="Verdana"/>
          <w:sz w:val="18"/>
          <w:szCs w:val="18"/>
        </w:rPr>
      </w:pPr>
      <w:r w:rsidRPr="009F3178">
        <w:rPr>
          <w:rFonts w:ascii="Verdana" w:hAnsi="Verdana"/>
          <w:sz w:val="18"/>
          <w:szCs w:val="18"/>
        </w:rPr>
        <w:t xml:space="preserve">Binnen de HGIS verwacht een aantal departementen dat de realisaties ca. EUR </w:t>
      </w:r>
      <w:r>
        <w:rPr>
          <w:rFonts w:ascii="Verdana" w:hAnsi="Verdana"/>
          <w:sz w:val="18"/>
          <w:szCs w:val="18"/>
        </w:rPr>
        <w:t>94</w:t>
      </w:r>
      <w:r w:rsidRPr="009F3178">
        <w:rPr>
          <w:rFonts w:ascii="Verdana" w:hAnsi="Verdana"/>
          <w:sz w:val="18"/>
          <w:szCs w:val="18"/>
        </w:rPr>
        <w:t xml:space="preserve"> miljoen lager zullen zijn dan geraamd. De belangrijkste mutaties zijn opgenomen op de begrotingen van BZ, BHOS, </w:t>
      </w:r>
      <w:proofErr w:type="spellStart"/>
      <w:r w:rsidRPr="009F3178">
        <w:rPr>
          <w:rFonts w:ascii="Verdana" w:hAnsi="Verdana"/>
          <w:sz w:val="18"/>
          <w:szCs w:val="18"/>
        </w:rPr>
        <w:t>VenJ</w:t>
      </w:r>
      <w:proofErr w:type="spellEnd"/>
      <w:r w:rsidRPr="009F3178">
        <w:rPr>
          <w:rFonts w:ascii="Verdana" w:hAnsi="Verdana"/>
          <w:sz w:val="18"/>
          <w:szCs w:val="18"/>
        </w:rPr>
        <w:t xml:space="preserve"> en Defensie. </w:t>
      </w:r>
    </w:p>
    <w:p w:rsidR="00321CE1" w:rsidRDefault="00321CE1" w:rsidP="00321CE1">
      <w:pPr>
        <w:ind w:left="360"/>
        <w:rPr>
          <w:rFonts w:ascii="Verdana" w:eastAsiaTheme="minorEastAsia" w:hAnsi="Verdana"/>
          <w:sz w:val="18"/>
          <w:szCs w:val="18"/>
        </w:rPr>
      </w:pPr>
    </w:p>
    <w:p w:rsidR="00321CE1" w:rsidRPr="004D4637" w:rsidRDefault="00321CE1" w:rsidP="00321CE1">
      <w:pPr>
        <w:ind w:left="360"/>
        <w:rPr>
          <w:rFonts w:ascii="Verdana" w:hAnsi="Verdana"/>
          <w:sz w:val="18"/>
          <w:szCs w:val="18"/>
        </w:rPr>
      </w:pPr>
      <w:r w:rsidRPr="004D4637">
        <w:rPr>
          <w:rFonts w:ascii="Verdana" w:eastAsiaTheme="minorEastAsia" w:hAnsi="Verdana"/>
          <w:sz w:val="18"/>
          <w:szCs w:val="18"/>
        </w:rPr>
        <w:t xml:space="preserve">Voor een </w:t>
      </w:r>
      <w:r>
        <w:rPr>
          <w:rFonts w:ascii="Verdana" w:eastAsiaTheme="minorEastAsia" w:hAnsi="Verdana"/>
          <w:sz w:val="18"/>
          <w:szCs w:val="18"/>
        </w:rPr>
        <w:t xml:space="preserve">verdere </w:t>
      </w:r>
      <w:r w:rsidRPr="004D4637">
        <w:rPr>
          <w:rFonts w:ascii="Verdana" w:eastAsiaTheme="minorEastAsia" w:hAnsi="Verdana"/>
          <w:sz w:val="18"/>
          <w:szCs w:val="18"/>
        </w:rPr>
        <w:t xml:space="preserve">toelichting op de diverse mutaties wordt verwezen naar de begrotingsartikelen op de </w:t>
      </w:r>
      <w:r>
        <w:rPr>
          <w:rFonts w:ascii="Verdana" w:eastAsiaTheme="minorEastAsia" w:hAnsi="Verdana"/>
          <w:sz w:val="18"/>
          <w:szCs w:val="18"/>
        </w:rPr>
        <w:t xml:space="preserve">respectievelijke </w:t>
      </w:r>
      <w:r w:rsidRPr="004D4637">
        <w:rPr>
          <w:rFonts w:ascii="Verdana" w:eastAsiaTheme="minorEastAsia" w:hAnsi="Verdana"/>
          <w:sz w:val="18"/>
          <w:szCs w:val="18"/>
        </w:rPr>
        <w:t>suppletoire begrotingen</w:t>
      </w:r>
      <w:r>
        <w:rPr>
          <w:rFonts w:ascii="Verdana" w:eastAsiaTheme="minorEastAsia" w:hAnsi="Verdana"/>
          <w:sz w:val="18"/>
          <w:szCs w:val="18"/>
        </w:rPr>
        <w:t>.</w:t>
      </w:r>
    </w:p>
    <w:p w:rsidR="00321CE1" w:rsidRDefault="00321CE1" w:rsidP="00321CE1">
      <w:pPr>
        <w:rPr>
          <w:rFonts w:ascii="Verdana" w:hAnsi="Verdana"/>
          <w:b/>
          <w:sz w:val="18"/>
          <w:szCs w:val="18"/>
        </w:rPr>
      </w:pPr>
    </w:p>
    <w:p w:rsidR="00321CE1" w:rsidRDefault="00321CE1" w:rsidP="00321CE1">
      <w:pPr>
        <w:rPr>
          <w:rFonts w:ascii="Verdana" w:hAnsi="Verdana"/>
          <w:b/>
          <w:sz w:val="18"/>
          <w:szCs w:val="18"/>
        </w:rPr>
      </w:pPr>
    </w:p>
    <w:p w:rsidR="00321CE1" w:rsidRDefault="00321CE1" w:rsidP="00321CE1">
      <w:pPr>
        <w:rPr>
          <w:rFonts w:ascii="Verdana" w:hAnsi="Verdana"/>
          <w:b/>
          <w:sz w:val="18"/>
          <w:szCs w:val="18"/>
        </w:rPr>
      </w:pPr>
      <w:r w:rsidRPr="00742388">
        <w:rPr>
          <w:rFonts w:ascii="Verdana" w:hAnsi="Verdana"/>
          <w:b/>
          <w:sz w:val="18"/>
          <w:szCs w:val="18"/>
        </w:rPr>
        <w:t xml:space="preserve">Toelichting </w:t>
      </w:r>
      <w:r>
        <w:rPr>
          <w:rFonts w:ascii="Verdana" w:hAnsi="Verdana"/>
          <w:b/>
          <w:sz w:val="18"/>
          <w:szCs w:val="18"/>
        </w:rPr>
        <w:t>ontvangsten</w:t>
      </w:r>
      <w:r w:rsidRPr="00742388">
        <w:rPr>
          <w:rFonts w:ascii="Verdana" w:hAnsi="Verdana"/>
          <w:b/>
          <w:sz w:val="18"/>
          <w:szCs w:val="18"/>
        </w:rPr>
        <w:t>:</w:t>
      </w:r>
    </w:p>
    <w:p w:rsidR="00321CE1" w:rsidRDefault="00321CE1" w:rsidP="00321CE1">
      <w:pPr>
        <w:rPr>
          <w:rFonts w:ascii="Verdana" w:hAnsi="Verdana"/>
          <w:b/>
          <w:sz w:val="18"/>
          <w:szCs w:val="18"/>
        </w:rPr>
      </w:pPr>
    </w:p>
    <w:p w:rsidR="00321CE1" w:rsidRDefault="00321CE1" w:rsidP="00321CE1">
      <w:pPr>
        <w:rPr>
          <w:rFonts w:ascii="Verdana" w:hAnsi="Verdana"/>
          <w:sz w:val="18"/>
          <w:szCs w:val="18"/>
        </w:rPr>
      </w:pPr>
      <w:r>
        <w:rPr>
          <w:rFonts w:ascii="Verdana" w:hAnsi="Verdana"/>
          <w:sz w:val="18"/>
          <w:szCs w:val="18"/>
        </w:rPr>
        <w:t xml:space="preserve">De ontvangsten binnen de HGIS nemen toe met EUR 46,9 miljoen. Op diverse onderdelen van de begroting zijn mutaties opgenomen. Een deel van deze mutaties wordt ingezet om de uitgaven van het HGIS-kader op diverse begrotingen te verhogen. </w:t>
      </w:r>
    </w:p>
    <w:p w:rsidR="00321CE1" w:rsidRDefault="00321CE1" w:rsidP="00321CE1">
      <w:pPr>
        <w:rPr>
          <w:rFonts w:ascii="Verdana" w:hAnsi="Verdana"/>
          <w:sz w:val="18"/>
          <w:szCs w:val="18"/>
        </w:rPr>
      </w:pPr>
    </w:p>
    <w:p w:rsidR="00321CE1" w:rsidRDefault="00321CE1" w:rsidP="00321CE1">
      <w:pPr>
        <w:rPr>
          <w:rFonts w:ascii="Verdana" w:hAnsi="Verdana"/>
          <w:b/>
          <w:sz w:val="18"/>
          <w:szCs w:val="18"/>
        </w:rPr>
      </w:pPr>
      <w:r>
        <w:rPr>
          <w:rFonts w:ascii="Verdana" w:hAnsi="Verdana"/>
          <w:sz w:val="18"/>
          <w:szCs w:val="18"/>
          <w:lang w:eastAsia="nl-NL"/>
        </w:rPr>
        <w:t xml:space="preserve">Bij Buitenlandse Zaken betreft het hogere consulaire opbrengsten, een restitutie op een eerder betaalde bijdrage voor de </w:t>
      </w:r>
      <w:proofErr w:type="spellStart"/>
      <w:r>
        <w:rPr>
          <w:rFonts w:ascii="Verdana" w:hAnsi="Verdana"/>
          <w:sz w:val="18"/>
          <w:szCs w:val="18"/>
          <w:lang w:eastAsia="nl-NL"/>
        </w:rPr>
        <w:t>wederoplevering</w:t>
      </w:r>
      <w:proofErr w:type="spellEnd"/>
      <w:r>
        <w:rPr>
          <w:rFonts w:ascii="Verdana" w:hAnsi="Verdana"/>
          <w:sz w:val="18"/>
          <w:szCs w:val="18"/>
          <w:lang w:eastAsia="nl-NL"/>
        </w:rPr>
        <w:t xml:space="preserve"> van het ICC-gebouw en de verkoop van panden in het buitenland. Op de begroting van Veiligheid en Justitie nemen de ontvangsten toe door een restitutie op de nieuwbouw van </w:t>
      </w:r>
      <w:proofErr w:type="spellStart"/>
      <w:r>
        <w:rPr>
          <w:rFonts w:ascii="Verdana" w:hAnsi="Verdana"/>
          <w:sz w:val="18"/>
          <w:szCs w:val="18"/>
          <w:lang w:eastAsia="nl-NL"/>
        </w:rPr>
        <w:t>Eurojust</w:t>
      </w:r>
      <w:proofErr w:type="spellEnd"/>
      <w:r>
        <w:rPr>
          <w:rFonts w:ascii="Verdana" w:hAnsi="Verdana"/>
          <w:sz w:val="18"/>
          <w:szCs w:val="18"/>
          <w:lang w:eastAsia="nl-NL"/>
        </w:rPr>
        <w:t xml:space="preserve">. Binnen het ministerie van Defensie zijn ontvangsten opgenomen die verband houden met de MINUSMA missie in Mali waarvoor vanuit de VN een vergoeding wordt betaald. Op de begroting van het ministerie van Financiën </w:t>
      </w:r>
      <w:r w:rsidRPr="00997021">
        <w:rPr>
          <w:rFonts w:ascii="Verdana" w:hAnsi="Verdana"/>
          <w:sz w:val="18"/>
          <w:szCs w:val="18"/>
          <w:lang w:eastAsia="nl-NL"/>
        </w:rPr>
        <w:t xml:space="preserve">stijgen </w:t>
      </w:r>
      <w:r>
        <w:rPr>
          <w:rFonts w:ascii="Verdana" w:hAnsi="Verdana"/>
          <w:sz w:val="18"/>
          <w:szCs w:val="18"/>
          <w:lang w:eastAsia="nl-NL"/>
        </w:rPr>
        <w:t xml:space="preserve">de ontvangsten </w:t>
      </w:r>
      <w:r w:rsidRPr="00997021">
        <w:rPr>
          <w:rFonts w:ascii="Verdana" w:hAnsi="Verdana"/>
          <w:sz w:val="18"/>
          <w:szCs w:val="18"/>
          <w:lang w:eastAsia="nl-NL"/>
        </w:rPr>
        <w:t xml:space="preserve">vanwege een aantal restituties door internationale financiële instellingen </w:t>
      </w:r>
      <w:r>
        <w:rPr>
          <w:rFonts w:ascii="Verdana" w:hAnsi="Verdana"/>
          <w:sz w:val="18"/>
          <w:szCs w:val="18"/>
          <w:lang w:eastAsia="nl-NL"/>
        </w:rPr>
        <w:t>en ten slotte zijn op de begroting van Buitenlandse Handel en Ontwikkelingssamenwerking middelen opgenomen uit de begrotingsreserve voor de Faciliteit Opkomende Markten (FOM).</w:t>
      </w:r>
      <w:r>
        <w:rPr>
          <w:rFonts w:ascii="Verdana" w:hAnsi="Verdana"/>
          <w:b/>
          <w:sz w:val="18"/>
          <w:szCs w:val="18"/>
        </w:rPr>
        <w:br w:type="page"/>
      </w:r>
    </w:p>
    <w:p w:rsidR="00321CE1" w:rsidRPr="00450960" w:rsidRDefault="00321CE1" w:rsidP="00321CE1">
      <w:pPr>
        <w:rPr>
          <w:rFonts w:ascii="Verdana" w:hAnsi="Verdana"/>
          <w:sz w:val="18"/>
          <w:szCs w:val="18"/>
        </w:rPr>
      </w:pPr>
    </w:p>
    <w:p w:rsidR="00321CE1" w:rsidRPr="004B5774" w:rsidRDefault="00321CE1" w:rsidP="00321CE1">
      <w:pPr>
        <w:pStyle w:val="Lijstalinea"/>
        <w:numPr>
          <w:ilvl w:val="0"/>
          <w:numId w:val="2"/>
        </w:numPr>
        <w:autoSpaceDE w:val="0"/>
        <w:autoSpaceDN w:val="0"/>
        <w:adjustRightInd w:val="0"/>
        <w:rPr>
          <w:rFonts w:ascii="Verdana" w:hAnsi="Verdana"/>
          <w:b/>
          <w:sz w:val="18"/>
          <w:szCs w:val="18"/>
        </w:rPr>
      </w:pPr>
      <w:r w:rsidRPr="004B5774">
        <w:rPr>
          <w:rFonts w:ascii="Verdana" w:hAnsi="Verdana"/>
          <w:b/>
          <w:sz w:val="18"/>
          <w:szCs w:val="18"/>
        </w:rPr>
        <w:t>Overzicht belangrijkste suppletoire uitgavenmutaties 201</w:t>
      </w:r>
      <w:r>
        <w:rPr>
          <w:rFonts w:ascii="Verdana" w:hAnsi="Verdana"/>
          <w:b/>
          <w:sz w:val="18"/>
          <w:szCs w:val="18"/>
        </w:rPr>
        <w:t>5</w:t>
      </w:r>
    </w:p>
    <w:p w:rsidR="00321CE1" w:rsidRDefault="00321CE1" w:rsidP="00321CE1">
      <w:pPr>
        <w:autoSpaceDE w:val="0"/>
        <w:autoSpaceDN w:val="0"/>
        <w:adjustRightInd w:val="0"/>
        <w:rPr>
          <w:rFonts w:ascii="Verdana" w:hAnsi="Verdana" w:cs="Courier New"/>
          <w:sz w:val="18"/>
          <w:szCs w:val="18"/>
        </w:rPr>
      </w:pPr>
    </w:p>
    <w:p w:rsidR="00321CE1" w:rsidRPr="00E87C6D" w:rsidRDefault="00321CE1" w:rsidP="00321CE1">
      <w:pPr>
        <w:pStyle w:val="Plattetekst2"/>
        <w:tabs>
          <w:tab w:val="left" w:pos="709"/>
        </w:tabs>
        <w:outlineLvl w:val="0"/>
        <w:rPr>
          <w:rFonts w:ascii="Verdana" w:hAnsi="Verdana"/>
          <w:b/>
          <w:iCs/>
          <w:sz w:val="18"/>
          <w:szCs w:val="18"/>
        </w:rPr>
      </w:pPr>
      <w:r w:rsidRPr="00E87C6D">
        <w:rPr>
          <w:rFonts w:ascii="Verdana" w:hAnsi="Verdana"/>
          <w:b/>
          <w:iCs/>
          <w:sz w:val="18"/>
          <w:szCs w:val="18"/>
        </w:rPr>
        <w:t xml:space="preserve">Buitenlandse Zaken (V): </w:t>
      </w:r>
    </w:p>
    <w:p w:rsidR="00321CE1" w:rsidRDefault="00321CE1" w:rsidP="00321CE1">
      <w:pPr>
        <w:pStyle w:val="Plattetekst2"/>
        <w:tabs>
          <w:tab w:val="left" w:pos="709"/>
        </w:tabs>
        <w:outlineLvl w:val="0"/>
        <w:rPr>
          <w:rFonts w:ascii="Verdana" w:hAnsi="Verdana"/>
          <w:iCs/>
          <w:sz w:val="18"/>
          <w:szCs w:val="18"/>
        </w:rPr>
      </w:pPr>
      <w:r w:rsidRPr="00FB4EC8">
        <w:rPr>
          <w:rFonts w:ascii="Verdana" w:hAnsi="Verdana"/>
          <w:iCs/>
          <w:sz w:val="18"/>
          <w:szCs w:val="18"/>
        </w:rPr>
        <w:t>Het voorstel is de uitgaven voor 201</w:t>
      </w:r>
      <w:r>
        <w:rPr>
          <w:rFonts w:ascii="Verdana" w:hAnsi="Verdana"/>
          <w:iCs/>
          <w:sz w:val="18"/>
          <w:szCs w:val="18"/>
        </w:rPr>
        <w:t>5</w:t>
      </w:r>
      <w:r w:rsidRPr="00FB4EC8">
        <w:rPr>
          <w:rFonts w:ascii="Verdana" w:hAnsi="Verdana"/>
          <w:iCs/>
          <w:sz w:val="18"/>
          <w:szCs w:val="18"/>
        </w:rPr>
        <w:t xml:space="preserve"> te </w:t>
      </w:r>
      <w:r>
        <w:rPr>
          <w:rFonts w:ascii="Verdana" w:hAnsi="Verdana"/>
          <w:iCs/>
          <w:sz w:val="18"/>
          <w:szCs w:val="18"/>
        </w:rPr>
        <w:t xml:space="preserve">verhogen </w:t>
      </w:r>
      <w:r w:rsidRPr="00FB4EC8">
        <w:rPr>
          <w:rFonts w:ascii="Verdana" w:hAnsi="Verdana"/>
          <w:iCs/>
          <w:sz w:val="18"/>
          <w:szCs w:val="18"/>
        </w:rPr>
        <w:t xml:space="preserve">met EUR </w:t>
      </w:r>
      <w:r>
        <w:rPr>
          <w:rFonts w:ascii="Verdana" w:hAnsi="Verdana"/>
          <w:iCs/>
          <w:sz w:val="18"/>
          <w:szCs w:val="18"/>
        </w:rPr>
        <w:t>1,03 miljard</w:t>
      </w:r>
      <w:r w:rsidRPr="00FB4EC8">
        <w:rPr>
          <w:rFonts w:ascii="Verdana" w:hAnsi="Verdana"/>
          <w:iCs/>
          <w:sz w:val="18"/>
          <w:szCs w:val="18"/>
        </w:rPr>
        <w:t xml:space="preserve">. De belangrijkste reden </w:t>
      </w:r>
      <w:r>
        <w:rPr>
          <w:rFonts w:ascii="Verdana" w:hAnsi="Verdana"/>
          <w:iCs/>
          <w:sz w:val="18"/>
          <w:szCs w:val="18"/>
        </w:rPr>
        <w:t xml:space="preserve">hiervoor is een verhoging van de EU-afdracht. Hier staat tegenover dat </w:t>
      </w:r>
      <w:r w:rsidRPr="00EC2C6F">
        <w:rPr>
          <w:rFonts w:ascii="Verdana" w:hAnsi="Verdana"/>
          <w:iCs/>
          <w:sz w:val="18"/>
          <w:szCs w:val="18"/>
        </w:rPr>
        <w:t>een deel van de afdrachten aan VN-crisisbeheersingsoperaties</w:t>
      </w:r>
      <w:r>
        <w:rPr>
          <w:rFonts w:ascii="Verdana" w:hAnsi="Verdana"/>
          <w:iCs/>
          <w:sz w:val="18"/>
          <w:szCs w:val="18"/>
        </w:rPr>
        <w:t xml:space="preserve"> zijn vertraagd en de </w:t>
      </w:r>
      <w:r w:rsidRPr="00EC2C6F">
        <w:rPr>
          <w:rFonts w:ascii="Verdana" w:hAnsi="Verdana"/>
          <w:iCs/>
          <w:sz w:val="18"/>
          <w:szCs w:val="18"/>
        </w:rPr>
        <w:t>apparaatsuitgaven</w:t>
      </w:r>
      <w:r>
        <w:rPr>
          <w:rFonts w:ascii="Verdana" w:hAnsi="Verdana"/>
          <w:iCs/>
          <w:sz w:val="18"/>
          <w:szCs w:val="18"/>
        </w:rPr>
        <w:t xml:space="preserve"> afnemen. </w:t>
      </w:r>
    </w:p>
    <w:p w:rsidR="00321CE1" w:rsidRDefault="00321CE1" w:rsidP="00321CE1">
      <w:pPr>
        <w:autoSpaceDE w:val="0"/>
        <w:autoSpaceDN w:val="0"/>
        <w:adjustRightInd w:val="0"/>
        <w:rPr>
          <w:rFonts w:ascii="Verdana" w:hAnsi="Verdana"/>
          <w:sz w:val="18"/>
          <w:szCs w:val="18"/>
        </w:rPr>
      </w:pPr>
    </w:p>
    <w:p w:rsidR="00321CE1" w:rsidRDefault="00321CE1" w:rsidP="00321CE1">
      <w:pPr>
        <w:autoSpaceDE w:val="0"/>
        <w:autoSpaceDN w:val="0"/>
        <w:adjustRightInd w:val="0"/>
        <w:rPr>
          <w:rFonts w:ascii="Verdana" w:hAnsi="Verdana"/>
          <w:sz w:val="18"/>
          <w:szCs w:val="18"/>
        </w:rPr>
      </w:pPr>
      <w:r w:rsidRPr="00EF730F">
        <w:rPr>
          <w:rFonts w:ascii="Verdana" w:hAnsi="Verdana"/>
          <w:sz w:val="18"/>
          <w:szCs w:val="18"/>
        </w:rPr>
        <w:t xml:space="preserve">In de volgende tabel volgt een overzicht van </w:t>
      </w:r>
      <w:r>
        <w:rPr>
          <w:rFonts w:ascii="Verdana" w:hAnsi="Verdana"/>
          <w:sz w:val="18"/>
          <w:szCs w:val="18"/>
        </w:rPr>
        <w:t>de meest in het oog springende</w:t>
      </w:r>
      <w:r w:rsidRPr="00EF730F">
        <w:rPr>
          <w:rFonts w:ascii="Verdana" w:hAnsi="Verdana"/>
          <w:sz w:val="18"/>
          <w:szCs w:val="18"/>
        </w:rPr>
        <w:t xml:space="preserve"> wijziging</w:t>
      </w:r>
      <w:r>
        <w:rPr>
          <w:rFonts w:ascii="Verdana" w:hAnsi="Verdana"/>
          <w:sz w:val="18"/>
          <w:szCs w:val="18"/>
        </w:rPr>
        <w:t>en</w:t>
      </w:r>
      <w:r w:rsidRPr="00EF730F">
        <w:rPr>
          <w:rFonts w:ascii="Verdana" w:hAnsi="Verdana"/>
          <w:sz w:val="18"/>
          <w:szCs w:val="18"/>
        </w:rPr>
        <w:t xml:space="preserve"> ten opzichte van de </w:t>
      </w:r>
      <w:r>
        <w:rPr>
          <w:rFonts w:ascii="Verdana" w:hAnsi="Verdana"/>
          <w:sz w:val="18"/>
          <w:szCs w:val="18"/>
        </w:rPr>
        <w:t>eerste suppletoire begroting</w:t>
      </w:r>
      <w:r w:rsidRPr="00EF730F">
        <w:rPr>
          <w:rFonts w:ascii="Verdana" w:hAnsi="Verdana"/>
          <w:sz w:val="18"/>
          <w:szCs w:val="18"/>
        </w:rPr>
        <w:t xml:space="preserve"> van het Ministerie van Buitenlandse Zaken</w:t>
      </w:r>
      <w:r>
        <w:rPr>
          <w:rFonts w:ascii="Verdana" w:hAnsi="Verdana"/>
          <w:sz w:val="18"/>
          <w:szCs w:val="18"/>
        </w:rPr>
        <w:t xml:space="preserve"> (V)</w:t>
      </w:r>
      <w:r w:rsidRPr="00EF730F">
        <w:rPr>
          <w:rFonts w:ascii="Verdana" w:hAnsi="Verdana"/>
          <w:sz w:val="18"/>
          <w:szCs w:val="18"/>
        </w:rPr>
        <w:t>, gevolgd door een toelichting. Alleen de mutaties die te maken hebben met beleidsmatige wijzigingen zijn in het overzicht opgenomen</w:t>
      </w:r>
      <w:r>
        <w:rPr>
          <w:rFonts w:ascii="Verdana" w:hAnsi="Verdana"/>
          <w:sz w:val="18"/>
          <w:szCs w:val="18"/>
        </w:rPr>
        <w:t>.</w:t>
      </w:r>
    </w:p>
    <w:p w:rsidR="00321CE1" w:rsidRDefault="00321CE1" w:rsidP="00321CE1">
      <w:pPr>
        <w:rPr>
          <w:rFonts w:ascii="Verdana" w:hAnsi="Verdana"/>
          <w:sz w:val="18"/>
          <w:szCs w:val="18"/>
        </w:rPr>
      </w:pPr>
    </w:p>
    <w:p w:rsidR="00321CE1" w:rsidRPr="00A05F84" w:rsidRDefault="00321CE1" w:rsidP="00321CE1">
      <w:pPr>
        <w:rPr>
          <w:rFonts w:ascii="Verdana" w:hAnsi="Verdana"/>
          <w:sz w:val="16"/>
          <w:szCs w:val="16"/>
        </w:rPr>
      </w:pPr>
      <w:r w:rsidRPr="00A05F84">
        <w:rPr>
          <w:rFonts w:ascii="Verdana" w:hAnsi="Verdana"/>
          <w:sz w:val="16"/>
          <w:szCs w:val="16"/>
        </w:rPr>
        <w:t>Bedragen x EUR 1 miljoen</w:t>
      </w:r>
    </w:p>
    <w:tbl>
      <w:tblPr>
        <w:tblW w:w="79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9"/>
        <w:gridCol w:w="5591"/>
        <w:gridCol w:w="1204"/>
      </w:tblGrid>
      <w:tr w:rsidR="00321CE1" w:rsidRPr="00EF730F" w:rsidTr="00802F80">
        <w:trPr>
          <w:trHeight w:val="255"/>
        </w:trPr>
        <w:tc>
          <w:tcPr>
            <w:tcW w:w="1149" w:type="dxa"/>
            <w:noWrap/>
            <w:vAlign w:val="bottom"/>
          </w:tcPr>
          <w:p w:rsidR="00321CE1" w:rsidRPr="00EF730F" w:rsidRDefault="00321CE1" w:rsidP="00802F80">
            <w:pPr>
              <w:rPr>
                <w:rFonts w:ascii="Verdana" w:hAnsi="Verdana" w:cs="Arial"/>
                <w:b/>
                <w:bCs/>
                <w:sz w:val="18"/>
                <w:szCs w:val="18"/>
              </w:rPr>
            </w:pPr>
            <w:bookmarkStart w:id="1" w:name="RANGE!A1:C13"/>
            <w:bookmarkEnd w:id="1"/>
            <w:r w:rsidRPr="00EF730F">
              <w:rPr>
                <w:rFonts w:ascii="Verdana" w:hAnsi="Verdana" w:cs="Arial"/>
                <w:b/>
                <w:bCs/>
                <w:sz w:val="18"/>
                <w:szCs w:val="18"/>
              </w:rPr>
              <w:t>Artikel</w:t>
            </w:r>
          </w:p>
        </w:tc>
        <w:tc>
          <w:tcPr>
            <w:tcW w:w="5591" w:type="dxa"/>
            <w:noWrap/>
            <w:vAlign w:val="bottom"/>
          </w:tcPr>
          <w:p w:rsidR="00321CE1" w:rsidRPr="00EF730F" w:rsidRDefault="00321CE1" w:rsidP="00802F80">
            <w:pPr>
              <w:rPr>
                <w:rFonts w:ascii="Verdana" w:hAnsi="Verdana" w:cs="Arial"/>
                <w:sz w:val="18"/>
                <w:szCs w:val="18"/>
              </w:rPr>
            </w:pPr>
            <w:r w:rsidRPr="00EF730F">
              <w:rPr>
                <w:rFonts w:ascii="Verdana" w:hAnsi="Verdana" w:cs="Arial"/>
                <w:sz w:val="18"/>
                <w:szCs w:val="18"/>
              </w:rPr>
              <w:t> </w:t>
            </w:r>
          </w:p>
        </w:tc>
        <w:tc>
          <w:tcPr>
            <w:tcW w:w="1204" w:type="dxa"/>
            <w:noWrap/>
            <w:vAlign w:val="bottom"/>
          </w:tcPr>
          <w:p w:rsidR="00321CE1" w:rsidRPr="00EF730F" w:rsidRDefault="00321CE1" w:rsidP="00802F80">
            <w:pPr>
              <w:rPr>
                <w:rFonts w:ascii="Verdana" w:hAnsi="Verdana" w:cs="Arial"/>
                <w:b/>
                <w:bCs/>
                <w:sz w:val="18"/>
                <w:szCs w:val="18"/>
              </w:rPr>
            </w:pPr>
            <w:r w:rsidRPr="00EF730F">
              <w:rPr>
                <w:rFonts w:ascii="Verdana" w:hAnsi="Verdana" w:cs="Arial"/>
                <w:b/>
                <w:bCs/>
                <w:sz w:val="18"/>
                <w:szCs w:val="18"/>
              </w:rPr>
              <w:t>Mutatie</w:t>
            </w:r>
          </w:p>
        </w:tc>
      </w:tr>
      <w:tr w:rsidR="00321CE1" w:rsidRPr="00EF730F" w:rsidTr="00802F80">
        <w:trPr>
          <w:trHeight w:val="255"/>
        </w:trPr>
        <w:tc>
          <w:tcPr>
            <w:tcW w:w="1149" w:type="dxa"/>
            <w:noWrap/>
            <w:vAlign w:val="bottom"/>
          </w:tcPr>
          <w:p w:rsidR="00321CE1" w:rsidRDefault="00321CE1" w:rsidP="00802F80">
            <w:pPr>
              <w:jc w:val="right"/>
              <w:rPr>
                <w:rFonts w:ascii="Verdana" w:hAnsi="Verdana" w:cs="Arial"/>
                <w:sz w:val="18"/>
                <w:szCs w:val="18"/>
              </w:rPr>
            </w:pPr>
            <w:r>
              <w:rPr>
                <w:rFonts w:ascii="Verdana" w:hAnsi="Verdana" w:cs="Arial"/>
                <w:sz w:val="18"/>
                <w:szCs w:val="18"/>
              </w:rPr>
              <w:t>2.4</w:t>
            </w:r>
          </w:p>
        </w:tc>
        <w:tc>
          <w:tcPr>
            <w:tcW w:w="5591" w:type="dxa"/>
            <w:noWrap/>
            <w:vAlign w:val="bottom"/>
          </w:tcPr>
          <w:p w:rsidR="00321CE1" w:rsidRDefault="00321CE1" w:rsidP="00802F80">
            <w:pPr>
              <w:rPr>
                <w:rFonts w:ascii="Verdana" w:hAnsi="Verdana" w:cs="Arial"/>
                <w:sz w:val="18"/>
                <w:szCs w:val="18"/>
              </w:rPr>
            </w:pPr>
            <w:r>
              <w:rPr>
                <w:rFonts w:ascii="Verdana" w:hAnsi="Verdana" w:cs="Arial"/>
                <w:sz w:val="18"/>
                <w:szCs w:val="18"/>
              </w:rPr>
              <w:t xml:space="preserve">Veiligheid en stabiliteit </w:t>
            </w:r>
          </w:p>
        </w:tc>
        <w:tc>
          <w:tcPr>
            <w:tcW w:w="1204" w:type="dxa"/>
            <w:noWrap/>
            <w:vAlign w:val="bottom"/>
          </w:tcPr>
          <w:p w:rsidR="00321CE1" w:rsidRDefault="00321CE1" w:rsidP="00802F80">
            <w:pPr>
              <w:ind w:left="360"/>
              <w:jc w:val="right"/>
              <w:rPr>
                <w:rFonts w:ascii="Verdana" w:hAnsi="Verdana" w:cs="Arial"/>
                <w:sz w:val="18"/>
                <w:szCs w:val="18"/>
              </w:rPr>
            </w:pPr>
            <w:r>
              <w:rPr>
                <w:rFonts w:ascii="Verdana" w:hAnsi="Verdana" w:cs="Arial"/>
                <w:sz w:val="18"/>
                <w:szCs w:val="18"/>
              </w:rPr>
              <w:t>-27,6</w:t>
            </w:r>
          </w:p>
        </w:tc>
      </w:tr>
      <w:tr w:rsidR="00321CE1" w:rsidRPr="00EF730F" w:rsidTr="00802F80">
        <w:trPr>
          <w:trHeight w:val="255"/>
        </w:trPr>
        <w:tc>
          <w:tcPr>
            <w:tcW w:w="1149" w:type="dxa"/>
            <w:noWrap/>
            <w:vAlign w:val="bottom"/>
          </w:tcPr>
          <w:p w:rsidR="00321CE1" w:rsidRPr="00EF730F" w:rsidRDefault="00321CE1" w:rsidP="00802F80">
            <w:pPr>
              <w:jc w:val="right"/>
              <w:rPr>
                <w:rFonts w:ascii="Verdana" w:hAnsi="Verdana" w:cs="Arial"/>
                <w:sz w:val="18"/>
                <w:szCs w:val="18"/>
              </w:rPr>
            </w:pPr>
            <w:r>
              <w:rPr>
                <w:rFonts w:ascii="Verdana" w:hAnsi="Verdana" w:cs="Arial"/>
                <w:sz w:val="18"/>
                <w:szCs w:val="18"/>
              </w:rPr>
              <w:t>3.1</w:t>
            </w:r>
          </w:p>
        </w:tc>
        <w:tc>
          <w:tcPr>
            <w:tcW w:w="5591" w:type="dxa"/>
            <w:noWrap/>
            <w:vAlign w:val="bottom"/>
          </w:tcPr>
          <w:p w:rsidR="00321CE1" w:rsidRPr="00EF730F" w:rsidRDefault="00321CE1" w:rsidP="00802F80">
            <w:pPr>
              <w:rPr>
                <w:rFonts w:ascii="Verdana" w:hAnsi="Verdana" w:cs="Arial"/>
                <w:sz w:val="18"/>
                <w:szCs w:val="18"/>
              </w:rPr>
            </w:pPr>
            <w:r>
              <w:rPr>
                <w:rFonts w:ascii="Verdana" w:hAnsi="Verdana" w:cs="Arial"/>
                <w:sz w:val="18"/>
                <w:szCs w:val="18"/>
              </w:rPr>
              <w:t>Afdracht Europese Unie</w:t>
            </w:r>
          </w:p>
        </w:tc>
        <w:tc>
          <w:tcPr>
            <w:tcW w:w="1204" w:type="dxa"/>
            <w:noWrap/>
            <w:vAlign w:val="bottom"/>
          </w:tcPr>
          <w:p w:rsidR="00321CE1" w:rsidRPr="00A277C2" w:rsidRDefault="00321CE1" w:rsidP="00802F80">
            <w:pPr>
              <w:ind w:left="360"/>
              <w:jc w:val="right"/>
              <w:rPr>
                <w:rFonts w:ascii="Verdana" w:hAnsi="Verdana" w:cs="Arial"/>
                <w:sz w:val="18"/>
                <w:szCs w:val="18"/>
              </w:rPr>
            </w:pPr>
            <w:r>
              <w:rPr>
                <w:rFonts w:ascii="Verdana" w:hAnsi="Verdana" w:cs="Arial"/>
                <w:sz w:val="18"/>
                <w:szCs w:val="18"/>
              </w:rPr>
              <w:t>1.066,1</w:t>
            </w:r>
          </w:p>
        </w:tc>
      </w:tr>
    </w:tbl>
    <w:p w:rsidR="00321CE1" w:rsidRDefault="00321CE1" w:rsidP="00321CE1">
      <w:pPr>
        <w:pStyle w:val="Plattetekst2"/>
        <w:tabs>
          <w:tab w:val="left" w:pos="709"/>
        </w:tabs>
        <w:outlineLvl w:val="0"/>
        <w:rPr>
          <w:rFonts w:ascii="Verdana" w:hAnsi="Verdana"/>
          <w:b/>
          <w:sz w:val="18"/>
          <w:szCs w:val="18"/>
        </w:rPr>
      </w:pPr>
    </w:p>
    <w:p w:rsidR="00321CE1" w:rsidRDefault="00321CE1" w:rsidP="00321CE1">
      <w:pPr>
        <w:pStyle w:val="Plattetekst2"/>
        <w:tabs>
          <w:tab w:val="left" w:pos="709"/>
        </w:tabs>
        <w:outlineLvl w:val="0"/>
        <w:rPr>
          <w:rFonts w:ascii="Verdana" w:hAnsi="Verdana"/>
          <w:b/>
          <w:sz w:val="18"/>
          <w:szCs w:val="18"/>
        </w:rPr>
      </w:pPr>
      <w:r>
        <w:rPr>
          <w:rFonts w:ascii="Verdana" w:hAnsi="Verdana"/>
          <w:b/>
          <w:sz w:val="18"/>
          <w:szCs w:val="18"/>
        </w:rPr>
        <w:t>Toelichting</w:t>
      </w:r>
    </w:p>
    <w:p w:rsidR="00321CE1" w:rsidRDefault="00321CE1" w:rsidP="00321CE1">
      <w:pPr>
        <w:pStyle w:val="Default"/>
        <w:rPr>
          <w:sz w:val="18"/>
          <w:szCs w:val="18"/>
        </w:rPr>
      </w:pPr>
    </w:p>
    <w:p w:rsidR="00321CE1" w:rsidRDefault="00321CE1" w:rsidP="00321CE1">
      <w:pPr>
        <w:pStyle w:val="Default"/>
        <w:rPr>
          <w:sz w:val="18"/>
          <w:szCs w:val="18"/>
        </w:rPr>
      </w:pPr>
      <w:r>
        <w:rPr>
          <w:sz w:val="18"/>
          <w:szCs w:val="18"/>
        </w:rPr>
        <w:t>Artikel 2.4</w:t>
      </w:r>
    </w:p>
    <w:p w:rsidR="00321CE1" w:rsidRPr="00937217" w:rsidRDefault="00321CE1" w:rsidP="00321CE1">
      <w:pPr>
        <w:rPr>
          <w:rFonts w:ascii="Verdana" w:hAnsi="Verdana"/>
          <w:sz w:val="18"/>
          <w:szCs w:val="18"/>
        </w:rPr>
      </w:pPr>
      <w:r w:rsidRPr="00937217">
        <w:rPr>
          <w:rFonts w:ascii="Verdana" w:hAnsi="Verdana"/>
          <w:sz w:val="18"/>
          <w:szCs w:val="18"/>
        </w:rPr>
        <w:t xml:space="preserve">De verlaging van het budget voor bevordering van veiligheid, stabiliteit en rechtsorde in internationaal verband is het gevolg van een vertraging van de betaling van een deel van de Nederlandse contributie aan VN-crisisbeheersingsoperaties. Deze uitgaven vinden plaats na afroep door de VN en zijn gebaseerd op de kosten van de verschillende operaties, de geldende afspraken over het Nederlandse aandeel in de totale kosten, en de liquiditeitsbehoefte in dit specifieke jaar. </w:t>
      </w:r>
    </w:p>
    <w:p w:rsidR="00321CE1" w:rsidRDefault="00321CE1" w:rsidP="00321CE1">
      <w:pPr>
        <w:pStyle w:val="Default"/>
        <w:rPr>
          <w:sz w:val="18"/>
          <w:szCs w:val="18"/>
        </w:rPr>
      </w:pPr>
    </w:p>
    <w:p w:rsidR="00321CE1" w:rsidRDefault="00321CE1" w:rsidP="00321CE1">
      <w:r>
        <w:rPr>
          <w:rFonts w:ascii="Verdana" w:hAnsi="Verdana" w:cs="Courier New"/>
          <w:b/>
          <w:sz w:val="18"/>
          <w:szCs w:val="18"/>
        </w:rPr>
        <w:t>Artikel 3.1</w:t>
      </w:r>
      <w:r>
        <w:rPr>
          <w:rFonts w:ascii="Verdana" w:hAnsi="Verdana" w:cs="Courier New"/>
          <w:b/>
          <w:sz w:val="18"/>
          <w:szCs w:val="18"/>
        </w:rPr>
        <w:br/>
      </w:r>
      <w:r w:rsidRPr="00937217">
        <w:rPr>
          <w:rFonts w:ascii="Verdana" w:hAnsi="Verdana"/>
          <w:sz w:val="18"/>
          <w:szCs w:val="18"/>
        </w:rPr>
        <w:t xml:space="preserve">Ten eerste betreft het de verwerking van de voorjaarsraming van de Europese Commissie. Dit heeft geleid tot een actualisatie van de raming voor het BNI en de geharmoniseerde grondslag voor de </w:t>
      </w:r>
      <w:proofErr w:type="spellStart"/>
      <w:r w:rsidRPr="00937217">
        <w:rPr>
          <w:rFonts w:ascii="Verdana" w:hAnsi="Verdana"/>
          <w:sz w:val="18"/>
          <w:szCs w:val="18"/>
        </w:rPr>
        <w:t>BTW-afdracht</w:t>
      </w:r>
      <w:proofErr w:type="spellEnd"/>
      <w:r w:rsidRPr="00937217">
        <w:rPr>
          <w:rFonts w:ascii="Verdana" w:hAnsi="Verdana"/>
          <w:sz w:val="18"/>
          <w:szCs w:val="18"/>
        </w:rPr>
        <w:t>. Hierdoor stijgen de afdrachten met EUR 157 miljoen. Daarnaast zijn sinds de Miljoenennota 2016 twee aanvullende begrotingen (</w:t>
      </w:r>
      <w:r w:rsidRPr="00937217">
        <w:rPr>
          <w:rFonts w:ascii="Verdana" w:hAnsi="Verdana"/>
          <w:i/>
          <w:sz w:val="18"/>
          <w:szCs w:val="18"/>
        </w:rPr>
        <w:t xml:space="preserve">draft </w:t>
      </w:r>
      <w:proofErr w:type="spellStart"/>
      <w:r w:rsidRPr="00937217">
        <w:rPr>
          <w:rFonts w:ascii="Verdana" w:hAnsi="Verdana"/>
          <w:i/>
          <w:sz w:val="18"/>
          <w:szCs w:val="18"/>
        </w:rPr>
        <w:t>amending</w:t>
      </w:r>
      <w:proofErr w:type="spellEnd"/>
      <w:r w:rsidRPr="00937217">
        <w:rPr>
          <w:rFonts w:ascii="Verdana" w:hAnsi="Verdana"/>
          <w:i/>
          <w:sz w:val="18"/>
          <w:szCs w:val="18"/>
        </w:rPr>
        <w:t xml:space="preserve"> budget</w:t>
      </w:r>
      <w:r w:rsidRPr="00937217">
        <w:rPr>
          <w:rFonts w:ascii="Verdana" w:hAnsi="Verdana"/>
          <w:sz w:val="18"/>
          <w:szCs w:val="18"/>
        </w:rPr>
        <w:t>; DAB7 en DAB8) ingediend. De aanname van DAB8 in het Europees Parlement heeft niet tijdig genoeg plaatsgevonden om de aan DAB8 gekoppelde restituties nog in 2015 te verwerken. De uitbetaling van de restituties vindt nu plaats in 2016, dit resulteert voor 2015 in een aanvullende bruto-afdracht van EUR 909 miljoen, waarvoor EUR 612 miljoen reeds gereserveerd was op de aanvullende post zoals opgenomen in de Miljoenennota 2016.</w:t>
      </w:r>
      <w:r>
        <w:rPr>
          <w:szCs w:val="18"/>
        </w:rPr>
        <w:t xml:space="preserve"> </w:t>
      </w:r>
      <w:r w:rsidRPr="00661057">
        <w:rPr>
          <w:rFonts w:ascii="Verdana" w:hAnsi="Verdana"/>
          <w:sz w:val="18"/>
          <w:szCs w:val="18"/>
        </w:rPr>
        <w:t xml:space="preserve">Voor de netto-afdracht moet hierbij nog 49 miljoen worden verrekend aan additionele inkomsten voor de perceptiekostenvergoeding voor de invoerrechten, waardoor er netto sprake is van een aanvullende afdracht van </w:t>
      </w:r>
      <w:r>
        <w:rPr>
          <w:rFonts w:ascii="Verdana" w:hAnsi="Verdana"/>
          <w:sz w:val="18"/>
          <w:szCs w:val="18"/>
        </w:rPr>
        <w:t xml:space="preserve">EUR </w:t>
      </w:r>
      <w:r w:rsidRPr="00661057">
        <w:rPr>
          <w:rFonts w:ascii="Verdana" w:hAnsi="Verdana"/>
          <w:sz w:val="18"/>
          <w:szCs w:val="18"/>
        </w:rPr>
        <w:t>860 miljoen.</w:t>
      </w:r>
      <w:r>
        <w:t xml:space="preserve"> </w:t>
      </w:r>
    </w:p>
    <w:p w:rsidR="00321CE1" w:rsidRDefault="00321CE1" w:rsidP="00321CE1">
      <w:pPr>
        <w:rPr>
          <w:rFonts w:ascii="Verdana" w:hAnsi="Verdana" w:cs="Courier New"/>
          <w:b/>
          <w:sz w:val="18"/>
          <w:szCs w:val="18"/>
          <w:lang w:eastAsia="en-US"/>
        </w:rPr>
      </w:pPr>
      <w:r>
        <w:rPr>
          <w:rFonts w:ascii="Verdana" w:hAnsi="Verdana" w:cs="Courier New"/>
          <w:b/>
          <w:sz w:val="18"/>
          <w:szCs w:val="18"/>
        </w:rPr>
        <w:br w:type="page"/>
      </w:r>
    </w:p>
    <w:p w:rsidR="00321CE1" w:rsidRDefault="00321CE1" w:rsidP="00321CE1">
      <w:pPr>
        <w:pStyle w:val="Plattetekst2"/>
        <w:numPr>
          <w:ilvl w:val="0"/>
          <w:numId w:val="2"/>
        </w:numPr>
        <w:tabs>
          <w:tab w:val="left" w:pos="709"/>
        </w:tabs>
        <w:outlineLvl w:val="0"/>
        <w:rPr>
          <w:rFonts w:ascii="Verdana" w:hAnsi="Verdana"/>
          <w:b/>
          <w:sz w:val="18"/>
          <w:szCs w:val="18"/>
        </w:rPr>
      </w:pPr>
      <w:r w:rsidRPr="002811DE">
        <w:rPr>
          <w:rFonts w:ascii="Verdana" w:hAnsi="Verdana"/>
          <w:b/>
          <w:sz w:val="18"/>
          <w:szCs w:val="18"/>
        </w:rPr>
        <w:lastRenderedPageBreak/>
        <w:t>Toelichting per beleidsartikel</w:t>
      </w:r>
    </w:p>
    <w:p w:rsidR="00321CE1" w:rsidRDefault="00321CE1" w:rsidP="00321CE1">
      <w:pPr>
        <w:pStyle w:val="Plattetekst2"/>
        <w:tabs>
          <w:tab w:val="left" w:pos="709"/>
        </w:tabs>
        <w:ind w:left="360"/>
        <w:outlineLvl w:val="0"/>
        <w:rPr>
          <w:rFonts w:ascii="Verdana" w:hAnsi="Verdana"/>
          <w:b/>
          <w:sz w:val="18"/>
          <w:szCs w:val="18"/>
        </w:rPr>
      </w:pPr>
    </w:p>
    <w:p w:rsidR="00321CE1" w:rsidRDefault="00321CE1" w:rsidP="00321CE1">
      <w:pPr>
        <w:rPr>
          <w:rFonts w:ascii="Verdana" w:hAnsi="Verdana"/>
          <w:b/>
          <w:sz w:val="18"/>
          <w:szCs w:val="18"/>
        </w:rPr>
      </w:pPr>
      <w:r>
        <w:rPr>
          <w:rFonts w:ascii="Verdana" w:hAnsi="Verdana"/>
          <w:b/>
          <w:sz w:val="18"/>
          <w:szCs w:val="18"/>
        </w:rPr>
        <w:t xml:space="preserve">Beleidsartikel 1 </w:t>
      </w:r>
    </w:p>
    <w:p w:rsidR="00321CE1" w:rsidRPr="00FD56D9" w:rsidRDefault="00321CE1" w:rsidP="00321CE1">
      <w:pPr>
        <w:rPr>
          <w:rFonts w:ascii="Verdana" w:hAnsi="Verdana"/>
          <w:b/>
          <w:sz w:val="18"/>
          <w:szCs w:val="18"/>
        </w:rPr>
      </w:pPr>
      <w:r w:rsidRPr="002B18E3">
        <w:rPr>
          <w:rFonts w:ascii="Verdana" w:hAnsi="Verdana"/>
          <w:b/>
          <w:sz w:val="18"/>
          <w:szCs w:val="18"/>
        </w:rPr>
        <w:object w:dxaOrig="16053" w:dyaOrig="7249">
          <v:shape id="_x0000_i1027" type="#_x0000_t75" style="width:491.1pt;height:222.1pt" o:ole="">
            <v:imagedata r:id="rId12" o:title=""/>
          </v:shape>
          <o:OLEObject Type="Embed" ProgID="Excel.Sheet.8" ShapeID="_x0000_i1027" DrawAspect="Content" ObjectID="_1510407235" r:id="rId13"/>
        </w:object>
      </w:r>
    </w:p>
    <w:p w:rsidR="00321CE1" w:rsidRDefault="00321CE1" w:rsidP="00321CE1">
      <w:pPr>
        <w:rPr>
          <w:rFonts w:ascii="Verdana" w:hAnsi="Verdana"/>
          <w:sz w:val="18"/>
          <w:szCs w:val="18"/>
        </w:rPr>
      </w:pPr>
    </w:p>
    <w:p w:rsidR="00321CE1" w:rsidRDefault="00321CE1" w:rsidP="00321CE1">
      <w:pPr>
        <w:rPr>
          <w:rFonts w:ascii="Verdana" w:hAnsi="Verdana"/>
          <w:i/>
          <w:sz w:val="18"/>
          <w:szCs w:val="18"/>
        </w:rPr>
      </w:pPr>
      <w:r>
        <w:rPr>
          <w:rFonts w:ascii="Verdana" w:hAnsi="Verdana"/>
          <w:i/>
          <w:sz w:val="18"/>
          <w:szCs w:val="18"/>
        </w:rPr>
        <w:t>Uitgaven</w:t>
      </w:r>
    </w:p>
    <w:p w:rsidR="00321CE1" w:rsidRDefault="00321CE1" w:rsidP="00321CE1">
      <w:pPr>
        <w:rPr>
          <w:rFonts w:ascii="Verdana" w:hAnsi="Verdana"/>
          <w:i/>
          <w:sz w:val="18"/>
          <w:szCs w:val="18"/>
        </w:rPr>
      </w:pPr>
    </w:p>
    <w:p w:rsidR="00321CE1" w:rsidRDefault="00321CE1" w:rsidP="00321CE1">
      <w:pPr>
        <w:rPr>
          <w:rFonts w:ascii="Verdana" w:hAnsi="Verdana"/>
          <w:sz w:val="18"/>
          <w:szCs w:val="18"/>
        </w:rPr>
      </w:pPr>
      <w:r>
        <w:rPr>
          <w:rFonts w:ascii="Verdana" w:hAnsi="Verdana"/>
          <w:sz w:val="18"/>
          <w:szCs w:val="18"/>
        </w:rPr>
        <w:t>Artikel 1.1</w:t>
      </w:r>
    </w:p>
    <w:p w:rsidR="00321CE1" w:rsidRDefault="00321CE1" w:rsidP="00321CE1">
      <w:pPr>
        <w:rPr>
          <w:rFonts w:ascii="Verdana" w:hAnsi="Verdana"/>
          <w:sz w:val="18"/>
          <w:szCs w:val="18"/>
        </w:rPr>
      </w:pPr>
      <w:r w:rsidRPr="009B4918">
        <w:rPr>
          <w:rFonts w:ascii="Verdana" w:hAnsi="Verdana"/>
          <w:sz w:val="18"/>
          <w:szCs w:val="18"/>
        </w:rPr>
        <w:t xml:space="preserve">De </w:t>
      </w:r>
      <w:r>
        <w:rPr>
          <w:rFonts w:ascii="Verdana" w:hAnsi="Verdana"/>
          <w:sz w:val="18"/>
          <w:szCs w:val="18"/>
        </w:rPr>
        <w:t>per saldo daling van het budget kent twee oorzaken. Het budget voor Internationaal recht stijgt</w:t>
      </w:r>
      <w:r w:rsidRPr="009B4918">
        <w:rPr>
          <w:rFonts w:ascii="Verdana" w:hAnsi="Verdana"/>
          <w:sz w:val="18"/>
          <w:szCs w:val="18"/>
        </w:rPr>
        <w:t xml:space="preserve"> doordat de uitgaven voor de huisvesting </w:t>
      </w:r>
      <w:r>
        <w:rPr>
          <w:rFonts w:ascii="Verdana" w:hAnsi="Verdana"/>
          <w:sz w:val="18"/>
          <w:szCs w:val="18"/>
        </w:rPr>
        <w:t xml:space="preserve">van het </w:t>
      </w:r>
      <w:r w:rsidRPr="009B4918">
        <w:rPr>
          <w:rFonts w:ascii="Verdana" w:hAnsi="Verdana"/>
          <w:sz w:val="18"/>
          <w:szCs w:val="18"/>
        </w:rPr>
        <w:t>Internationaal Gerechtshof en</w:t>
      </w:r>
      <w:r>
        <w:rPr>
          <w:rFonts w:ascii="Verdana" w:hAnsi="Verdana"/>
          <w:sz w:val="18"/>
          <w:szCs w:val="18"/>
        </w:rPr>
        <w:t xml:space="preserve"> het </w:t>
      </w:r>
      <w:r w:rsidRPr="009B4918">
        <w:rPr>
          <w:rFonts w:ascii="Verdana" w:hAnsi="Verdana"/>
          <w:sz w:val="18"/>
          <w:szCs w:val="18"/>
        </w:rPr>
        <w:t>Permanent Hof van Arbitrage zijn toegenomen</w:t>
      </w:r>
      <w:r>
        <w:rPr>
          <w:rFonts w:ascii="Verdana" w:hAnsi="Verdana"/>
          <w:sz w:val="18"/>
          <w:szCs w:val="18"/>
        </w:rPr>
        <w:t>,</w:t>
      </w:r>
      <w:r w:rsidRPr="009B4918">
        <w:rPr>
          <w:rFonts w:ascii="Verdana" w:hAnsi="Verdana"/>
          <w:sz w:val="18"/>
          <w:szCs w:val="18"/>
        </w:rPr>
        <w:t xml:space="preserve"> omdat extra kosten </w:t>
      </w:r>
      <w:r>
        <w:rPr>
          <w:rFonts w:ascii="Verdana" w:hAnsi="Verdana"/>
          <w:sz w:val="18"/>
          <w:szCs w:val="18"/>
        </w:rPr>
        <w:t xml:space="preserve">zijn gemaakt </w:t>
      </w:r>
      <w:r w:rsidRPr="009B4918">
        <w:rPr>
          <w:rFonts w:ascii="Verdana" w:hAnsi="Verdana"/>
          <w:sz w:val="18"/>
          <w:szCs w:val="18"/>
        </w:rPr>
        <w:t xml:space="preserve">in verband met asbestverwijdering. </w:t>
      </w:r>
      <w:r>
        <w:rPr>
          <w:rFonts w:ascii="Verdana" w:hAnsi="Verdana"/>
          <w:sz w:val="18"/>
          <w:szCs w:val="18"/>
        </w:rPr>
        <w:t xml:space="preserve">Hier staat een daling tegenover van de uitgaven voor de Verenigde Naties vanwege koerseffecten. </w:t>
      </w:r>
    </w:p>
    <w:p w:rsidR="00321CE1" w:rsidRDefault="00321CE1" w:rsidP="00321CE1">
      <w:pPr>
        <w:rPr>
          <w:rFonts w:ascii="Verdana" w:hAnsi="Verdana"/>
          <w:sz w:val="18"/>
          <w:szCs w:val="18"/>
        </w:rPr>
      </w:pPr>
    </w:p>
    <w:p w:rsidR="00321CE1" w:rsidRDefault="00321CE1" w:rsidP="00321CE1">
      <w:pPr>
        <w:rPr>
          <w:rFonts w:ascii="Verdana" w:hAnsi="Verdana"/>
          <w:sz w:val="18"/>
          <w:szCs w:val="18"/>
        </w:rPr>
      </w:pPr>
      <w:r>
        <w:rPr>
          <w:rFonts w:ascii="Verdana" w:hAnsi="Verdana"/>
          <w:sz w:val="18"/>
          <w:szCs w:val="18"/>
        </w:rPr>
        <w:t>Artikel 1.2</w:t>
      </w:r>
    </w:p>
    <w:p w:rsidR="00321CE1" w:rsidRDefault="00321CE1" w:rsidP="00321CE1">
      <w:pPr>
        <w:rPr>
          <w:rFonts w:ascii="Verdana" w:hAnsi="Verdana"/>
          <w:sz w:val="18"/>
          <w:szCs w:val="18"/>
        </w:rPr>
      </w:pPr>
      <w:r>
        <w:rPr>
          <w:rFonts w:ascii="Verdana" w:hAnsi="Verdana"/>
          <w:sz w:val="18"/>
          <w:szCs w:val="18"/>
        </w:rPr>
        <w:t xml:space="preserve">Het budget voor landenprogramma’s mensenrechten (onderdeel van het Mensenrechtenfonds) is verhoogd om additionele </w:t>
      </w:r>
      <w:r w:rsidRPr="002D596F">
        <w:rPr>
          <w:rFonts w:ascii="Verdana" w:hAnsi="Verdana"/>
          <w:sz w:val="18"/>
          <w:szCs w:val="18"/>
        </w:rPr>
        <w:t>in</w:t>
      </w:r>
      <w:r>
        <w:rPr>
          <w:rFonts w:ascii="Verdana" w:hAnsi="Verdana"/>
          <w:sz w:val="18"/>
          <w:szCs w:val="18"/>
        </w:rPr>
        <w:t xml:space="preserve">zet mogelijk te maken op het gebied van </w:t>
      </w:r>
      <w:r w:rsidRPr="002D596F">
        <w:rPr>
          <w:rFonts w:ascii="Verdana" w:hAnsi="Verdana"/>
          <w:sz w:val="18"/>
          <w:szCs w:val="18"/>
        </w:rPr>
        <w:t>gelijke rechten voor LHBT</w:t>
      </w:r>
      <w:r>
        <w:rPr>
          <w:rFonts w:ascii="Verdana" w:hAnsi="Verdana"/>
          <w:sz w:val="18"/>
          <w:szCs w:val="18"/>
        </w:rPr>
        <w:t>I</w:t>
      </w:r>
      <w:r w:rsidRPr="002D596F">
        <w:rPr>
          <w:rFonts w:ascii="Verdana" w:hAnsi="Verdana"/>
          <w:sz w:val="18"/>
          <w:szCs w:val="18"/>
        </w:rPr>
        <w:t>, vrijheid van godsdienst en levensovertuiging, mensenrechten en bedrijfsleven en bescherming van mensenrechtenverdedigers.</w:t>
      </w:r>
      <w:r>
        <w:rPr>
          <w:rFonts w:ascii="Verdana" w:hAnsi="Verdana"/>
          <w:sz w:val="18"/>
          <w:szCs w:val="18"/>
        </w:rPr>
        <w:t xml:space="preserve"> </w:t>
      </w:r>
    </w:p>
    <w:p w:rsidR="00321CE1" w:rsidRDefault="00321CE1" w:rsidP="00321CE1">
      <w:pPr>
        <w:rPr>
          <w:rFonts w:ascii="Verdana" w:hAnsi="Verdana"/>
          <w:sz w:val="18"/>
          <w:szCs w:val="18"/>
        </w:rPr>
      </w:pPr>
    </w:p>
    <w:p w:rsidR="00321CE1" w:rsidRDefault="00321CE1" w:rsidP="00321CE1">
      <w:pPr>
        <w:rPr>
          <w:rFonts w:ascii="Verdana" w:hAnsi="Verdana"/>
          <w:sz w:val="18"/>
          <w:szCs w:val="18"/>
        </w:rPr>
      </w:pPr>
      <w:r>
        <w:rPr>
          <w:rFonts w:ascii="Verdana" w:hAnsi="Verdana"/>
          <w:sz w:val="18"/>
          <w:szCs w:val="18"/>
        </w:rPr>
        <w:t xml:space="preserve"> </w:t>
      </w:r>
    </w:p>
    <w:p w:rsidR="00321CE1" w:rsidRDefault="00321CE1" w:rsidP="00321CE1">
      <w:pPr>
        <w:rPr>
          <w:rFonts w:ascii="Verdana" w:hAnsi="Verdana"/>
          <w:sz w:val="18"/>
          <w:szCs w:val="18"/>
        </w:rPr>
      </w:pPr>
    </w:p>
    <w:p w:rsidR="00321CE1" w:rsidRDefault="00321CE1" w:rsidP="00321CE1">
      <w:pPr>
        <w:rPr>
          <w:rFonts w:ascii="Verdana" w:hAnsi="Verdana"/>
          <w:sz w:val="18"/>
          <w:szCs w:val="18"/>
        </w:rPr>
      </w:pPr>
    </w:p>
    <w:p w:rsidR="00321CE1" w:rsidRDefault="00321CE1" w:rsidP="00321CE1">
      <w:pPr>
        <w:rPr>
          <w:rFonts w:ascii="Verdana" w:hAnsi="Verdana"/>
          <w:i/>
          <w:sz w:val="18"/>
          <w:szCs w:val="18"/>
        </w:rPr>
      </w:pPr>
    </w:p>
    <w:p w:rsidR="00321CE1" w:rsidRPr="004565A4" w:rsidRDefault="00321CE1" w:rsidP="00321CE1">
      <w:pPr>
        <w:rPr>
          <w:rFonts w:ascii="Verdana" w:hAnsi="Verdana"/>
          <w:sz w:val="18"/>
          <w:szCs w:val="18"/>
        </w:rPr>
      </w:pPr>
    </w:p>
    <w:p w:rsidR="00321CE1" w:rsidRDefault="00321CE1" w:rsidP="00321CE1">
      <w:pPr>
        <w:autoSpaceDE w:val="0"/>
        <w:autoSpaceDN w:val="0"/>
        <w:adjustRightInd w:val="0"/>
        <w:rPr>
          <w:rFonts w:ascii="Verdana" w:hAnsi="Verdana" w:cs="Courier New"/>
          <w:sz w:val="18"/>
          <w:szCs w:val="18"/>
        </w:rPr>
      </w:pPr>
      <w:r>
        <w:rPr>
          <w:rFonts w:ascii="Verdana" w:hAnsi="Verdana" w:cs="Courier New"/>
          <w:sz w:val="18"/>
          <w:szCs w:val="18"/>
        </w:rPr>
        <w:br w:type="page"/>
      </w:r>
    </w:p>
    <w:p w:rsidR="00321CE1" w:rsidRDefault="00321CE1" w:rsidP="00321CE1">
      <w:pPr>
        <w:rPr>
          <w:rFonts w:ascii="Verdana" w:hAnsi="Verdana"/>
          <w:b/>
          <w:sz w:val="18"/>
          <w:szCs w:val="18"/>
        </w:rPr>
      </w:pPr>
      <w:r>
        <w:rPr>
          <w:rFonts w:ascii="Verdana" w:hAnsi="Verdana"/>
          <w:b/>
          <w:sz w:val="18"/>
          <w:szCs w:val="18"/>
        </w:rPr>
        <w:lastRenderedPageBreak/>
        <w:t xml:space="preserve">Beleidsartikel 2 </w:t>
      </w:r>
    </w:p>
    <w:p w:rsidR="00321CE1" w:rsidRPr="001A0AD1" w:rsidRDefault="00321CE1" w:rsidP="00321CE1">
      <w:pPr>
        <w:rPr>
          <w:rFonts w:ascii="Verdana" w:hAnsi="Verdana"/>
          <w:b/>
          <w:sz w:val="18"/>
          <w:szCs w:val="18"/>
        </w:rPr>
      </w:pPr>
    </w:p>
    <w:p w:rsidR="00321CE1" w:rsidRDefault="00321CE1" w:rsidP="00321CE1">
      <w:r>
        <w:object w:dxaOrig="16084" w:dyaOrig="16986">
          <v:shape id="_x0000_i1028" type="#_x0000_t75" style="width:496.55pt;height:523pt" o:ole="">
            <v:imagedata r:id="rId14" o:title=""/>
          </v:shape>
          <o:OLEObject Type="Embed" ProgID="Excel.Sheet.8" ShapeID="_x0000_i1028" DrawAspect="Content" ObjectID="_1510407236" r:id="rId15"/>
        </w:object>
      </w:r>
    </w:p>
    <w:p w:rsidR="00321CE1" w:rsidRDefault="00321CE1" w:rsidP="00321CE1">
      <w:pPr>
        <w:rPr>
          <w:rFonts w:ascii="Verdana" w:hAnsi="Verdana"/>
          <w:i/>
          <w:sz w:val="18"/>
          <w:szCs w:val="18"/>
        </w:rPr>
      </w:pPr>
      <w:r>
        <w:rPr>
          <w:rFonts w:ascii="Verdana" w:hAnsi="Verdana"/>
          <w:i/>
          <w:sz w:val="18"/>
          <w:szCs w:val="18"/>
        </w:rPr>
        <w:t>Verplichtingen</w:t>
      </w:r>
    </w:p>
    <w:p w:rsidR="00321CE1" w:rsidRDefault="00321CE1" w:rsidP="00321CE1">
      <w:pPr>
        <w:rPr>
          <w:rFonts w:ascii="Verdana" w:hAnsi="Verdana"/>
          <w:sz w:val="18"/>
          <w:szCs w:val="18"/>
        </w:rPr>
      </w:pPr>
    </w:p>
    <w:p w:rsidR="00321CE1" w:rsidRPr="00DC65C3" w:rsidRDefault="00321CE1" w:rsidP="00321CE1">
      <w:pPr>
        <w:rPr>
          <w:rFonts w:ascii="Verdana" w:hAnsi="Verdana"/>
          <w:sz w:val="18"/>
          <w:szCs w:val="18"/>
        </w:rPr>
      </w:pPr>
      <w:r w:rsidRPr="00DC65C3">
        <w:rPr>
          <w:rFonts w:ascii="Verdana" w:hAnsi="Verdana"/>
          <w:sz w:val="18"/>
          <w:szCs w:val="18"/>
        </w:rPr>
        <w:t xml:space="preserve">De verplichtingen nemen af </w:t>
      </w:r>
      <w:r>
        <w:rPr>
          <w:rFonts w:ascii="Verdana" w:hAnsi="Verdana"/>
          <w:sz w:val="18"/>
          <w:szCs w:val="18"/>
        </w:rPr>
        <w:t>vanwege d</w:t>
      </w:r>
      <w:r w:rsidRPr="00DC65C3">
        <w:rPr>
          <w:rFonts w:ascii="Verdana" w:hAnsi="Verdana"/>
          <w:sz w:val="18"/>
          <w:szCs w:val="18"/>
        </w:rPr>
        <w:t xml:space="preserve">e verlaging van het budget voor bevordering van veiligheid, stabiliteit en rechtsorde in internationaal verband </w:t>
      </w:r>
      <w:r>
        <w:rPr>
          <w:rFonts w:ascii="Verdana" w:hAnsi="Verdana"/>
          <w:sz w:val="18"/>
          <w:szCs w:val="18"/>
        </w:rPr>
        <w:t xml:space="preserve">als </w:t>
      </w:r>
      <w:r w:rsidRPr="00DC65C3">
        <w:rPr>
          <w:rFonts w:ascii="Verdana" w:hAnsi="Verdana"/>
          <w:sz w:val="18"/>
          <w:szCs w:val="18"/>
        </w:rPr>
        <w:t xml:space="preserve">gevolg van </w:t>
      </w:r>
      <w:r>
        <w:rPr>
          <w:rFonts w:ascii="Verdana" w:hAnsi="Verdana"/>
          <w:sz w:val="18"/>
          <w:szCs w:val="18"/>
        </w:rPr>
        <w:t>de</w:t>
      </w:r>
      <w:r w:rsidRPr="00DC65C3">
        <w:rPr>
          <w:rFonts w:ascii="Verdana" w:hAnsi="Verdana"/>
          <w:sz w:val="18"/>
          <w:szCs w:val="18"/>
        </w:rPr>
        <w:t xml:space="preserve"> </w:t>
      </w:r>
      <w:r>
        <w:rPr>
          <w:rFonts w:ascii="Verdana" w:hAnsi="Verdana"/>
          <w:sz w:val="18"/>
          <w:szCs w:val="18"/>
        </w:rPr>
        <w:t xml:space="preserve">vertraging van een deel van </w:t>
      </w:r>
      <w:r w:rsidRPr="00DC65C3">
        <w:rPr>
          <w:rFonts w:ascii="Verdana" w:hAnsi="Verdana"/>
          <w:sz w:val="18"/>
          <w:szCs w:val="18"/>
        </w:rPr>
        <w:t>de Nederlandse contributie aan VN-crisisbeheersingsoperaties</w:t>
      </w:r>
      <w:r>
        <w:rPr>
          <w:rFonts w:ascii="Verdana" w:hAnsi="Verdana"/>
          <w:sz w:val="18"/>
          <w:szCs w:val="18"/>
        </w:rPr>
        <w:t xml:space="preserve"> (zie ook uitgaven)</w:t>
      </w:r>
      <w:r w:rsidRPr="00DC65C3">
        <w:rPr>
          <w:rFonts w:ascii="Verdana" w:hAnsi="Verdana"/>
          <w:sz w:val="18"/>
          <w:szCs w:val="18"/>
        </w:rPr>
        <w:t>.</w:t>
      </w:r>
    </w:p>
    <w:p w:rsidR="00321CE1" w:rsidRDefault="00321CE1" w:rsidP="00321CE1">
      <w:pPr>
        <w:rPr>
          <w:rFonts w:ascii="Verdana" w:hAnsi="Verdana"/>
          <w:i/>
          <w:sz w:val="18"/>
          <w:szCs w:val="18"/>
        </w:rPr>
      </w:pPr>
    </w:p>
    <w:p w:rsidR="00321CE1" w:rsidRDefault="00321CE1" w:rsidP="00321CE1">
      <w:pPr>
        <w:rPr>
          <w:rFonts w:ascii="Verdana" w:hAnsi="Verdana"/>
          <w:sz w:val="18"/>
          <w:szCs w:val="18"/>
        </w:rPr>
      </w:pPr>
      <w:r>
        <w:rPr>
          <w:rFonts w:ascii="Verdana" w:hAnsi="Verdana"/>
          <w:i/>
          <w:sz w:val="18"/>
          <w:szCs w:val="18"/>
        </w:rPr>
        <w:t>Uitgaven</w:t>
      </w:r>
    </w:p>
    <w:p w:rsidR="00321CE1" w:rsidRDefault="00321CE1" w:rsidP="00321CE1">
      <w:pPr>
        <w:rPr>
          <w:rFonts w:ascii="Verdana" w:hAnsi="Verdana"/>
          <w:sz w:val="18"/>
          <w:szCs w:val="18"/>
        </w:rPr>
      </w:pPr>
    </w:p>
    <w:p w:rsidR="00321CE1" w:rsidRDefault="00321CE1" w:rsidP="00321CE1">
      <w:pPr>
        <w:rPr>
          <w:rFonts w:ascii="Verdana" w:hAnsi="Verdana"/>
          <w:sz w:val="18"/>
          <w:szCs w:val="18"/>
        </w:rPr>
      </w:pPr>
      <w:r>
        <w:rPr>
          <w:rFonts w:ascii="Verdana" w:hAnsi="Verdana"/>
          <w:sz w:val="18"/>
          <w:szCs w:val="18"/>
        </w:rPr>
        <w:t>Artikel 2.1</w:t>
      </w:r>
    </w:p>
    <w:p w:rsidR="00321CE1" w:rsidRDefault="00321CE1" w:rsidP="00321CE1">
      <w:pPr>
        <w:rPr>
          <w:rFonts w:ascii="Verdana" w:hAnsi="Verdana"/>
          <w:sz w:val="18"/>
          <w:szCs w:val="18"/>
        </w:rPr>
      </w:pPr>
      <w:r>
        <w:rPr>
          <w:rFonts w:ascii="Verdana" w:hAnsi="Verdana"/>
          <w:sz w:val="18"/>
          <w:szCs w:val="18"/>
        </w:rPr>
        <w:t xml:space="preserve">De per saldo stijging van het budget voor goede internationale samenwerking ter bevordering van de eigen en bondgenootschappelijke veiligheid wordt (hoofdzakelijk) veroorzaakt doordat het budget voor het Veiligheidsfonds en het Programma ondersteuning buitenlands beleid is verhoogd om hiermee in te zetten op ondersteuning in conflictsituaties (m.n. in Irak en Syrië) en op het terrein van contraterrorisme en cybersecurity. Hier staat een daling van de uitgaven voor de NAVO(-nieuwbouw) tegenover omdat op </w:t>
      </w:r>
      <w:r>
        <w:rPr>
          <w:rFonts w:ascii="Verdana" w:hAnsi="Verdana"/>
          <w:sz w:val="18"/>
          <w:szCs w:val="18"/>
        </w:rPr>
        <w:lastRenderedPageBreak/>
        <w:t>basis van de voortgang bij de nieuwbouw dit jaar een lagere bijdrage nodig is. E</w:t>
      </w:r>
      <w:r w:rsidRPr="008F7D08">
        <w:rPr>
          <w:rFonts w:ascii="Verdana" w:hAnsi="Verdana"/>
          <w:sz w:val="18"/>
          <w:szCs w:val="18"/>
        </w:rPr>
        <w:t xml:space="preserve">en deel van de voorziene uitgaven </w:t>
      </w:r>
      <w:r>
        <w:rPr>
          <w:rFonts w:ascii="Verdana" w:hAnsi="Verdana"/>
          <w:sz w:val="18"/>
          <w:szCs w:val="18"/>
        </w:rPr>
        <w:t xml:space="preserve">voor 2015 wordt </w:t>
      </w:r>
      <w:r w:rsidRPr="008F7D08">
        <w:rPr>
          <w:rFonts w:ascii="Verdana" w:hAnsi="Verdana"/>
          <w:sz w:val="18"/>
          <w:szCs w:val="18"/>
        </w:rPr>
        <w:t>via de eindejaarsmarge doorgeschoven naar 2016.</w:t>
      </w:r>
    </w:p>
    <w:p w:rsidR="00321CE1" w:rsidRDefault="00321CE1" w:rsidP="00321CE1">
      <w:pPr>
        <w:rPr>
          <w:rFonts w:ascii="Verdana" w:hAnsi="Verdana"/>
          <w:sz w:val="18"/>
          <w:szCs w:val="18"/>
        </w:rPr>
      </w:pPr>
    </w:p>
    <w:p w:rsidR="00321CE1" w:rsidRDefault="00321CE1" w:rsidP="00321CE1">
      <w:pPr>
        <w:rPr>
          <w:rFonts w:ascii="Verdana" w:hAnsi="Verdana"/>
          <w:sz w:val="18"/>
          <w:szCs w:val="18"/>
        </w:rPr>
      </w:pPr>
      <w:r>
        <w:rPr>
          <w:rFonts w:ascii="Verdana" w:hAnsi="Verdana"/>
          <w:sz w:val="18"/>
          <w:szCs w:val="18"/>
        </w:rPr>
        <w:t>Artikel 2.4</w:t>
      </w:r>
    </w:p>
    <w:p w:rsidR="00321CE1" w:rsidRDefault="00321CE1" w:rsidP="00321CE1">
      <w:pPr>
        <w:pStyle w:val="Default"/>
        <w:rPr>
          <w:sz w:val="18"/>
          <w:szCs w:val="18"/>
        </w:rPr>
      </w:pPr>
      <w:r w:rsidRPr="008F7D08">
        <w:rPr>
          <w:sz w:val="18"/>
          <w:szCs w:val="18"/>
        </w:rPr>
        <w:t xml:space="preserve">De verlaging van het budget voor bevordering van veiligheid, stabiliteit en rechtsorde in internationaal verband is het gevolg van een </w:t>
      </w:r>
      <w:r>
        <w:rPr>
          <w:sz w:val="18"/>
          <w:szCs w:val="18"/>
        </w:rPr>
        <w:t xml:space="preserve">vertraging van een deel </w:t>
      </w:r>
      <w:r w:rsidRPr="008F7D08">
        <w:rPr>
          <w:sz w:val="18"/>
          <w:szCs w:val="18"/>
        </w:rPr>
        <w:t xml:space="preserve">van de Nederlandse contributie aan VN-crisisbeheersingsoperaties. </w:t>
      </w:r>
      <w:r w:rsidRPr="0025086B">
        <w:rPr>
          <w:sz w:val="18"/>
          <w:szCs w:val="18"/>
        </w:rPr>
        <w:t xml:space="preserve">Deze uitgaven vinden plaats na afroep door de VN en zijn gebaseerd op </w:t>
      </w:r>
      <w:r>
        <w:rPr>
          <w:sz w:val="18"/>
          <w:szCs w:val="18"/>
        </w:rPr>
        <w:t xml:space="preserve">de kosten van de verschillende operaties, de geldende afspraken over het Nederlandse aandeel in de totale kosten, en </w:t>
      </w:r>
      <w:r w:rsidRPr="0025086B">
        <w:rPr>
          <w:sz w:val="18"/>
          <w:szCs w:val="18"/>
        </w:rPr>
        <w:t xml:space="preserve">de liquiditeitsbehoefte </w:t>
      </w:r>
      <w:r>
        <w:rPr>
          <w:sz w:val="18"/>
          <w:szCs w:val="18"/>
        </w:rPr>
        <w:t>in dit specifieke jaar.</w:t>
      </w:r>
      <w:r w:rsidRPr="0025086B">
        <w:rPr>
          <w:sz w:val="18"/>
          <w:szCs w:val="18"/>
        </w:rPr>
        <w:t xml:space="preserve"> </w:t>
      </w:r>
      <w:r>
        <w:rPr>
          <w:sz w:val="18"/>
          <w:szCs w:val="18"/>
        </w:rPr>
        <w:t xml:space="preserve">De </w:t>
      </w:r>
      <w:r w:rsidRPr="00AF40C8">
        <w:rPr>
          <w:sz w:val="18"/>
          <w:szCs w:val="18"/>
        </w:rPr>
        <w:t xml:space="preserve">uitgaven voor programma’s op het gebied van vrede, veiligheid &amp; ontwikkeling (Stabiliteitsfonds) </w:t>
      </w:r>
      <w:r>
        <w:rPr>
          <w:sz w:val="18"/>
          <w:szCs w:val="18"/>
        </w:rPr>
        <w:t xml:space="preserve">zijn gestegen </w:t>
      </w:r>
      <w:r w:rsidRPr="00AF40C8">
        <w:rPr>
          <w:sz w:val="18"/>
          <w:szCs w:val="18"/>
        </w:rPr>
        <w:t>als gevolg van de problematiek in de instabiele ring rond Europa.</w:t>
      </w:r>
      <w:r>
        <w:rPr>
          <w:sz w:val="18"/>
          <w:szCs w:val="18"/>
        </w:rPr>
        <w:t xml:space="preserve"> </w:t>
      </w:r>
    </w:p>
    <w:p w:rsidR="00321CE1" w:rsidRDefault="00321CE1" w:rsidP="00321CE1">
      <w:pPr>
        <w:rPr>
          <w:rFonts w:ascii="Verdana" w:hAnsi="Verdana"/>
          <w:sz w:val="18"/>
          <w:szCs w:val="18"/>
        </w:rPr>
      </w:pPr>
    </w:p>
    <w:p w:rsidR="00321CE1" w:rsidRDefault="00321CE1" w:rsidP="00321CE1">
      <w:pPr>
        <w:rPr>
          <w:rFonts w:ascii="Verdana" w:hAnsi="Verdana"/>
          <w:sz w:val="18"/>
          <w:szCs w:val="18"/>
        </w:rPr>
      </w:pPr>
      <w:r>
        <w:rPr>
          <w:rFonts w:ascii="Verdana" w:hAnsi="Verdana"/>
          <w:sz w:val="18"/>
          <w:szCs w:val="18"/>
        </w:rPr>
        <w:t>Artikel 2.5</w:t>
      </w:r>
    </w:p>
    <w:p w:rsidR="00321CE1" w:rsidRDefault="00321CE1" w:rsidP="00321CE1">
      <w:pPr>
        <w:rPr>
          <w:rFonts w:ascii="Verdana" w:hAnsi="Verdana" w:cs="Courier New"/>
          <w:sz w:val="18"/>
          <w:szCs w:val="18"/>
        </w:rPr>
      </w:pPr>
      <w:r w:rsidRPr="00DC65C3">
        <w:rPr>
          <w:rFonts w:ascii="Verdana" w:hAnsi="Verdana" w:cs="Courier New"/>
          <w:sz w:val="18"/>
          <w:szCs w:val="18"/>
        </w:rPr>
        <w:t>De stijging van het budget voor de bevordering van transitie in prioritaire gebieden vloeit voort uit additionele inzet op het ondersteunen van hervormingen in een zestal Arabische transitielanden op het gebied van goed bestuur en duurzame en inclusieve groei.</w:t>
      </w:r>
    </w:p>
    <w:p w:rsidR="00321CE1" w:rsidRDefault="00321CE1" w:rsidP="00321CE1">
      <w:pPr>
        <w:rPr>
          <w:rFonts w:ascii="Verdana" w:hAnsi="Verdana" w:cs="Courier New"/>
          <w:sz w:val="18"/>
          <w:szCs w:val="18"/>
        </w:rPr>
      </w:pPr>
    </w:p>
    <w:p w:rsidR="00321CE1" w:rsidRPr="00DC65C3" w:rsidRDefault="00321CE1" w:rsidP="00321CE1">
      <w:pPr>
        <w:rPr>
          <w:rFonts w:ascii="Verdana" w:hAnsi="Verdana" w:cs="Courier New"/>
          <w:i/>
          <w:sz w:val="18"/>
          <w:szCs w:val="18"/>
        </w:rPr>
      </w:pPr>
      <w:r w:rsidRPr="00DC65C3">
        <w:rPr>
          <w:rFonts w:ascii="Verdana" w:hAnsi="Verdana" w:cs="Courier New"/>
          <w:i/>
          <w:sz w:val="18"/>
          <w:szCs w:val="18"/>
        </w:rPr>
        <w:t>Ontvangsten</w:t>
      </w:r>
    </w:p>
    <w:p w:rsidR="00321CE1" w:rsidRDefault="00321CE1" w:rsidP="00321CE1">
      <w:pPr>
        <w:rPr>
          <w:rFonts w:ascii="Verdana" w:hAnsi="Verdana" w:cs="Courier New"/>
          <w:sz w:val="18"/>
          <w:szCs w:val="18"/>
        </w:rPr>
      </w:pPr>
    </w:p>
    <w:p w:rsidR="00321CE1" w:rsidRDefault="00321CE1" w:rsidP="00321CE1">
      <w:pPr>
        <w:rPr>
          <w:rFonts w:ascii="Verdana" w:hAnsi="Verdana" w:cs="Courier New"/>
          <w:sz w:val="18"/>
          <w:szCs w:val="18"/>
        </w:rPr>
      </w:pPr>
      <w:r w:rsidRPr="00DC65C3">
        <w:rPr>
          <w:rFonts w:ascii="Verdana" w:hAnsi="Verdana" w:cs="Courier New"/>
          <w:sz w:val="18"/>
          <w:szCs w:val="18"/>
        </w:rPr>
        <w:t xml:space="preserve">Een deel van de </w:t>
      </w:r>
      <w:r>
        <w:rPr>
          <w:rFonts w:ascii="Verdana" w:hAnsi="Verdana" w:cs="Courier New"/>
          <w:sz w:val="18"/>
          <w:szCs w:val="18"/>
        </w:rPr>
        <w:t xml:space="preserve">eerder </w:t>
      </w:r>
      <w:r w:rsidRPr="00DC65C3">
        <w:rPr>
          <w:rFonts w:ascii="Verdana" w:hAnsi="Verdana" w:cs="Courier New"/>
          <w:sz w:val="18"/>
          <w:szCs w:val="18"/>
        </w:rPr>
        <w:t xml:space="preserve">betaalde bijdrage ten behoeve van de </w:t>
      </w:r>
      <w:proofErr w:type="spellStart"/>
      <w:r w:rsidRPr="00DC65C3">
        <w:rPr>
          <w:rFonts w:ascii="Verdana" w:hAnsi="Verdana" w:cs="Courier New"/>
          <w:sz w:val="18"/>
          <w:szCs w:val="18"/>
        </w:rPr>
        <w:t>wederoplevering</w:t>
      </w:r>
      <w:proofErr w:type="spellEnd"/>
      <w:r w:rsidRPr="00DC65C3">
        <w:rPr>
          <w:rFonts w:ascii="Verdana" w:hAnsi="Verdana" w:cs="Courier New"/>
          <w:sz w:val="18"/>
          <w:szCs w:val="18"/>
        </w:rPr>
        <w:t xml:space="preserve"> van het huidige ICC-gebouw is dit jaar teruggestort. Hierdoor nemen de ontvangsten toe. </w:t>
      </w:r>
      <w:r>
        <w:rPr>
          <w:rFonts w:ascii="Verdana" w:hAnsi="Verdana" w:cs="Courier New"/>
          <w:sz w:val="18"/>
          <w:szCs w:val="18"/>
        </w:rPr>
        <w:br w:type="page"/>
      </w:r>
    </w:p>
    <w:p w:rsidR="00321CE1" w:rsidRDefault="00321CE1" w:rsidP="00321CE1">
      <w:pPr>
        <w:rPr>
          <w:rFonts w:ascii="Verdana" w:hAnsi="Verdana"/>
          <w:b/>
          <w:sz w:val="18"/>
          <w:szCs w:val="18"/>
        </w:rPr>
      </w:pPr>
      <w:r>
        <w:rPr>
          <w:rFonts w:ascii="Verdana" w:hAnsi="Verdana"/>
          <w:b/>
          <w:sz w:val="18"/>
          <w:szCs w:val="18"/>
        </w:rPr>
        <w:lastRenderedPageBreak/>
        <w:t xml:space="preserve">Beleidsartikel 3 </w:t>
      </w:r>
    </w:p>
    <w:p w:rsidR="00321CE1" w:rsidRDefault="00321CE1" w:rsidP="00321CE1">
      <w:pPr>
        <w:rPr>
          <w:rFonts w:ascii="Verdana" w:hAnsi="Verdana"/>
          <w:b/>
          <w:sz w:val="18"/>
          <w:szCs w:val="18"/>
        </w:rPr>
      </w:pPr>
    </w:p>
    <w:p w:rsidR="00321CE1" w:rsidRPr="002C42D6" w:rsidRDefault="00321CE1" w:rsidP="00321CE1">
      <w:pPr>
        <w:rPr>
          <w:rFonts w:ascii="Verdana" w:hAnsi="Verdana"/>
          <w:b/>
          <w:sz w:val="18"/>
          <w:szCs w:val="18"/>
        </w:rPr>
      </w:pPr>
      <w:r w:rsidRPr="002B18E3">
        <w:rPr>
          <w:rFonts w:ascii="Verdana" w:hAnsi="Verdana"/>
          <w:b/>
          <w:sz w:val="18"/>
          <w:szCs w:val="18"/>
        </w:rPr>
        <w:object w:dxaOrig="15863" w:dyaOrig="11478">
          <v:shape id="_x0000_i1029" type="#_x0000_t75" style="width:495.15pt;height:357.3pt" o:ole="">
            <v:imagedata r:id="rId16" o:title=""/>
          </v:shape>
          <o:OLEObject Type="Embed" ProgID="Excel.Sheet.8" ShapeID="_x0000_i1029" DrawAspect="Content" ObjectID="_1510407237" r:id="rId17"/>
        </w:object>
      </w:r>
    </w:p>
    <w:p w:rsidR="00321CE1" w:rsidRDefault="00321CE1" w:rsidP="00321CE1">
      <w:pPr>
        <w:rPr>
          <w:rFonts w:ascii="Verdana" w:hAnsi="Verdana"/>
          <w:i/>
          <w:sz w:val="18"/>
          <w:szCs w:val="18"/>
        </w:rPr>
      </w:pPr>
      <w:r>
        <w:rPr>
          <w:rFonts w:ascii="Verdana" w:hAnsi="Verdana"/>
          <w:i/>
          <w:sz w:val="18"/>
          <w:szCs w:val="18"/>
        </w:rPr>
        <w:t>Verplichtingen</w:t>
      </w:r>
    </w:p>
    <w:p w:rsidR="00321CE1" w:rsidRDefault="00321CE1" w:rsidP="00321CE1">
      <w:pPr>
        <w:rPr>
          <w:rFonts w:ascii="Verdana" w:hAnsi="Verdana"/>
          <w:i/>
          <w:sz w:val="18"/>
          <w:szCs w:val="18"/>
        </w:rPr>
      </w:pPr>
    </w:p>
    <w:p w:rsidR="00321CE1" w:rsidRPr="00E32E68" w:rsidRDefault="00321CE1" w:rsidP="00321CE1">
      <w:pPr>
        <w:rPr>
          <w:rFonts w:ascii="Verdana" w:hAnsi="Verdana"/>
          <w:sz w:val="18"/>
          <w:szCs w:val="18"/>
        </w:rPr>
      </w:pPr>
      <w:r w:rsidRPr="00E32E68">
        <w:rPr>
          <w:rFonts w:ascii="Verdana" w:hAnsi="Verdana"/>
          <w:sz w:val="18"/>
          <w:szCs w:val="18"/>
        </w:rPr>
        <w:t xml:space="preserve">De mutaties op de verplichtingen houden verband met de mutaties zoals onder de uitgaven is toegelicht. </w:t>
      </w:r>
    </w:p>
    <w:p w:rsidR="00321CE1" w:rsidRDefault="00321CE1" w:rsidP="00321CE1">
      <w:pPr>
        <w:rPr>
          <w:rFonts w:ascii="Verdana" w:hAnsi="Verdana"/>
          <w:i/>
          <w:sz w:val="18"/>
          <w:szCs w:val="18"/>
        </w:rPr>
      </w:pPr>
    </w:p>
    <w:p w:rsidR="00321CE1" w:rsidRPr="004325A0" w:rsidRDefault="00321CE1" w:rsidP="00321CE1">
      <w:pPr>
        <w:rPr>
          <w:rFonts w:ascii="Verdana" w:hAnsi="Verdana"/>
          <w:i/>
          <w:sz w:val="18"/>
          <w:szCs w:val="18"/>
        </w:rPr>
      </w:pPr>
      <w:r w:rsidRPr="004325A0">
        <w:rPr>
          <w:rFonts w:ascii="Verdana" w:hAnsi="Verdana"/>
          <w:i/>
          <w:sz w:val="18"/>
          <w:szCs w:val="18"/>
        </w:rPr>
        <w:t>Uitgaven</w:t>
      </w:r>
    </w:p>
    <w:p w:rsidR="00321CE1" w:rsidRDefault="00321CE1" w:rsidP="00321CE1">
      <w:pPr>
        <w:rPr>
          <w:rFonts w:ascii="Verdana" w:hAnsi="Verdana"/>
          <w:sz w:val="18"/>
          <w:szCs w:val="18"/>
        </w:rPr>
      </w:pPr>
    </w:p>
    <w:p w:rsidR="00321CE1" w:rsidRPr="00DD40CC" w:rsidRDefault="00321CE1" w:rsidP="00321CE1">
      <w:pPr>
        <w:rPr>
          <w:rFonts w:ascii="Verdana" w:hAnsi="Verdana"/>
          <w:sz w:val="18"/>
          <w:szCs w:val="18"/>
        </w:rPr>
      </w:pPr>
      <w:r w:rsidRPr="00DD40CC">
        <w:rPr>
          <w:rFonts w:ascii="Verdana" w:hAnsi="Verdana"/>
          <w:sz w:val="18"/>
          <w:szCs w:val="18"/>
        </w:rPr>
        <w:t>Artikel 3.1</w:t>
      </w:r>
    </w:p>
    <w:p w:rsidR="00321CE1" w:rsidRPr="00E32E68" w:rsidRDefault="00321CE1" w:rsidP="00321CE1">
      <w:pPr>
        <w:rPr>
          <w:rFonts w:ascii="Verdana" w:hAnsi="Verdana"/>
          <w:sz w:val="18"/>
          <w:szCs w:val="18"/>
        </w:rPr>
      </w:pPr>
      <w:r w:rsidRPr="00E32E68">
        <w:rPr>
          <w:rFonts w:ascii="Verdana" w:hAnsi="Verdana"/>
          <w:sz w:val="18"/>
          <w:szCs w:val="18"/>
        </w:rPr>
        <w:t xml:space="preserve">De mutatie op de afdracht aan de Europese Unie bestaat uit een aantal onderdelen: </w:t>
      </w:r>
    </w:p>
    <w:p w:rsidR="00321CE1" w:rsidRPr="00E32E68" w:rsidRDefault="00321CE1" w:rsidP="00321CE1">
      <w:pPr>
        <w:rPr>
          <w:rFonts w:ascii="Verdana" w:hAnsi="Verdana"/>
          <w:sz w:val="18"/>
          <w:szCs w:val="18"/>
        </w:rPr>
      </w:pPr>
    </w:p>
    <w:p w:rsidR="00321CE1" w:rsidRPr="00E32E68" w:rsidRDefault="00321CE1" w:rsidP="00321CE1">
      <w:pPr>
        <w:rPr>
          <w:rFonts w:ascii="Verdana" w:hAnsi="Verdana"/>
          <w:i/>
          <w:sz w:val="18"/>
          <w:szCs w:val="18"/>
        </w:rPr>
      </w:pPr>
      <w:r w:rsidRPr="00E32E68">
        <w:rPr>
          <w:rFonts w:ascii="Verdana" w:hAnsi="Verdana"/>
          <w:i/>
          <w:sz w:val="18"/>
          <w:szCs w:val="18"/>
        </w:rPr>
        <w:t>Mutaties EU afdrachten Voorjaarsnota 2015 – Miljoenennota 2016:</w:t>
      </w:r>
    </w:p>
    <w:p w:rsidR="00321CE1" w:rsidRPr="00E32E68" w:rsidRDefault="00321CE1" w:rsidP="00321CE1">
      <w:pPr>
        <w:rPr>
          <w:rFonts w:ascii="Verdana" w:hAnsi="Verdana"/>
          <w:sz w:val="18"/>
          <w:szCs w:val="18"/>
        </w:rPr>
      </w:pPr>
      <w:r w:rsidRPr="00E32E68">
        <w:rPr>
          <w:rFonts w:ascii="Verdana" w:hAnsi="Verdana"/>
          <w:sz w:val="18"/>
          <w:szCs w:val="18"/>
        </w:rPr>
        <w:t xml:space="preserve">Ten eerste betreft het de verwerking van de voorjaarsraming van de Europese Commissie. Dit heeft geleid tot een actualisatie van de raming voor het BNI en de geharmoniseerde grondslag voor de </w:t>
      </w:r>
      <w:proofErr w:type="spellStart"/>
      <w:r w:rsidRPr="00E32E68">
        <w:rPr>
          <w:rFonts w:ascii="Verdana" w:hAnsi="Verdana"/>
          <w:sz w:val="18"/>
          <w:szCs w:val="18"/>
        </w:rPr>
        <w:t>BTW-afdracht</w:t>
      </w:r>
      <w:proofErr w:type="spellEnd"/>
      <w:r w:rsidRPr="00E32E68">
        <w:rPr>
          <w:rFonts w:ascii="Verdana" w:hAnsi="Verdana"/>
          <w:sz w:val="18"/>
          <w:szCs w:val="18"/>
        </w:rPr>
        <w:t xml:space="preserve">. In de voorjaarsraming autoriseert de Europese Commissie nooit nieuwe uitgaven. </w:t>
      </w:r>
    </w:p>
    <w:p w:rsidR="00321CE1" w:rsidRDefault="00321CE1" w:rsidP="00321CE1"/>
    <w:tbl>
      <w:tblPr>
        <w:tblW w:w="6215" w:type="dxa"/>
        <w:tblInd w:w="70" w:type="dxa"/>
        <w:tblCellMar>
          <w:left w:w="70" w:type="dxa"/>
          <w:right w:w="70" w:type="dxa"/>
        </w:tblCellMar>
        <w:tblLook w:val="04A0" w:firstRow="1" w:lastRow="0" w:firstColumn="1" w:lastColumn="0" w:noHBand="0" w:noVBand="1"/>
      </w:tblPr>
      <w:tblGrid>
        <w:gridCol w:w="4777"/>
        <w:gridCol w:w="719"/>
        <w:gridCol w:w="788"/>
      </w:tblGrid>
      <w:tr w:rsidR="00321CE1" w:rsidRPr="00267F3E" w:rsidTr="00802F80">
        <w:trPr>
          <w:trHeight w:val="270"/>
        </w:trPr>
        <w:tc>
          <w:tcPr>
            <w:tcW w:w="6215" w:type="dxa"/>
            <w:gridSpan w:val="3"/>
            <w:shd w:val="clear" w:color="auto" w:fill="1F497D"/>
            <w:noWrap/>
            <w:vAlign w:val="center"/>
            <w:hideMark/>
          </w:tcPr>
          <w:p w:rsidR="00321CE1" w:rsidRPr="00267F3E" w:rsidRDefault="00321CE1" w:rsidP="00802F80">
            <w:pPr>
              <w:rPr>
                <w:rFonts w:ascii="Verdana" w:hAnsi="Verdana" w:cs="Arial"/>
                <w:b/>
                <w:bCs/>
                <w:color w:val="FFFFFF"/>
                <w:sz w:val="14"/>
                <w:szCs w:val="14"/>
                <w:lang w:eastAsia="nl-NL"/>
              </w:rPr>
            </w:pPr>
            <w:r w:rsidRPr="00267F3E">
              <w:rPr>
                <w:rFonts w:ascii="Verdana" w:hAnsi="Verdana" w:cs="Arial"/>
                <w:b/>
                <w:bCs/>
                <w:color w:val="FFFFFF"/>
                <w:sz w:val="14"/>
                <w:szCs w:val="14"/>
                <w:lang w:eastAsia="nl-NL"/>
              </w:rPr>
              <w:t>Tabel</w:t>
            </w:r>
            <w:r>
              <w:rPr>
                <w:rFonts w:ascii="Verdana" w:hAnsi="Verdana" w:cs="Arial"/>
                <w:b/>
                <w:bCs/>
                <w:color w:val="FFFFFF"/>
                <w:sz w:val="14"/>
                <w:szCs w:val="14"/>
                <w:lang w:eastAsia="nl-NL"/>
              </w:rPr>
              <w:t xml:space="preserve"> 1</w:t>
            </w:r>
            <w:r w:rsidRPr="00267F3E">
              <w:rPr>
                <w:rFonts w:ascii="Verdana" w:hAnsi="Verdana" w:cs="Arial"/>
                <w:b/>
                <w:bCs/>
                <w:color w:val="FFFFFF"/>
                <w:sz w:val="14"/>
                <w:szCs w:val="14"/>
                <w:lang w:eastAsia="nl-NL"/>
              </w:rPr>
              <w:t>: Mutatie in afdrachten (Miljoenennota 2016 minus Voorjaarsnota</w:t>
            </w:r>
            <w:r>
              <w:rPr>
                <w:rFonts w:ascii="Verdana" w:hAnsi="Verdana" w:cs="Arial"/>
                <w:b/>
                <w:bCs/>
                <w:color w:val="FFFFFF"/>
                <w:sz w:val="14"/>
                <w:szCs w:val="14"/>
                <w:lang w:eastAsia="nl-NL"/>
              </w:rPr>
              <w:t xml:space="preserve"> 2015</w:t>
            </w:r>
            <w:r w:rsidRPr="00267F3E">
              <w:rPr>
                <w:rFonts w:ascii="Verdana" w:hAnsi="Verdana" w:cs="Arial"/>
                <w:b/>
                <w:bCs/>
                <w:color w:val="FFFFFF"/>
                <w:sz w:val="14"/>
                <w:szCs w:val="14"/>
                <w:lang w:eastAsia="nl-NL"/>
              </w:rPr>
              <w:t>; in miljoenen euro)</w:t>
            </w:r>
          </w:p>
        </w:tc>
      </w:tr>
      <w:tr w:rsidR="00321CE1" w:rsidRPr="00267F3E" w:rsidTr="00802F80">
        <w:trPr>
          <w:trHeight w:val="225"/>
        </w:trPr>
        <w:tc>
          <w:tcPr>
            <w:tcW w:w="4777" w:type="dxa"/>
            <w:tcBorders>
              <w:top w:val="nil"/>
              <w:left w:val="nil"/>
              <w:bottom w:val="single" w:sz="4" w:space="0" w:color="1F497D"/>
              <w:right w:val="nil"/>
            </w:tcBorders>
            <w:shd w:val="clear" w:color="auto" w:fill="FFFFFF"/>
            <w:noWrap/>
            <w:vAlign w:val="center"/>
            <w:hideMark/>
          </w:tcPr>
          <w:p w:rsidR="00321CE1" w:rsidRPr="00267F3E" w:rsidRDefault="00321CE1" w:rsidP="00802F80">
            <w:pPr>
              <w:rPr>
                <w:rFonts w:ascii="Verdana" w:hAnsi="Verdana" w:cs="Arial"/>
                <w:b/>
                <w:bCs/>
                <w:sz w:val="14"/>
                <w:szCs w:val="14"/>
                <w:lang w:eastAsia="nl-NL"/>
              </w:rPr>
            </w:pPr>
            <w:r w:rsidRPr="00267F3E">
              <w:rPr>
                <w:rFonts w:ascii="Verdana" w:hAnsi="Verdana" w:cs="Arial"/>
                <w:b/>
                <w:bCs/>
                <w:sz w:val="14"/>
                <w:szCs w:val="14"/>
                <w:lang w:eastAsia="nl-NL"/>
              </w:rPr>
              <w:t> </w:t>
            </w:r>
          </w:p>
        </w:tc>
        <w:tc>
          <w:tcPr>
            <w:tcW w:w="719" w:type="dxa"/>
            <w:tcBorders>
              <w:top w:val="nil"/>
              <w:left w:val="nil"/>
              <w:bottom w:val="single" w:sz="4" w:space="0" w:color="1F497D"/>
              <w:right w:val="nil"/>
            </w:tcBorders>
            <w:shd w:val="clear" w:color="auto" w:fill="FFFFFF"/>
            <w:noWrap/>
            <w:vAlign w:val="center"/>
            <w:hideMark/>
          </w:tcPr>
          <w:p w:rsidR="00321CE1" w:rsidRPr="00267F3E" w:rsidRDefault="00321CE1" w:rsidP="00802F80">
            <w:pPr>
              <w:spacing w:line="276" w:lineRule="auto"/>
              <w:rPr>
                <w:rFonts w:ascii="Verdana" w:hAnsi="Verdana"/>
                <w:sz w:val="14"/>
                <w:szCs w:val="14"/>
                <w:lang w:eastAsia="en-US"/>
              </w:rPr>
            </w:pPr>
          </w:p>
        </w:tc>
        <w:tc>
          <w:tcPr>
            <w:tcW w:w="719" w:type="dxa"/>
            <w:tcBorders>
              <w:top w:val="nil"/>
              <w:left w:val="nil"/>
              <w:bottom w:val="single" w:sz="4" w:space="0" w:color="1F497D"/>
              <w:right w:val="nil"/>
            </w:tcBorders>
            <w:shd w:val="clear" w:color="auto" w:fill="FFFFFF"/>
            <w:noWrap/>
            <w:vAlign w:val="center"/>
            <w:hideMark/>
          </w:tcPr>
          <w:p w:rsidR="00321CE1" w:rsidRPr="00267F3E" w:rsidRDefault="00321CE1" w:rsidP="00802F80">
            <w:pPr>
              <w:jc w:val="right"/>
              <w:rPr>
                <w:rFonts w:ascii="Verdana" w:hAnsi="Verdana" w:cs="Arial"/>
                <w:b/>
                <w:bCs/>
                <w:sz w:val="14"/>
                <w:szCs w:val="14"/>
                <w:lang w:eastAsia="nl-NL"/>
              </w:rPr>
            </w:pPr>
            <w:r w:rsidRPr="00267F3E">
              <w:rPr>
                <w:rFonts w:ascii="Verdana" w:hAnsi="Verdana" w:cs="Arial"/>
                <w:b/>
                <w:bCs/>
                <w:sz w:val="14"/>
                <w:szCs w:val="14"/>
                <w:lang w:eastAsia="nl-NL"/>
              </w:rPr>
              <w:t>2015</w:t>
            </w:r>
          </w:p>
        </w:tc>
      </w:tr>
      <w:tr w:rsidR="00321CE1" w:rsidRPr="00267F3E" w:rsidTr="00802F80">
        <w:trPr>
          <w:trHeight w:val="225"/>
        </w:trPr>
        <w:tc>
          <w:tcPr>
            <w:tcW w:w="4777" w:type="dxa"/>
            <w:shd w:val="clear" w:color="auto" w:fill="FFFFFF"/>
            <w:noWrap/>
            <w:vAlign w:val="center"/>
            <w:hideMark/>
          </w:tcPr>
          <w:p w:rsidR="00321CE1" w:rsidRPr="00267F3E" w:rsidRDefault="00321CE1" w:rsidP="00802F80">
            <w:pPr>
              <w:rPr>
                <w:rFonts w:ascii="Verdana" w:hAnsi="Verdana" w:cs="Arial"/>
                <w:sz w:val="14"/>
                <w:szCs w:val="14"/>
                <w:lang w:eastAsia="nl-NL"/>
              </w:rPr>
            </w:pPr>
            <w:r w:rsidRPr="00267F3E">
              <w:rPr>
                <w:rFonts w:ascii="Verdana" w:hAnsi="Verdana" w:cs="Arial"/>
                <w:sz w:val="14"/>
                <w:szCs w:val="14"/>
                <w:lang w:eastAsia="nl-NL"/>
              </w:rPr>
              <w:t>Voorjaarsraming van de Europese Commissie</w:t>
            </w:r>
          </w:p>
        </w:tc>
        <w:tc>
          <w:tcPr>
            <w:tcW w:w="719" w:type="dxa"/>
            <w:shd w:val="clear" w:color="auto" w:fill="FFFFFF"/>
            <w:noWrap/>
            <w:vAlign w:val="center"/>
            <w:hideMark/>
          </w:tcPr>
          <w:p w:rsidR="00321CE1" w:rsidRPr="00267F3E" w:rsidRDefault="00321CE1" w:rsidP="00802F80">
            <w:pPr>
              <w:spacing w:line="276" w:lineRule="auto"/>
              <w:rPr>
                <w:rFonts w:ascii="Verdana" w:hAnsi="Verdana"/>
                <w:sz w:val="14"/>
                <w:szCs w:val="14"/>
                <w:lang w:eastAsia="en-US"/>
              </w:rPr>
            </w:pPr>
          </w:p>
        </w:tc>
        <w:tc>
          <w:tcPr>
            <w:tcW w:w="719" w:type="dxa"/>
            <w:shd w:val="clear" w:color="auto" w:fill="FFFFFF"/>
            <w:noWrap/>
            <w:vAlign w:val="center"/>
            <w:hideMark/>
          </w:tcPr>
          <w:p w:rsidR="00321CE1" w:rsidRPr="00267F3E" w:rsidRDefault="00321CE1" w:rsidP="00802F80">
            <w:pPr>
              <w:jc w:val="right"/>
              <w:rPr>
                <w:rFonts w:ascii="Verdana" w:hAnsi="Verdana" w:cs="Arial"/>
                <w:sz w:val="14"/>
                <w:szCs w:val="14"/>
                <w:lang w:eastAsia="nl-NL"/>
              </w:rPr>
            </w:pPr>
            <w:r w:rsidRPr="00267F3E">
              <w:rPr>
                <w:rFonts w:ascii="Verdana" w:hAnsi="Verdana" w:cs="Arial"/>
                <w:sz w:val="14"/>
                <w:szCs w:val="14"/>
                <w:lang w:eastAsia="nl-NL"/>
              </w:rPr>
              <w:t>136,631</w:t>
            </w:r>
          </w:p>
        </w:tc>
      </w:tr>
      <w:tr w:rsidR="00321CE1" w:rsidRPr="00267F3E" w:rsidTr="00802F80">
        <w:trPr>
          <w:trHeight w:val="225"/>
        </w:trPr>
        <w:tc>
          <w:tcPr>
            <w:tcW w:w="4777" w:type="dxa"/>
            <w:shd w:val="clear" w:color="auto" w:fill="FFFFFF"/>
            <w:noWrap/>
            <w:vAlign w:val="center"/>
            <w:hideMark/>
          </w:tcPr>
          <w:p w:rsidR="00321CE1" w:rsidRPr="00267F3E" w:rsidRDefault="00321CE1" w:rsidP="00802F80">
            <w:pPr>
              <w:rPr>
                <w:rFonts w:ascii="Verdana" w:hAnsi="Verdana" w:cs="Arial"/>
                <w:sz w:val="14"/>
                <w:szCs w:val="14"/>
                <w:lang w:eastAsia="nl-NL"/>
              </w:rPr>
            </w:pPr>
            <w:r w:rsidRPr="00267F3E">
              <w:rPr>
                <w:rFonts w:ascii="Verdana" w:hAnsi="Verdana" w:cs="Arial"/>
                <w:sz w:val="14"/>
                <w:szCs w:val="14"/>
                <w:lang w:eastAsia="nl-NL"/>
              </w:rPr>
              <w:t>Overboeking van de perceptiekostenvergoeding naar niet-belastingontvangsten</w:t>
            </w:r>
          </w:p>
        </w:tc>
        <w:tc>
          <w:tcPr>
            <w:tcW w:w="719" w:type="dxa"/>
            <w:shd w:val="clear" w:color="auto" w:fill="FFFFFF"/>
            <w:noWrap/>
            <w:vAlign w:val="center"/>
            <w:hideMark/>
          </w:tcPr>
          <w:p w:rsidR="00321CE1" w:rsidRPr="00267F3E" w:rsidRDefault="00321CE1" w:rsidP="00802F80">
            <w:pPr>
              <w:spacing w:line="276" w:lineRule="auto"/>
              <w:rPr>
                <w:rFonts w:ascii="Verdana" w:hAnsi="Verdana"/>
                <w:sz w:val="14"/>
                <w:szCs w:val="14"/>
                <w:lang w:eastAsia="en-US"/>
              </w:rPr>
            </w:pPr>
          </w:p>
        </w:tc>
        <w:tc>
          <w:tcPr>
            <w:tcW w:w="719" w:type="dxa"/>
            <w:tcBorders>
              <w:bottom w:val="single" w:sz="4" w:space="0" w:color="auto"/>
            </w:tcBorders>
            <w:shd w:val="clear" w:color="auto" w:fill="FFFFFF"/>
            <w:noWrap/>
            <w:vAlign w:val="center"/>
            <w:hideMark/>
          </w:tcPr>
          <w:p w:rsidR="00321CE1" w:rsidRPr="00523DA3" w:rsidRDefault="00321CE1" w:rsidP="00802F80">
            <w:pPr>
              <w:jc w:val="right"/>
              <w:rPr>
                <w:rFonts w:ascii="Verdana" w:hAnsi="Verdana" w:cs="Arial"/>
                <w:sz w:val="14"/>
                <w:szCs w:val="14"/>
                <w:lang w:eastAsia="nl-NL"/>
              </w:rPr>
            </w:pPr>
            <w:r w:rsidRPr="00523DA3">
              <w:rPr>
                <w:rFonts w:ascii="Verdana" w:hAnsi="Verdana" w:cs="Arial"/>
                <w:sz w:val="14"/>
                <w:szCs w:val="14"/>
                <w:lang w:eastAsia="nl-NL"/>
              </w:rPr>
              <w:t>20,456</w:t>
            </w:r>
          </w:p>
        </w:tc>
      </w:tr>
      <w:tr w:rsidR="00321CE1" w:rsidRPr="00267F3E" w:rsidTr="00802F80">
        <w:trPr>
          <w:trHeight w:val="225"/>
        </w:trPr>
        <w:tc>
          <w:tcPr>
            <w:tcW w:w="4777" w:type="dxa"/>
            <w:shd w:val="clear" w:color="auto" w:fill="FFFFFF"/>
            <w:noWrap/>
            <w:vAlign w:val="center"/>
            <w:hideMark/>
          </w:tcPr>
          <w:p w:rsidR="00321CE1" w:rsidRPr="00267F3E" w:rsidRDefault="00321CE1" w:rsidP="00802F80">
            <w:pPr>
              <w:rPr>
                <w:rFonts w:ascii="Verdana" w:hAnsi="Verdana" w:cs="Arial"/>
                <w:b/>
                <w:bCs/>
                <w:sz w:val="14"/>
                <w:szCs w:val="14"/>
                <w:lang w:eastAsia="nl-NL"/>
              </w:rPr>
            </w:pPr>
            <w:r>
              <w:rPr>
                <w:rFonts w:ascii="Verdana" w:hAnsi="Verdana" w:cs="Arial"/>
                <w:b/>
                <w:bCs/>
                <w:sz w:val="14"/>
                <w:szCs w:val="14"/>
                <w:lang w:eastAsia="nl-NL"/>
              </w:rPr>
              <w:t xml:space="preserve">Totale mutatie </w:t>
            </w:r>
            <w:r w:rsidRPr="00267F3E">
              <w:rPr>
                <w:rFonts w:ascii="Verdana" w:hAnsi="Verdana" w:cs="Arial"/>
                <w:b/>
                <w:bCs/>
                <w:sz w:val="14"/>
                <w:szCs w:val="14"/>
                <w:lang w:eastAsia="nl-NL"/>
              </w:rPr>
              <w:t>EU-afdrachten (bruto)</w:t>
            </w:r>
          </w:p>
        </w:tc>
        <w:tc>
          <w:tcPr>
            <w:tcW w:w="719" w:type="dxa"/>
            <w:shd w:val="clear" w:color="auto" w:fill="FFFFFF"/>
            <w:noWrap/>
            <w:vAlign w:val="center"/>
            <w:hideMark/>
          </w:tcPr>
          <w:p w:rsidR="00321CE1" w:rsidRPr="00267F3E" w:rsidRDefault="00321CE1" w:rsidP="00802F80">
            <w:pPr>
              <w:spacing w:line="276" w:lineRule="auto"/>
              <w:rPr>
                <w:rFonts w:ascii="Verdana" w:hAnsi="Verdana"/>
                <w:sz w:val="14"/>
                <w:szCs w:val="14"/>
                <w:lang w:eastAsia="en-US"/>
              </w:rPr>
            </w:pPr>
          </w:p>
        </w:tc>
        <w:tc>
          <w:tcPr>
            <w:tcW w:w="719" w:type="dxa"/>
            <w:tcBorders>
              <w:top w:val="single" w:sz="4" w:space="0" w:color="auto"/>
              <w:left w:val="nil"/>
              <w:bottom w:val="single" w:sz="4" w:space="0" w:color="auto"/>
              <w:right w:val="nil"/>
            </w:tcBorders>
            <w:shd w:val="clear" w:color="auto" w:fill="FFFFFF"/>
            <w:noWrap/>
            <w:vAlign w:val="center"/>
            <w:hideMark/>
          </w:tcPr>
          <w:p w:rsidR="00321CE1" w:rsidRPr="00267F3E" w:rsidRDefault="00321CE1" w:rsidP="00802F80">
            <w:pPr>
              <w:jc w:val="right"/>
              <w:rPr>
                <w:rFonts w:ascii="Verdana" w:hAnsi="Verdana" w:cs="Arial"/>
                <w:b/>
                <w:bCs/>
                <w:sz w:val="14"/>
                <w:szCs w:val="14"/>
                <w:lang w:eastAsia="nl-NL"/>
              </w:rPr>
            </w:pPr>
            <w:r w:rsidRPr="00267F3E">
              <w:rPr>
                <w:rFonts w:ascii="Verdana" w:hAnsi="Verdana" w:cs="Arial"/>
                <w:b/>
                <w:bCs/>
                <w:sz w:val="14"/>
                <w:szCs w:val="14"/>
                <w:lang w:eastAsia="nl-NL"/>
              </w:rPr>
              <w:t>157,087</w:t>
            </w:r>
          </w:p>
        </w:tc>
      </w:tr>
    </w:tbl>
    <w:p w:rsidR="00321CE1" w:rsidRDefault="00321CE1" w:rsidP="00321CE1">
      <w:pPr>
        <w:rPr>
          <w:rFonts w:ascii="Verdana" w:hAnsi="Verdana" w:cstheme="minorBidi"/>
          <w:sz w:val="18"/>
          <w:szCs w:val="22"/>
          <w:lang w:eastAsia="en-US"/>
        </w:rPr>
      </w:pPr>
    </w:p>
    <w:p w:rsidR="00321CE1" w:rsidRPr="00331F17" w:rsidRDefault="00321CE1" w:rsidP="00321CE1">
      <w:pPr>
        <w:rPr>
          <w:rFonts w:ascii="Verdana" w:hAnsi="Verdana"/>
          <w:i/>
          <w:sz w:val="18"/>
          <w:szCs w:val="18"/>
        </w:rPr>
      </w:pPr>
      <w:r w:rsidRPr="00331F17">
        <w:rPr>
          <w:rFonts w:ascii="Verdana" w:hAnsi="Verdana"/>
          <w:i/>
          <w:sz w:val="18"/>
          <w:szCs w:val="18"/>
        </w:rPr>
        <w:t>Mutaties EU afdrachten Miljoenennota 2016 – Najaarsnota 2015:</w:t>
      </w:r>
    </w:p>
    <w:p w:rsidR="00321CE1" w:rsidRPr="00DD40CC" w:rsidRDefault="00321CE1" w:rsidP="00321CE1">
      <w:pPr>
        <w:rPr>
          <w:rFonts w:ascii="Verdana" w:hAnsi="Verdana"/>
          <w:sz w:val="18"/>
          <w:szCs w:val="18"/>
        </w:rPr>
      </w:pPr>
      <w:r>
        <w:rPr>
          <w:rFonts w:ascii="Verdana" w:hAnsi="Verdana"/>
          <w:sz w:val="18"/>
          <w:szCs w:val="18"/>
        </w:rPr>
        <w:t>Daarnaast zijn s</w:t>
      </w:r>
      <w:r w:rsidRPr="00DD40CC">
        <w:rPr>
          <w:rFonts w:ascii="Verdana" w:hAnsi="Verdana"/>
          <w:sz w:val="18"/>
          <w:szCs w:val="18"/>
        </w:rPr>
        <w:t>inds de Miljoenennota 2016 twee aanvullende begrotingen (</w:t>
      </w:r>
      <w:r w:rsidRPr="00523DA3">
        <w:rPr>
          <w:rFonts w:ascii="Verdana" w:hAnsi="Verdana"/>
          <w:i/>
          <w:sz w:val="18"/>
          <w:szCs w:val="18"/>
        </w:rPr>
        <w:t xml:space="preserve">draft </w:t>
      </w:r>
      <w:proofErr w:type="spellStart"/>
      <w:r w:rsidRPr="00523DA3">
        <w:rPr>
          <w:rFonts w:ascii="Verdana" w:hAnsi="Verdana"/>
          <w:i/>
          <w:sz w:val="18"/>
          <w:szCs w:val="18"/>
        </w:rPr>
        <w:t>amending</w:t>
      </w:r>
      <w:proofErr w:type="spellEnd"/>
      <w:r w:rsidRPr="00523DA3">
        <w:rPr>
          <w:rFonts w:ascii="Verdana" w:hAnsi="Verdana"/>
          <w:i/>
          <w:sz w:val="18"/>
          <w:szCs w:val="18"/>
        </w:rPr>
        <w:t xml:space="preserve"> budget</w:t>
      </w:r>
      <w:r>
        <w:rPr>
          <w:rFonts w:ascii="Verdana" w:hAnsi="Verdana"/>
          <w:sz w:val="18"/>
          <w:szCs w:val="18"/>
        </w:rPr>
        <w:t xml:space="preserve">; </w:t>
      </w:r>
      <w:r w:rsidRPr="00DD40CC">
        <w:rPr>
          <w:rFonts w:ascii="Verdana" w:hAnsi="Verdana"/>
          <w:sz w:val="18"/>
          <w:szCs w:val="18"/>
        </w:rPr>
        <w:t xml:space="preserve">DAB7 en DAB8) ingediend. De aanname van DAB8 in het Europees Parlement heeft niet tijdig genoeg plaatsgevonden </w:t>
      </w:r>
      <w:r w:rsidRPr="00F217C3">
        <w:rPr>
          <w:rFonts w:ascii="Verdana" w:hAnsi="Verdana"/>
          <w:sz w:val="18"/>
          <w:szCs w:val="18"/>
        </w:rPr>
        <w:t>om de aan DAB8 gekoppelde restituties nog in 2015 te verwerken.</w:t>
      </w:r>
      <w:r w:rsidRPr="00DD40CC">
        <w:rPr>
          <w:rFonts w:ascii="Verdana" w:hAnsi="Verdana"/>
          <w:sz w:val="18"/>
          <w:szCs w:val="18"/>
        </w:rPr>
        <w:t xml:space="preserve"> De uitbetaling van de restituties vindt nu plaats in 2016, dit resulteert voor 2015 in een aanvullende </w:t>
      </w:r>
      <w:r>
        <w:rPr>
          <w:rFonts w:ascii="Verdana" w:hAnsi="Verdana"/>
          <w:sz w:val="18"/>
          <w:szCs w:val="18"/>
        </w:rPr>
        <w:t>bruto</w:t>
      </w:r>
      <w:r w:rsidRPr="00DD40CC">
        <w:rPr>
          <w:rFonts w:ascii="Verdana" w:hAnsi="Verdana"/>
          <w:sz w:val="18"/>
          <w:szCs w:val="18"/>
        </w:rPr>
        <w:t xml:space="preserve">-afdracht van </w:t>
      </w:r>
      <w:r>
        <w:rPr>
          <w:rFonts w:ascii="Verdana" w:hAnsi="Verdana"/>
          <w:sz w:val="18"/>
          <w:szCs w:val="18"/>
        </w:rPr>
        <w:t xml:space="preserve">EUR </w:t>
      </w:r>
      <w:r>
        <w:rPr>
          <w:rFonts w:ascii="Verdana" w:hAnsi="Verdana"/>
          <w:sz w:val="18"/>
          <w:szCs w:val="18"/>
        </w:rPr>
        <w:lastRenderedPageBreak/>
        <w:t>909</w:t>
      </w:r>
      <w:r w:rsidRPr="00DD40CC">
        <w:rPr>
          <w:rFonts w:ascii="Verdana" w:hAnsi="Verdana"/>
          <w:sz w:val="18"/>
          <w:szCs w:val="18"/>
        </w:rPr>
        <w:t xml:space="preserve"> </w:t>
      </w:r>
      <w:r>
        <w:rPr>
          <w:rFonts w:ascii="Verdana" w:hAnsi="Verdana"/>
          <w:sz w:val="18"/>
          <w:szCs w:val="18"/>
        </w:rPr>
        <w:t>miljoen</w:t>
      </w:r>
      <w:r>
        <w:rPr>
          <w:rStyle w:val="Voetnootmarkering"/>
          <w:rFonts w:ascii="Verdana" w:hAnsi="Verdana"/>
          <w:sz w:val="18"/>
          <w:szCs w:val="18"/>
        </w:rPr>
        <w:footnoteReference w:id="1"/>
      </w:r>
      <w:r w:rsidRPr="00DD40CC">
        <w:rPr>
          <w:rFonts w:ascii="Verdana" w:hAnsi="Verdana"/>
          <w:sz w:val="18"/>
          <w:szCs w:val="18"/>
        </w:rPr>
        <w:t xml:space="preserve">, waarvoor </w:t>
      </w:r>
      <w:r>
        <w:rPr>
          <w:rFonts w:ascii="Verdana" w:hAnsi="Verdana"/>
          <w:sz w:val="18"/>
          <w:szCs w:val="18"/>
        </w:rPr>
        <w:t xml:space="preserve">EUR </w:t>
      </w:r>
      <w:r w:rsidRPr="00DD40CC">
        <w:rPr>
          <w:rFonts w:ascii="Verdana" w:hAnsi="Verdana"/>
          <w:sz w:val="18"/>
          <w:szCs w:val="18"/>
        </w:rPr>
        <w:t xml:space="preserve">612 </w:t>
      </w:r>
      <w:r>
        <w:rPr>
          <w:rFonts w:ascii="Verdana" w:hAnsi="Verdana"/>
          <w:sz w:val="18"/>
          <w:szCs w:val="18"/>
        </w:rPr>
        <w:t>miljoen</w:t>
      </w:r>
      <w:r w:rsidRPr="00DD40CC">
        <w:rPr>
          <w:rFonts w:ascii="Verdana" w:hAnsi="Verdana"/>
          <w:sz w:val="18"/>
          <w:szCs w:val="18"/>
        </w:rPr>
        <w:t xml:space="preserve"> reeds gereserveerd was op de aanvullende post </w:t>
      </w:r>
      <w:r>
        <w:rPr>
          <w:rFonts w:ascii="Verdana" w:hAnsi="Verdana"/>
          <w:sz w:val="18"/>
          <w:szCs w:val="18"/>
        </w:rPr>
        <w:t xml:space="preserve">zoals opgenomen in de Miljoenennota 2016 </w:t>
      </w:r>
      <w:r w:rsidRPr="00DD40CC">
        <w:rPr>
          <w:rFonts w:ascii="Verdana" w:hAnsi="Verdana"/>
          <w:sz w:val="18"/>
          <w:szCs w:val="18"/>
        </w:rPr>
        <w:t xml:space="preserve">(H86). </w:t>
      </w:r>
    </w:p>
    <w:p w:rsidR="00321CE1" w:rsidRDefault="00321CE1" w:rsidP="00321CE1">
      <w:pPr>
        <w:rPr>
          <w:rFonts w:ascii="Verdana" w:hAnsi="Verdana"/>
          <w:sz w:val="18"/>
          <w:szCs w:val="18"/>
        </w:rPr>
      </w:pPr>
    </w:p>
    <w:p w:rsidR="00321CE1" w:rsidRDefault="00321CE1" w:rsidP="00321CE1">
      <w:pPr>
        <w:rPr>
          <w:rFonts w:ascii="Verdana" w:hAnsi="Verdana"/>
          <w:sz w:val="18"/>
          <w:szCs w:val="18"/>
        </w:rPr>
      </w:pPr>
      <w:r w:rsidRPr="00DD40CC">
        <w:rPr>
          <w:rFonts w:ascii="Verdana" w:hAnsi="Verdana"/>
          <w:sz w:val="18"/>
          <w:szCs w:val="18"/>
        </w:rPr>
        <w:t>Een overzicht van de mutaties van de EU-afdrachten sinds de Miljoenennota 2016 treft u aan in onderstaande tabel.</w:t>
      </w:r>
    </w:p>
    <w:p w:rsidR="00321CE1" w:rsidRPr="00DD40CC" w:rsidRDefault="00321CE1" w:rsidP="00321CE1">
      <w:pPr>
        <w:rPr>
          <w:rFonts w:ascii="Verdana" w:hAnsi="Verdana"/>
          <w:sz w:val="18"/>
          <w:szCs w:val="18"/>
        </w:rPr>
      </w:pPr>
    </w:p>
    <w:tbl>
      <w:tblPr>
        <w:tblpPr w:leftFromText="141" w:rightFromText="141" w:vertAnchor="text" w:horzAnchor="margin" w:tblpY="67"/>
        <w:tblW w:w="2868" w:type="pct"/>
        <w:tblLayout w:type="fixed"/>
        <w:tblCellMar>
          <w:left w:w="70" w:type="dxa"/>
          <w:right w:w="70" w:type="dxa"/>
        </w:tblCellMar>
        <w:tblLook w:val="04A0" w:firstRow="1" w:lastRow="0" w:firstColumn="1" w:lastColumn="0" w:noHBand="0" w:noVBand="1"/>
      </w:tblPr>
      <w:tblGrid>
        <w:gridCol w:w="314"/>
        <w:gridCol w:w="4218"/>
        <w:gridCol w:w="1035"/>
        <w:gridCol w:w="42"/>
      </w:tblGrid>
      <w:tr w:rsidR="00321CE1" w:rsidRPr="00DD40CC" w:rsidTr="00802F80">
        <w:trPr>
          <w:gridAfter w:val="1"/>
          <w:wAfter w:w="37" w:type="pct"/>
          <w:trHeight w:val="284"/>
        </w:trPr>
        <w:tc>
          <w:tcPr>
            <w:tcW w:w="4963" w:type="pct"/>
            <w:gridSpan w:val="3"/>
            <w:shd w:val="clear" w:color="000000" w:fill="1F497D" w:themeFill="text2"/>
            <w:noWrap/>
            <w:vAlign w:val="center"/>
            <w:hideMark/>
          </w:tcPr>
          <w:p w:rsidR="00321CE1" w:rsidRPr="00DD40CC" w:rsidRDefault="00321CE1" w:rsidP="00802F80">
            <w:pPr>
              <w:rPr>
                <w:rFonts w:ascii="Verdana" w:hAnsi="Verdana" w:cs="Arial"/>
                <w:b/>
                <w:bCs/>
                <w:color w:val="FFFFFF" w:themeColor="background1"/>
                <w:sz w:val="14"/>
                <w:szCs w:val="14"/>
                <w:lang w:eastAsia="nl-NL"/>
              </w:rPr>
            </w:pPr>
            <w:r>
              <w:rPr>
                <w:rFonts w:ascii="Verdana" w:hAnsi="Verdana" w:cs="Arial"/>
                <w:b/>
                <w:bCs/>
                <w:color w:val="FFFFFF" w:themeColor="background1"/>
                <w:sz w:val="14"/>
                <w:szCs w:val="14"/>
                <w:lang w:eastAsia="nl-NL"/>
              </w:rPr>
              <w:t xml:space="preserve">Tabel 2: </w:t>
            </w:r>
            <w:r w:rsidRPr="00DD40CC">
              <w:rPr>
                <w:rFonts w:ascii="Verdana" w:hAnsi="Verdana" w:cs="Arial"/>
                <w:b/>
                <w:bCs/>
                <w:color w:val="FFFFFF" w:themeColor="background1"/>
                <w:sz w:val="14"/>
                <w:szCs w:val="14"/>
                <w:lang w:eastAsia="nl-NL"/>
              </w:rPr>
              <w:t>Mutatie</w:t>
            </w:r>
            <w:r>
              <w:rPr>
                <w:rFonts w:ascii="Verdana" w:hAnsi="Verdana" w:cs="Arial"/>
                <w:b/>
                <w:bCs/>
                <w:color w:val="FFFFFF" w:themeColor="background1"/>
                <w:sz w:val="14"/>
                <w:szCs w:val="14"/>
                <w:lang w:eastAsia="nl-NL"/>
              </w:rPr>
              <w:t xml:space="preserve"> in afdrachten (Najaarsnota 2015 minus Miljoenennota 2016 in miljoenen euro)</w:t>
            </w:r>
          </w:p>
        </w:tc>
      </w:tr>
      <w:tr w:rsidR="00321CE1" w:rsidRPr="00DD40CC" w:rsidTr="00802F80">
        <w:trPr>
          <w:trHeight w:val="225"/>
        </w:trPr>
        <w:tc>
          <w:tcPr>
            <w:tcW w:w="4040" w:type="pct"/>
            <w:gridSpan w:val="2"/>
            <w:tcBorders>
              <w:bottom w:val="single" w:sz="4" w:space="0" w:color="1F497D" w:themeColor="text2"/>
            </w:tcBorders>
            <w:shd w:val="clear" w:color="000000" w:fill="FFFFFF"/>
            <w:noWrap/>
            <w:vAlign w:val="center"/>
            <w:hideMark/>
          </w:tcPr>
          <w:p w:rsidR="00321CE1" w:rsidRPr="00DD40CC" w:rsidRDefault="00321CE1" w:rsidP="00802F80">
            <w:pPr>
              <w:rPr>
                <w:rFonts w:ascii="Verdana" w:hAnsi="Verdana" w:cs="Arial"/>
                <w:b/>
                <w:bCs/>
                <w:sz w:val="14"/>
                <w:szCs w:val="14"/>
                <w:lang w:eastAsia="nl-NL"/>
              </w:rPr>
            </w:pPr>
          </w:p>
        </w:tc>
        <w:tc>
          <w:tcPr>
            <w:tcW w:w="960" w:type="pct"/>
            <w:gridSpan w:val="2"/>
            <w:tcBorders>
              <w:bottom w:val="single" w:sz="4" w:space="0" w:color="1F497D" w:themeColor="text2"/>
            </w:tcBorders>
            <w:shd w:val="clear" w:color="000000" w:fill="FFFFFF"/>
            <w:noWrap/>
            <w:vAlign w:val="center"/>
            <w:hideMark/>
          </w:tcPr>
          <w:p w:rsidR="00321CE1" w:rsidRPr="00DD40CC" w:rsidRDefault="00321CE1" w:rsidP="00802F80">
            <w:pPr>
              <w:jc w:val="right"/>
              <w:rPr>
                <w:rFonts w:ascii="Verdana" w:hAnsi="Verdana" w:cs="Arial"/>
                <w:b/>
                <w:bCs/>
                <w:sz w:val="14"/>
                <w:szCs w:val="14"/>
                <w:lang w:eastAsia="nl-NL"/>
              </w:rPr>
            </w:pPr>
            <w:r w:rsidRPr="00DD40CC">
              <w:rPr>
                <w:rFonts w:ascii="Verdana" w:hAnsi="Verdana" w:cs="Arial"/>
                <w:b/>
                <w:bCs/>
                <w:sz w:val="14"/>
                <w:szCs w:val="14"/>
                <w:lang w:eastAsia="nl-NL"/>
              </w:rPr>
              <w:t>2015</w:t>
            </w:r>
          </w:p>
        </w:tc>
      </w:tr>
      <w:tr w:rsidR="00321CE1" w:rsidRPr="00DD40CC" w:rsidTr="00802F80">
        <w:trPr>
          <w:trHeight w:val="225"/>
        </w:trPr>
        <w:tc>
          <w:tcPr>
            <w:tcW w:w="280" w:type="pct"/>
            <w:shd w:val="clear" w:color="000000" w:fill="FFFFFF"/>
            <w:noWrap/>
            <w:vAlign w:val="center"/>
            <w:hideMark/>
          </w:tcPr>
          <w:p w:rsidR="00321CE1" w:rsidRPr="00DD40CC" w:rsidRDefault="00321CE1" w:rsidP="00802F80">
            <w:pPr>
              <w:rPr>
                <w:rFonts w:ascii="Verdana" w:hAnsi="Verdana" w:cs="Arial"/>
                <w:sz w:val="14"/>
                <w:szCs w:val="14"/>
                <w:lang w:eastAsia="nl-NL"/>
              </w:rPr>
            </w:pPr>
          </w:p>
        </w:tc>
        <w:tc>
          <w:tcPr>
            <w:tcW w:w="3760" w:type="pct"/>
            <w:shd w:val="clear" w:color="000000" w:fill="FFFFFF"/>
            <w:vAlign w:val="center"/>
          </w:tcPr>
          <w:p w:rsidR="00321CE1" w:rsidRPr="00DD40CC" w:rsidRDefault="00321CE1" w:rsidP="00802F80">
            <w:pPr>
              <w:rPr>
                <w:rFonts w:ascii="Verdana" w:hAnsi="Verdana" w:cs="Arial"/>
                <w:sz w:val="14"/>
                <w:szCs w:val="14"/>
                <w:lang w:eastAsia="nl-NL"/>
              </w:rPr>
            </w:pPr>
            <w:r w:rsidRPr="00DD40CC">
              <w:rPr>
                <w:rFonts w:ascii="Verdana" w:hAnsi="Verdana" w:cs="Arial"/>
                <w:sz w:val="14"/>
                <w:szCs w:val="14"/>
                <w:lang w:eastAsia="nl-NL"/>
              </w:rPr>
              <w:t>1. Bruto nacalculatie</w:t>
            </w:r>
          </w:p>
        </w:tc>
        <w:tc>
          <w:tcPr>
            <w:tcW w:w="960" w:type="pct"/>
            <w:gridSpan w:val="2"/>
            <w:shd w:val="clear" w:color="000000" w:fill="FFFFFF"/>
            <w:noWrap/>
            <w:vAlign w:val="center"/>
            <w:hideMark/>
          </w:tcPr>
          <w:p w:rsidR="00321CE1" w:rsidRPr="00DD40CC" w:rsidRDefault="00321CE1" w:rsidP="00802F80">
            <w:pPr>
              <w:jc w:val="right"/>
              <w:rPr>
                <w:rFonts w:ascii="Verdana" w:hAnsi="Verdana" w:cs="Arial"/>
                <w:sz w:val="14"/>
                <w:szCs w:val="14"/>
                <w:lang w:eastAsia="nl-NL"/>
              </w:rPr>
            </w:pPr>
            <w:r w:rsidRPr="00DD40CC">
              <w:rPr>
                <w:rFonts w:ascii="Verdana" w:hAnsi="Verdana" w:cs="Arial"/>
                <w:sz w:val="14"/>
                <w:szCs w:val="14"/>
                <w:lang w:eastAsia="nl-NL"/>
              </w:rPr>
              <w:t>512,386</w:t>
            </w:r>
          </w:p>
        </w:tc>
      </w:tr>
      <w:tr w:rsidR="00321CE1" w:rsidRPr="00DD40CC" w:rsidTr="00802F80">
        <w:trPr>
          <w:trHeight w:val="225"/>
        </w:trPr>
        <w:tc>
          <w:tcPr>
            <w:tcW w:w="280" w:type="pct"/>
            <w:shd w:val="clear" w:color="000000" w:fill="FFFFFF"/>
            <w:noWrap/>
            <w:vAlign w:val="center"/>
            <w:hideMark/>
          </w:tcPr>
          <w:p w:rsidR="00321CE1" w:rsidRPr="00DD40CC" w:rsidRDefault="00321CE1" w:rsidP="00802F80">
            <w:pPr>
              <w:rPr>
                <w:rFonts w:ascii="Verdana" w:hAnsi="Verdana" w:cs="Arial"/>
                <w:sz w:val="14"/>
                <w:szCs w:val="14"/>
                <w:lang w:eastAsia="nl-NL"/>
              </w:rPr>
            </w:pPr>
          </w:p>
        </w:tc>
        <w:tc>
          <w:tcPr>
            <w:tcW w:w="3760" w:type="pct"/>
            <w:shd w:val="clear" w:color="000000" w:fill="FFFFFF"/>
            <w:vAlign w:val="center"/>
          </w:tcPr>
          <w:p w:rsidR="00321CE1" w:rsidRPr="00DD40CC" w:rsidRDefault="00321CE1" w:rsidP="00802F80">
            <w:pPr>
              <w:rPr>
                <w:rFonts w:ascii="Verdana" w:hAnsi="Verdana" w:cs="Arial"/>
                <w:sz w:val="14"/>
                <w:szCs w:val="14"/>
                <w:lang w:eastAsia="nl-NL"/>
              </w:rPr>
            </w:pPr>
            <w:r w:rsidRPr="00DD40CC">
              <w:rPr>
                <w:rFonts w:ascii="Verdana" w:hAnsi="Verdana" w:cs="Arial"/>
                <w:sz w:val="14"/>
                <w:szCs w:val="14"/>
                <w:lang w:eastAsia="nl-NL"/>
              </w:rPr>
              <w:t>2. Tweede terugbetaling naheffing 2014</w:t>
            </w:r>
          </w:p>
        </w:tc>
        <w:tc>
          <w:tcPr>
            <w:tcW w:w="960" w:type="pct"/>
            <w:gridSpan w:val="2"/>
            <w:shd w:val="clear" w:color="000000" w:fill="FFFFFF"/>
            <w:noWrap/>
            <w:vAlign w:val="center"/>
            <w:hideMark/>
          </w:tcPr>
          <w:p w:rsidR="00321CE1" w:rsidRPr="00DD40CC" w:rsidRDefault="00321CE1" w:rsidP="00802F80">
            <w:pPr>
              <w:jc w:val="right"/>
              <w:rPr>
                <w:rFonts w:ascii="Verdana" w:hAnsi="Verdana" w:cs="Arial"/>
                <w:sz w:val="14"/>
                <w:szCs w:val="14"/>
                <w:lang w:eastAsia="nl-NL"/>
              </w:rPr>
            </w:pPr>
            <w:r w:rsidRPr="00DD40CC">
              <w:rPr>
                <w:rFonts w:ascii="Verdana" w:hAnsi="Verdana" w:cs="Arial"/>
                <w:sz w:val="14"/>
                <w:szCs w:val="14"/>
                <w:lang w:eastAsia="nl-NL"/>
              </w:rPr>
              <w:t>251,597</w:t>
            </w:r>
          </w:p>
        </w:tc>
      </w:tr>
      <w:tr w:rsidR="00321CE1" w:rsidRPr="00DD40CC" w:rsidTr="00802F80">
        <w:trPr>
          <w:trHeight w:val="225"/>
        </w:trPr>
        <w:tc>
          <w:tcPr>
            <w:tcW w:w="280" w:type="pct"/>
            <w:shd w:val="clear" w:color="000000" w:fill="FFFFFF"/>
            <w:noWrap/>
            <w:vAlign w:val="center"/>
            <w:hideMark/>
          </w:tcPr>
          <w:p w:rsidR="00321CE1" w:rsidRPr="00DD40CC" w:rsidRDefault="00321CE1" w:rsidP="00802F80">
            <w:pPr>
              <w:rPr>
                <w:rFonts w:ascii="Verdana" w:hAnsi="Verdana" w:cs="Arial"/>
                <w:sz w:val="14"/>
                <w:szCs w:val="14"/>
                <w:lang w:eastAsia="nl-NL"/>
              </w:rPr>
            </w:pPr>
          </w:p>
        </w:tc>
        <w:tc>
          <w:tcPr>
            <w:tcW w:w="3760" w:type="pct"/>
            <w:shd w:val="clear" w:color="000000" w:fill="FFFFFF"/>
            <w:vAlign w:val="center"/>
          </w:tcPr>
          <w:p w:rsidR="00321CE1" w:rsidRPr="00DD40CC" w:rsidRDefault="00321CE1" w:rsidP="00802F80">
            <w:pPr>
              <w:rPr>
                <w:rFonts w:ascii="Verdana" w:hAnsi="Verdana" w:cs="Arial"/>
                <w:sz w:val="14"/>
                <w:szCs w:val="14"/>
                <w:lang w:eastAsia="nl-NL"/>
              </w:rPr>
            </w:pPr>
            <w:r w:rsidRPr="00DD40CC">
              <w:rPr>
                <w:rFonts w:ascii="Verdana" w:hAnsi="Verdana" w:cs="Arial"/>
                <w:sz w:val="14"/>
                <w:szCs w:val="14"/>
                <w:lang w:eastAsia="nl-NL"/>
              </w:rPr>
              <w:t>3. Invoerrechten</w:t>
            </w:r>
          </w:p>
        </w:tc>
        <w:tc>
          <w:tcPr>
            <w:tcW w:w="960" w:type="pct"/>
            <w:gridSpan w:val="2"/>
            <w:shd w:val="clear" w:color="000000" w:fill="FFFFFF"/>
            <w:noWrap/>
            <w:vAlign w:val="center"/>
            <w:hideMark/>
          </w:tcPr>
          <w:p w:rsidR="00321CE1" w:rsidRPr="00DD40CC" w:rsidRDefault="00321CE1" w:rsidP="00802F80">
            <w:pPr>
              <w:jc w:val="right"/>
              <w:rPr>
                <w:rFonts w:ascii="Verdana" w:hAnsi="Verdana" w:cs="Arial"/>
                <w:sz w:val="14"/>
                <w:szCs w:val="14"/>
                <w:lang w:eastAsia="nl-NL"/>
              </w:rPr>
            </w:pPr>
            <w:r>
              <w:rPr>
                <w:rFonts w:ascii="Verdana" w:hAnsi="Verdana" w:cs="Arial"/>
                <w:sz w:val="14"/>
                <w:szCs w:val="14"/>
                <w:lang w:eastAsia="nl-NL"/>
              </w:rPr>
              <w:t>145,061</w:t>
            </w:r>
          </w:p>
        </w:tc>
      </w:tr>
      <w:tr w:rsidR="00321CE1" w:rsidRPr="00DD40CC" w:rsidTr="00802F80">
        <w:trPr>
          <w:trHeight w:val="225"/>
        </w:trPr>
        <w:tc>
          <w:tcPr>
            <w:tcW w:w="4040" w:type="pct"/>
            <w:gridSpan w:val="2"/>
            <w:shd w:val="clear" w:color="000000" w:fill="FFFFFF"/>
            <w:noWrap/>
            <w:vAlign w:val="center"/>
            <w:hideMark/>
          </w:tcPr>
          <w:p w:rsidR="00321CE1" w:rsidRPr="00DD40CC" w:rsidRDefault="00321CE1" w:rsidP="00802F80">
            <w:pPr>
              <w:rPr>
                <w:rFonts w:ascii="Verdana" w:hAnsi="Verdana" w:cs="Arial"/>
                <w:b/>
                <w:sz w:val="14"/>
                <w:szCs w:val="14"/>
                <w:lang w:eastAsia="nl-NL"/>
              </w:rPr>
            </w:pPr>
            <w:r w:rsidRPr="00DD40CC">
              <w:rPr>
                <w:rFonts w:ascii="Verdana" w:hAnsi="Verdana" w:cs="Arial"/>
                <w:b/>
                <w:sz w:val="14"/>
                <w:szCs w:val="14"/>
                <w:lang w:eastAsia="nl-NL"/>
              </w:rPr>
              <w:t xml:space="preserve">Totale mutatie </w:t>
            </w:r>
            <w:r>
              <w:rPr>
                <w:rFonts w:ascii="Verdana" w:hAnsi="Verdana" w:cs="Arial"/>
                <w:b/>
                <w:sz w:val="14"/>
                <w:szCs w:val="14"/>
                <w:lang w:eastAsia="nl-NL"/>
              </w:rPr>
              <w:t>EU-afdrachten (bruto)</w:t>
            </w:r>
          </w:p>
        </w:tc>
        <w:tc>
          <w:tcPr>
            <w:tcW w:w="960" w:type="pct"/>
            <w:gridSpan w:val="2"/>
            <w:tcBorders>
              <w:top w:val="single" w:sz="4" w:space="0" w:color="auto"/>
              <w:bottom w:val="single" w:sz="4" w:space="0" w:color="auto"/>
            </w:tcBorders>
            <w:shd w:val="clear" w:color="000000" w:fill="FFFFFF"/>
            <w:noWrap/>
            <w:vAlign w:val="center"/>
            <w:hideMark/>
          </w:tcPr>
          <w:p w:rsidR="00321CE1" w:rsidRPr="00DD40CC" w:rsidRDefault="00321CE1" w:rsidP="00802F80">
            <w:pPr>
              <w:jc w:val="right"/>
              <w:rPr>
                <w:rFonts w:ascii="Verdana" w:hAnsi="Verdana" w:cs="Arial"/>
                <w:b/>
                <w:sz w:val="14"/>
                <w:szCs w:val="14"/>
                <w:lang w:eastAsia="nl-NL"/>
              </w:rPr>
            </w:pPr>
            <w:r>
              <w:rPr>
                <w:rFonts w:ascii="Verdana" w:hAnsi="Verdana" w:cs="Arial"/>
                <w:b/>
                <w:sz w:val="14"/>
                <w:szCs w:val="14"/>
                <w:lang w:eastAsia="nl-NL"/>
              </w:rPr>
              <w:t>909,044</w:t>
            </w:r>
          </w:p>
        </w:tc>
      </w:tr>
    </w:tbl>
    <w:p w:rsidR="00321CE1" w:rsidRDefault="00321CE1" w:rsidP="00321CE1">
      <w:pPr>
        <w:rPr>
          <w:rFonts w:ascii="Verdana" w:hAnsi="Verdana"/>
          <w:szCs w:val="18"/>
        </w:rPr>
      </w:pPr>
    </w:p>
    <w:p w:rsidR="00321CE1" w:rsidRDefault="00321CE1" w:rsidP="00321CE1">
      <w:pPr>
        <w:rPr>
          <w:rFonts w:ascii="Verdana" w:hAnsi="Verdana"/>
          <w:szCs w:val="18"/>
        </w:rPr>
      </w:pPr>
    </w:p>
    <w:p w:rsidR="00321CE1" w:rsidRDefault="00321CE1" w:rsidP="00321CE1">
      <w:pPr>
        <w:rPr>
          <w:rFonts w:ascii="Verdana" w:hAnsi="Verdana"/>
          <w:szCs w:val="18"/>
        </w:rPr>
      </w:pPr>
    </w:p>
    <w:p w:rsidR="00321CE1" w:rsidRPr="00DD40CC" w:rsidRDefault="00321CE1" w:rsidP="00321CE1">
      <w:pPr>
        <w:rPr>
          <w:rFonts w:ascii="Verdana" w:hAnsi="Verdana"/>
          <w:szCs w:val="18"/>
        </w:rPr>
      </w:pPr>
    </w:p>
    <w:p w:rsidR="00321CE1" w:rsidRPr="00DD40CC" w:rsidRDefault="00321CE1" w:rsidP="00321CE1">
      <w:pPr>
        <w:rPr>
          <w:rFonts w:ascii="Verdana" w:hAnsi="Verdana"/>
          <w:szCs w:val="18"/>
        </w:rPr>
      </w:pPr>
    </w:p>
    <w:p w:rsidR="00321CE1" w:rsidRPr="00DD40CC" w:rsidRDefault="00321CE1" w:rsidP="00321CE1">
      <w:pPr>
        <w:rPr>
          <w:rFonts w:ascii="Verdana" w:hAnsi="Verdana"/>
          <w:szCs w:val="18"/>
        </w:rPr>
      </w:pPr>
    </w:p>
    <w:p w:rsidR="00321CE1" w:rsidRPr="00DD40CC" w:rsidRDefault="00321CE1" w:rsidP="00321CE1">
      <w:pPr>
        <w:pStyle w:val="Lijstalinea"/>
        <w:numPr>
          <w:ilvl w:val="0"/>
          <w:numId w:val="5"/>
        </w:numPr>
        <w:spacing w:after="200"/>
        <w:rPr>
          <w:rFonts w:ascii="Verdana" w:hAnsi="Verdana"/>
          <w:sz w:val="18"/>
          <w:szCs w:val="18"/>
        </w:rPr>
      </w:pPr>
      <w:r w:rsidRPr="00DD40CC">
        <w:rPr>
          <w:rFonts w:ascii="Verdana" w:hAnsi="Verdana"/>
          <w:sz w:val="18"/>
          <w:szCs w:val="18"/>
        </w:rPr>
        <w:t xml:space="preserve">De bruto nabetaling van </w:t>
      </w:r>
      <w:r>
        <w:rPr>
          <w:rFonts w:ascii="Verdana" w:hAnsi="Verdana"/>
          <w:sz w:val="18"/>
          <w:szCs w:val="18"/>
        </w:rPr>
        <w:t xml:space="preserve">EUR </w:t>
      </w:r>
      <w:r w:rsidRPr="00DD40CC">
        <w:rPr>
          <w:rFonts w:ascii="Verdana" w:hAnsi="Verdana"/>
          <w:sz w:val="18"/>
          <w:szCs w:val="18"/>
        </w:rPr>
        <w:t xml:space="preserve">512 </w:t>
      </w:r>
      <w:r>
        <w:rPr>
          <w:rFonts w:ascii="Verdana" w:hAnsi="Verdana"/>
          <w:sz w:val="18"/>
          <w:szCs w:val="18"/>
        </w:rPr>
        <w:t>miljoen</w:t>
      </w:r>
      <w:r w:rsidRPr="00DD40CC">
        <w:rPr>
          <w:rFonts w:ascii="Verdana" w:hAnsi="Verdana"/>
          <w:sz w:val="18"/>
          <w:szCs w:val="18"/>
        </w:rPr>
        <w:t xml:space="preserve"> is het gevolg van enkele opwaartse bijstellingen van de BTW en BNI-grondslagen voor de Nederlandse afdrachten aan de EU-begroting. Deze opwaartse bijstellingen vloeien voort uit de bronnenrevisie die in 2014 plaatsvond en uit een nieuwe herziening door het CBS en in samenwerking met DNB, waardoor de nationale rekeningen en de betalingsbalans beter op elkaar aansluiten. </w:t>
      </w:r>
    </w:p>
    <w:p w:rsidR="00321CE1" w:rsidRPr="007B6D92" w:rsidRDefault="00321CE1" w:rsidP="00321CE1">
      <w:pPr>
        <w:pStyle w:val="Lijstalinea"/>
        <w:numPr>
          <w:ilvl w:val="0"/>
          <w:numId w:val="5"/>
        </w:numPr>
        <w:autoSpaceDE w:val="0"/>
        <w:autoSpaceDN w:val="0"/>
        <w:adjustRightInd w:val="0"/>
        <w:spacing w:after="200"/>
        <w:rPr>
          <w:rFonts w:ascii="Verdana" w:hAnsi="Verdana" w:cs="Verdana"/>
          <w:color w:val="000000"/>
          <w:sz w:val="18"/>
          <w:szCs w:val="18"/>
          <w:lang w:eastAsia="nl-NL"/>
        </w:rPr>
      </w:pPr>
      <w:r w:rsidRPr="007B6D92">
        <w:rPr>
          <w:rFonts w:ascii="Verdana" w:hAnsi="Verdana"/>
          <w:sz w:val="18"/>
          <w:szCs w:val="18"/>
        </w:rPr>
        <w:t xml:space="preserve">De tweede terugbetaling van de naheffing over 2014 zal </w:t>
      </w:r>
      <w:r>
        <w:rPr>
          <w:rFonts w:ascii="Verdana" w:hAnsi="Verdana"/>
          <w:sz w:val="18"/>
          <w:szCs w:val="18"/>
        </w:rPr>
        <w:t xml:space="preserve">om bovengenoemde reden </w:t>
      </w:r>
      <w:r w:rsidRPr="007B6D92">
        <w:rPr>
          <w:rFonts w:ascii="Verdana" w:hAnsi="Verdana"/>
          <w:sz w:val="18"/>
          <w:szCs w:val="18"/>
        </w:rPr>
        <w:t>niet meer in 2015 plaatsvinden. Door valuta-effecten valt de</w:t>
      </w:r>
      <w:r>
        <w:rPr>
          <w:rFonts w:ascii="Verdana" w:hAnsi="Verdana"/>
          <w:sz w:val="18"/>
          <w:szCs w:val="18"/>
        </w:rPr>
        <w:t>ze</w:t>
      </w:r>
      <w:r w:rsidRPr="007B6D92">
        <w:rPr>
          <w:rFonts w:ascii="Verdana" w:hAnsi="Verdana"/>
          <w:sz w:val="18"/>
          <w:szCs w:val="18"/>
        </w:rPr>
        <w:t xml:space="preserve"> restitutie hoger uit (</w:t>
      </w:r>
      <w:r>
        <w:rPr>
          <w:rFonts w:ascii="Verdana" w:hAnsi="Verdana"/>
          <w:sz w:val="18"/>
          <w:szCs w:val="18"/>
        </w:rPr>
        <w:t xml:space="preserve">EUR </w:t>
      </w:r>
      <w:r w:rsidRPr="007B6D92">
        <w:rPr>
          <w:rFonts w:ascii="Verdana" w:hAnsi="Verdana"/>
          <w:sz w:val="18"/>
          <w:szCs w:val="18"/>
        </w:rPr>
        <w:t xml:space="preserve">269 </w:t>
      </w:r>
      <w:r>
        <w:rPr>
          <w:rFonts w:ascii="Verdana" w:hAnsi="Verdana"/>
          <w:sz w:val="18"/>
          <w:szCs w:val="18"/>
        </w:rPr>
        <w:t>miljoen</w:t>
      </w:r>
      <w:r w:rsidRPr="007B6D92">
        <w:rPr>
          <w:rFonts w:ascii="Verdana" w:hAnsi="Verdana"/>
          <w:sz w:val="18"/>
          <w:szCs w:val="18"/>
        </w:rPr>
        <w:t>) dan geraamd bij M</w:t>
      </w:r>
      <w:r>
        <w:rPr>
          <w:rFonts w:ascii="Verdana" w:hAnsi="Verdana"/>
          <w:sz w:val="18"/>
          <w:szCs w:val="18"/>
        </w:rPr>
        <w:t>iljoenennota</w:t>
      </w:r>
      <w:r w:rsidRPr="007B6D92">
        <w:rPr>
          <w:rFonts w:ascii="Verdana" w:hAnsi="Verdana"/>
          <w:sz w:val="18"/>
          <w:szCs w:val="18"/>
        </w:rPr>
        <w:t xml:space="preserve"> 2016 (</w:t>
      </w:r>
      <w:r>
        <w:rPr>
          <w:rFonts w:ascii="Verdana" w:hAnsi="Verdana"/>
          <w:sz w:val="18"/>
          <w:szCs w:val="18"/>
        </w:rPr>
        <w:t xml:space="preserve">EUR </w:t>
      </w:r>
      <w:r w:rsidRPr="007B6D92">
        <w:rPr>
          <w:rFonts w:ascii="Verdana" w:hAnsi="Verdana"/>
          <w:sz w:val="18"/>
          <w:szCs w:val="18"/>
        </w:rPr>
        <w:t xml:space="preserve">252 </w:t>
      </w:r>
      <w:r>
        <w:rPr>
          <w:rFonts w:ascii="Verdana" w:hAnsi="Verdana"/>
          <w:sz w:val="18"/>
          <w:szCs w:val="18"/>
        </w:rPr>
        <w:t>miljoen</w:t>
      </w:r>
      <w:r w:rsidRPr="007B6D92">
        <w:rPr>
          <w:rFonts w:ascii="Verdana" w:hAnsi="Verdana"/>
          <w:sz w:val="18"/>
          <w:szCs w:val="18"/>
        </w:rPr>
        <w:t xml:space="preserve">). Nu blijkt dat deze ontvangst pas in 2016 zal plaatsvinden, moet er voor 2015 de eerder ingeboekte </w:t>
      </w:r>
      <w:r>
        <w:rPr>
          <w:rFonts w:ascii="Verdana" w:hAnsi="Verdana"/>
          <w:sz w:val="18"/>
          <w:szCs w:val="18"/>
        </w:rPr>
        <w:t xml:space="preserve">EUR </w:t>
      </w:r>
      <w:r w:rsidRPr="007B6D92">
        <w:rPr>
          <w:rFonts w:ascii="Verdana" w:hAnsi="Verdana"/>
          <w:sz w:val="18"/>
          <w:szCs w:val="18"/>
        </w:rPr>
        <w:t xml:space="preserve">252 </w:t>
      </w:r>
      <w:r>
        <w:rPr>
          <w:rFonts w:ascii="Verdana" w:hAnsi="Verdana"/>
          <w:sz w:val="18"/>
          <w:szCs w:val="18"/>
        </w:rPr>
        <w:t>miljoen</w:t>
      </w:r>
      <w:r w:rsidRPr="007B6D92">
        <w:rPr>
          <w:rFonts w:ascii="Verdana" w:hAnsi="Verdana"/>
          <w:sz w:val="18"/>
          <w:szCs w:val="18"/>
        </w:rPr>
        <w:t xml:space="preserve"> weer worden afgeboekt. Voor het EMU-saldo is dit niet relevant, de terugbetaling is al in het EMU-saldo van 2014 verwerkt. </w:t>
      </w:r>
    </w:p>
    <w:p w:rsidR="00321CE1" w:rsidRPr="007B6D92" w:rsidRDefault="00321CE1" w:rsidP="00321CE1">
      <w:pPr>
        <w:pStyle w:val="Lijstalinea"/>
        <w:numPr>
          <w:ilvl w:val="0"/>
          <w:numId w:val="5"/>
        </w:numPr>
        <w:autoSpaceDE w:val="0"/>
        <w:autoSpaceDN w:val="0"/>
        <w:adjustRightInd w:val="0"/>
        <w:spacing w:after="200"/>
        <w:rPr>
          <w:rFonts w:ascii="Verdana" w:hAnsi="Verdana" w:cs="Verdana"/>
          <w:color w:val="000000"/>
          <w:sz w:val="18"/>
          <w:szCs w:val="18"/>
          <w:lang w:eastAsia="nl-NL"/>
        </w:rPr>
      </w:pPr>
      <w:r w:rsidRPr="007B6D92">
        <w:rPr>
          <w:rFonts w:ascii="Verdana" w:hAnsi="Verdana"/>
          <w:sz w:val="18"/>
          <w:szCs w:val="18"/>
        </w:rPr>
        <w:t xml:space="preserve">Verder heeft de EU de raming voor de invoerrechten voor 2015 verhoogd. Dit leidt voor Nederland tot een verwachte extra </w:t>
      </w:r>
      <w:r>
        <w:rPr>
          <w:rFonts w:ascii="Verdana" w:hAnsi="Verdana"/>
          <w:sz w:val="18"/>
          <w:szCs w:val="18"/>
        </w:rPr>
        <w:t>bruto-</w:t>
      </w:r>
      <w:r w:rsidRPr="007B6D92">
        <w:rPr>
          <w:rFonts w:ascii="Verdana" w:hAnsi="Verdana"/>
          <w:sz w:val="18"/>
          <w:szCs w:val="18"/>
        </w:rPr>
        <w:t xml:space="preserve">afdracht van </w:t>
      </w:r>
      <w:r>
        <w:rPr>
          <w:rFonts w:ascii="Verdana" w:hAnsi="Verdana"/>
          <w:sz w:val="18"/>
          <w:szCs w:val="18"/>
        </w:rPr>
        <w:t>EUR 145</w:t>
      </w:r>
      <w:r w:rsidRPr="007B6D92">
        <w:rPr>
          <w:rFonts w:ascii="Verdana" w:hAnsi="Verdana"/>
          <w:sz w:val="18"/>
          <w:szCs w:val="18"/>
        </w:rPr>
        <w:t xml:space="preserve"> </w:t>
      </w:r>
      <w:r>
        <w:rPr>
          <w:rFonts w:ascii="Verdana" w:hAnsi="Verdana"/>
          <w:sz w:val="18"/>
          <w:szCs w:val="18"/>
        </w:rPr>
        <w:t>miljoen</w:t>
      </w:r>
      <w:r w:rsidRPr="007B6D92">
        <w:rPr>
          <w:rFonts w:ascii="Verdana" w:hAnsi="Verdana"/>
          <w:sz w:val="18"/>
          <w:szCs w:val="18"/>
        </w:rPr>
        <w:t>.</w:t>
      </w:r>
    </w:p>
    <w:p w:rsidR="00321CE1" w:rsidRDefault="00321CE1" w:rsidP="00321CE1">
      <w:pPr>
        <w:autoSpaceDE w:val="0"/>
        <w:autoSpaceDN w:val="0"/>
        <w:adjustRightInd w:val="0"/>
        <w:rPr>
          <w:rFonts w:ascii="Verdana" w:hAnsi="Verdana" w:cs="Verdana"/>
          <w:color w:val="000000"/>
          <w:sz w:val="18"/>
          <w:szCs w:val="18"/>
          <w:lang w:eastAsia="nl-NL"/>
        </w:rPr>
      </w:pPr>
      <w:r w:rsidRPr="00DD40CC">
        <w:rPr>
          <w:rFonts w:ascii="Verdana" w:hAnsi="Verdana"/>
          <w:sz w:val="18"/>
          <w:szCs w:val="18"/>
        </w:rPr>
        <w:t xml:space="preserve">In 2016 zal Nederland </w:t>
      </w:r>
      <w:r>
        <w:rPr>
          <w:rFonts w:ascii="Verdana" w:hAnsi="Verdana"/>
          <w:sz w:val="18"/>
          <w:szCs w:val="18"/>
        </w:rPr>
        <w:t xml:space="preserve">de </w:t>
      </w:r>
      <w:r w:rsidRPr="00DD40CC">
        <w:rPr>
          <w:rFonts w:ascii="Verdana" w:hAnsi="Verdana"/>
          <w:sz w:val="18"/>
          <w:szCs w:val="18"/>
        </w:rPr>
        <w:t xml:space="preserve">restitutie ontvangen van </w:t>
      </w:r>
      <w:r>
        <w:rPr>
          <w:rFonts w:ascii="Verdana" w:hAnsi="Verdana"/>
          <w:sz w:val="18"/>
          <w:szCs w:val="18"/>
        </w:rPr>
        <w:t xml:space="preserve">EUR </w:t>
      </w:r>
      <w:r w:rsidRPr="00DD40CC">
        <w:rPr>
          <w:rFonts w:ascii="Verdana" w:hAnsi="Verdana"/>
          <w:sz w:val="18"/>
          <w:szCs w:val="18"/>
        </w:rPr>
        <w:t xml:space="preserve">443 </w:t>
      </w:r>
      <w:r>
        <w:rPr>
          <w:rFonts w:ascii="Verdana" w:hAnsi="Verdana"/>
          <w:sz w:val="18"/>
          <w:szCs w:val="18"/>
        </w:rPr>
        <w:t>miljoen</w:t>
      </w:r>
      <w:r w:rsidRPr="00DD40CC">
        <w:rPr>
          <w:rFonts w:ascii="Verdana" w:hAnsi="Verdana"/>
          <w:sz w:val="18"/>
          <w:szCs w:val="18"/>
        </w:rPr>
        <w:t xml:space="preserve">. Deze bestaat uit de volgende onderdelen: de restitutie van </w:t>
      </w:r>
      <w:r>
        <w:rPr>
          <w:rFonts w:ascii="Verdana" w:hAnsi="Verdana"/>
          <w:sz w:val="18"/>
          <w:szCs w:val="18"/>
        </w:rPr>
        <w:t xml:space="preserve">EUR </w:t>
      </w:r>
      <w:r w:rsidRPr="00DD40CC">
        <w:rPr>
          <w:rFonts w:ascii="Verdana" w:hAnsi="Verdana"/>
          <w:sz w:val="18"/>
          <w:szCs w:val="18"/>
        </w:rPr>
        <w:t xml:space="preserve">66 </w:t>
      </w:r>
      <w:r>
        <w:rPr>
          <w:rFonts w:ascii="Verdana" w:hAnsi="Verdana"/>
          <w:sz w:val="18"/>
          <w:szCs w:val="18"/>
        </w:rPr>
        <w:t>miljoen</w:t>
      </w:r>
      <w:r w:rsidRPr="00DD40CC">
        <w:rPr>
          <w:rFonts w:ascii="Verdana" w:hAnsi="Verdana"/>
          <w:sz w:val="18"/>
          <w:szCs w:val="18"/>
        </w:rPr>
        <w:t xml:space="preserve"> voor de nacalculatie 2015, de tweede nabetaling van de restitutie over 2014 van </w:t>
      </w:r>
      <w:r>
        <w:rPr>
          <w:rFonts w:ascii="Verdana" w:hAnsi="Verdana"/>
          <w:sz w:val="18"/>
          <w:szCs w:val="18"/>
        </w:rPr>
        <w:t xml:space="preserve">EUR </w:t>
      </w:r>
      <w:r w:rsidRPr="00DD40CC">
        <w:rPr>
          <w:rFonts w:ascii="Verdana" w:hAnsi="Verdana"/>
          <w:sz w:val="18"/>
          <w:szCs w:val="18"/>
        </w:rPr>
        <w:t xml:space="preserve">252 </w:t>
      </w:r>
      <w:r>
        <w:rPr>
          <w:rFonts w:ascii="Verdana" w:hAnsi="Verdana"/>
          <w:sz w:val="18"/>
          <w:szCs w:val="18"/>
        </w:rPr>
        <w:t>miljoen</w:t>
      </w:r>
      <w:r w:rsidRPr="00DD40CC">
        <w:rPr>
          <w:rFonts w:ascii="Verdana" w:hAnsi="Verdana"/>
          <w:sz w:val="18"/>
          <w:szCs w:val="18"/>
        </w:rPr>
        <w:t xml:space="preserve">, die tegelijkertijd verhoogd wordt naar </w:t>
      </w:r>
      <w:r>
        <w:rPr>
          <w:rFonts w:ascii="Verdana" w:hAnsi="Verdana"/>
          <w:sz w:val="18"/>
          <w:szCs w:val="18"/>
        </w:rPr>
        <w:t xml:space="preserve">EUR </w:t>
      </w:r>
      <w:r w:rsidRPr="00DD40CC">
        <w:rPr>
          <w:rFonts w:ascii="Verdana" w:hAnsi="Verdana"/>
          <w:sz w:val="18"/>
          <w:szCs w:val="18"/>
        </w:rPr>
        <w:t xml:space="preserve">269 </w:t>
      </w:r>
      <w:r>
        <w:rPr>
          <w:rFonts w:ascii="Verdana" w:hAnsi="Verdana"/>
          <w:sz w:val="18"/>
          <w:szCs w:val="18"/>
        </w:rPr>
        <w:t>miljoen</w:t>
      </w:r>
      <w:r w:rsidRPr="00DD40CC">
        <w:rPr>
          <w:rFonts w:ascii="Verdana" w:hAnsi="Verdana"/>
          <w:sz w:val="18"/>
          <w:szCs w:val="18"/>
        </w:rPr>
        <w:t xml:space="preserve"> door valuta-effecten, de restitutie van </w:t>
      </w:r>
      <w:r>
        <w:rPr>
          <w:rFonts w:ascii="Verdana" w:hAnsi="Verdana"/>
          <w:sz w:val="18"/>
          <w:szCs w:val="18"/>
        </w:rPr>
        <w:t xml:space="preserve">EUR </w:t>
      </w:r>
      <w:r w:rsidRPr="00DD40CC">
        <w:rPr>
          <w:rFonts w:ascii="Verdana" w:hAnsi="Verdana"/>
          <w:sz w:val="18"/>
          <w:szCs w:val="18"/>
        </w:rPr>
        <w:t xml:space="preserve">38 </w:t>
      </w:r>
      <w:r>
        <w:rPr>
          <w:rFonts w:ascii="Verdana" w:hAnsi="Verdana"/>
          <w:sz w:val="18"/>
          <w:szCs w:val="18"/>
        </w:rPr>
        <w:t>miljoen</w:t>
      </w:r>
      <w:r w:rsidRPr="00DD40CC">
        <w:rPr>
          <w:rFonts w:ascii="Verdana" w:hAnsi="Verdana"/>
          <w:sz w:val="18"/>
          <w:szCs w:val="18"/>
        </w:rPr>
        <w:t xml:space="preserve"> uit hoofde van de hogere invoerrechtenafdracht en de restitutie van </w:t>
      </w:r>
      <w:r>
        <w:rPr>
          <w:rFonts w:ascii="Verdana" w:hAnsi="Verdana"/>
          <w:sz w:val="18"/>
          <w:szCs w:val="18"/>
        </w:rPr>
        <w:t xml:space="preserve">EUR </w:t>
      </w:r>
      <w:r w:rsidRPr="00DD40CC">
        <w:rPr>
          <w:rFonts w:ascii="Verdana" w:hAnsi="Verdana"/>
          <w:sz w:val="18"/>
          <w:szCs w:val="18"/>
        </w:rPr>
        <w:t>70 m</w:t>
      </w:r>
      <w:r>
        <w:rPr>
          <w:rFonts w:ascii="Verdana" w:hAnsi="Verdana"/>
          <w:sz w:val="18"/>
          <w:szCs w:val="18"/>
        </w:rPr>
        <w:t>iljoen</w:t>
      </w:r>
      <w:r w:rsidRPr="00DD40CC">
        <w:rPr>
          <w:rFonts w:ascii="Verdana" w:hAnsi="Verdana"/>
          <w:sz w:val="18"/>
          <w:szCs w:val="18"/>
        </w:rPr>
        <w:t xml:space="preserve"> door hogere additionele inkomsten. Nadere informatie over de aanvullende begrotingen is terug te vinden in brieven aan de Kamer van 7</w:t>
      </w:r>
      <w:r w:rsidRPr="00DD40CC">
        <w:rPr>
          <w:rStyle w:val="Voetnootmarkering"/>
          <w:rFonts w:ascii="Verdana" w:hAnsi="Verdana"/>
          <w:sz w:val="18"/>
          <w:szCs w:val="18"/>
        </w:rPr>
        <w:footnoteReference w:id="2"/>
      </w:r>
      <w:r w:rsidRPr="00DD40CC">
        <w:rPr>
          <w:rFonts w:ascii="Verdana" w:hAnsi="Verdana"/>
          <w:sz w:val="18"/>
          <w:szCs w:val="18"/>
        </w:rPr>
        <w:t xml:space="preserve"> en 20</w:t>
      </w:r>
      <w:r w:rsidRPr="00DD40CC">
        <w:rPr>
          <w:rStyle w:val="Voetnootmarkering"/>
          <w:rFonts w:ascii="Verdana" w:hAnsi="Verdana"/>
          <w:sz w:val="18"/>
          <w:szCs w:val="18"/>
        </w:rPr>
        <w:footnoteReference w:id="3"/>
      </w:r>
      <w:r w:rsidRPr="00DD40CC">
        <w:rPr>
          <w:rFonts w:ascii="Verdana" w:hAnsi="Verdana"/>
          <w:sz w:val="18"/>
          <w:szCs w:val="18"/>
        </w:rPr>
        <w:t xml:space="preserve"> oktober </w:t>
      </w:r>
      <w:proofErr w:type="spellStart"/>
      <w:r w:rsidRPr="00DD40CC">
        <w:rPr>
          <w:rFonts w:ascii="Verdana" w:hAnsi="Verdana"/>
          <w:sz w:val="18"/>
          <w:szCs w:val="18"/>
        </w:rPr>
        <w:t>j.l</w:t>
      </w:r>
      <w:proofErr w:type="spellEnd"/>
      <w:r w:rsidRPr="00DD40CC">
        <w:rPr>
          <w:rFonts w:ascii="Verdana" w:hAnsi="Verdana"/>
          <w:sz w:val="18"/>
          <w:szCs w:val="18"/>
        </w:rPr>
        <w:t>.</w:t>
      </w:r>
    </w:p>
    <w:p w:rsidR="00321CE1" w:rsidRDefault="00321CE1" w:rsidP="00321CE1">
      <w:pPr>
        <w:autoSpaceDE w:val="0"/>
        <w:autoSpaceDN w:val="0"/>
        <w:adjustRightInd w:val="0"/>
        <w:rPr>
          <w:rFonts w:ascii="Verdana" w:hAnsi="Verdana" w:cs="Verdana"/>
          <w:color w:val="000000"/>
          <w:sz w:val="18"/>
          <w:szCs w:val="18"/>
          <w:lang w:eastAsia="nl-NL"/>
        </w:rPr>
      </w:pPr>
    </w:p>
    <w:p w:rsidR="00321CE1" w:rsidRPr="00DD40CC" w:rsidRDefault="00321CE1" w:rsidP="00321CE1">
      <w:pPr>
        <w:autoSpaceDE w:val="0"/>
        <w:autoSpaceDN w:val="0"/>
        <w:adjustRightInd w:val="0"/>
        <w:rPr>
          <w:rFonts w:ascii="Verdana" w:hAnsi="Verdana" w:cs="Verdana"/>
          <w:color w:val="000000"/>
          <w:sz w:val="18"/>
          <w:szCs w:val="18"/>
          <w:lang w:eastAsia="nl-NL"/>
        </w:rPr>
      </w:pPr>
      <w:r w:rsidRPr="00DD40CC">
        <w:rPr>
          <w:rFonts w:ascii="Verdana" w:hAnsi="Verdana" w:cs="Verdana"/>
          <w:color w:val="000000"/>
          <w:sz w:val="18"/>
          <w:szCs w:val="18"/>
          <w:lang w:eastAsia="nl-NL"/>
        </w:rPr>
        <w:t>Artikel 3.4</w:t>
      </w:r>
    </w:p>
    <w:p w:rsidR="00321CE1" w:rsidRPr="00DD40CC" w:rsidRDefault="00321CE1" w:rsidP="00321CE1">
      <w:pPr>
        <w:autoSpaceDE w:val="0"/>
        <w:autoSpaceDN w:val="0"/>
        <w:adjustRightInd w:val="0"/>
        <w:rPr>
          <w:rFonts w:ascii="Verdana" w:hAnsi="Verdana" w:cs="Verdana"/>
          <w:color w:val="000000"/>
          <w:sz w:val="18"/>
          <w:szCs w:val="18"/>
          <w:lang w:eastAsia="nl-NL"/>
        </w:rPr>
      </w:pPr>
      <w:r w:rsidRPr="00DD40CC">
        <w:rPr>
          <w:rFonts w:ascii="Verdana" w:hAnsi="Verdana" w:cs="Verdana"/>
          <w:color w:val="000000"/>
          <w:sz w:val="18"/>
          <w:szCs w:val="18"/>
          <w:lang w:eastAsia="nl-NL"/>
        </w:rPr>
        <w:t>Het budget voor de versterkte Nederlandse positie in de Unie van 28 stijgt omdat bepaalde uitgaven voor het EU-Voorzitterschap in 2015 betaald zijn die oorspronkelijk voorzien waren voor 2016. Om binnen het totale vastgestelde budget te blijven wordt bij Voorjaarsnota 2016 het budget voor dat jaar met hetzelfde bedrag verlaagd.</w:t>
      </w:r>
    </w:p>
    <w:p w:rsidR="00321CE1" w:rsidRPr="002C678E" w:rsidRDefault="00321CE1" w:rsidP="00321CE1">
      <w:pPr>
        <w:rPr>
          <w:rFonts w:ascii="Verdana" w:hAnsi="Verdana"/>
          <w:sz w:val="18"/>
          <w:szCs w:val="18"/>
          <w:lang w:eastAsia="en-US"/>
        </w:rPr>
      </w:pPr>
    </w:p>
    <w:p w:rsidR="00321CE1" w:rsidRDefault="00321CE1" w:rsidP="00321CE1">
      <w:pPr>
        <w:rPr>
          <w:rFonts w:ascii="Verdana" w:hAnsi="Verdana"/>
          <w:i/>
          <w:sz w:val="18"/>
          <w:szCs w:val="18"/>
          <w:lang w:eastAsia="en-US"/>
        </w:rPr>
      </w:pPr>
      <w:r w:rsidRPr="002C678E">
        <w:rPr>
          <w:rFonts w:ascii="Verdana" w:hAnsi="Verdana"/>
          <w:i/>
          <w:sz w:val="18"/>
          <w:szCs w:val="18"/>
          <w:lang w:eastAsia="en-US"/>
        </w:rPr>
        <w:t>Ontvangsten</w:t>
      </w:r>
    </w:p>
    <w:p w:rsidR="00321CE1" w:rsidRDefault="00321CE1" w:rsidP="00321CE1">
      <w:pPr>
        <w:rPr>
          <w:rFonts w:ascii="Verdana" w:hAnsi="Verdana"/>
          <w:i/>
          <w:sz w:val="18"/>
          <w:szCs w:val="18"/>
          <w:lang w:eastAsia="en-US"/>
        </w:rPr>
      </w:pPr>
    </w:p>
    <w:p w:rsidR="00321CE1" w:rsidRPr="004C43AC" w:rsidRDefault="00321CE1" w:rsidP="00321CE1">
      <w:pPr>
        <w:rPr>
          <w:rFonts w:ascii="Verdana" w:hAnsi="Verdana"/>
          <w:sz w:val="18"/>
          <w:szCs w:val="18"/>
          <w:lang w:eastAsia="en-US"/>
        </w:rPr>
      </w:pPr>
      <w:r>
        <w:rPr>
          <w:rFonts w:ascii="Verdana" w:hAnsi="Verdana"/>
          <w:sz w:val="18"/>
          <w:szCs w:val="18"/>
          <w:lang w:eastAsia="en-US"/>
        </w:rPr>
        <w:t xml:space="preserve">De stijging van de ontvangsten met 49 miljoen euro is gerelateerd aan de stijging van de invoerrechten binnen het uitgavenkader. Het betreft de vergoeding die de lidstaten ontvangen voor het innen van de invoerrechten. </w:t>
      </w:r>
    </w:p>
    <w:p w:rsidR="00321CE1" w:rsidRDefault="00321CE1" w:rsidP="00321CE1">
      <w:pPr>
        <w:autoSpaceDE w:val="0"/>
        <w:autoSpaceDN w:val="0"/>
        <w:adjustRightInd w:val="0"/>
        <w:rPr>
          <w:rFonts w:ascii="Verdana" w:hAnsi="Verdana" w:cs="Courier New"/>
          <w:sz w:val="18"/>
          <w:szCs w:val="18"/>
        </w:rPr>
      </w:pPr>
      <w:r>
        <w:rPr>
          <w:rFonts w:ascii="Verdana" w:hAnsi="Verdana" w:cs="Courier New"/>
          <w:sz w:val="18"/>
          <w:szCs w:val="18"/>
        </w:rPr>
        <w:br w:type="page"/>
      </w:r>
    </w:p>
    <w:p w:rsidR="00321CE1" w:rsidRDefault="00321CE1" w:rsidP="00321CE1">
      <w:pPr>
        <w:rPr>
          <w:rFonts w:ascii="Verdana" w:hAnsi="Verdana"/>
          <w:b/>
          <w:sz w:val="18"/>
          <w:szCs w:val="18"/>
        </w:rPr>
      </w:pPr>
      <w:r>
        <w:rPr>
          <w:rFonts w:ascii="Verdana" w:hAnsi="Verdana"/>
          <w:b/>
          <w:sz w:val="18"/>
          <w:szCs w:val="18"/>
        </w:rPr>
        <w:lastRenderedPageBreak/>
        <w:t xml:space="preserve">Beleidsartikel 4 </w:t>
      </w:r>
    </w:p>
    <w:p w:rsidR="00321CE1" w:rsidRPr="00D42D43" w:rsidRDefault="00321CE1" w:rsidP="00321CE1">
      <w:pPr>
        <w:rPr>
          <w:rFonts w:ascii="Verdana" w:hAnsi="Verdana"/>
          <w:b/>
          <w:sz w:val="18"/>
          <w:szCs w:val="18"/>
        </w:rPr>
      </w:pPr>
    </w:p>
    <w:p w:rsidR="00321CE1" w:rsidRDefault="00321CE1" w:rsidP="00321CE1">
      <w:r>
        <w:object w:dxaOrig="16702" w:dyaOrig="16339">
          <v:shape id="_x0000_i1030" type="#_x0000_t75" style="width:506.05pt;height:495.85pt" o:ole="">
            <v:imagedata r:id="rId18" o:title=""/>
          </v:shape>
          <o:OLEObject Type="Embed" ProgID="Excel.Sheet.8" ShapeID="_x0000_i1030" DrawAspect="Content" ObjectID="_1510407238" r:id="rId19"/>
        </w:object>
      </w:r>
    </w:p>
    <w:p w:rsidR="00321CE1" w:rsidRDefault="00321CE1" w:rsidP="00321CE1">
      <w:pPr>
        <w:rPr>
          <w:rFonts w:ascii="Verdana" w:hAnsi="Verdana"/>
          <w:i/>
          <w:sz w:val="18"/>
          <w:szCs w:val="18"/>
        </w:rPr>
      </w:pPr>
      <w:r>
        <w:rPr>
          <w:rFonts w:ascii="Verdana" w:hAnsi="Verdana"/>
          <w:i/>
          <w:sz w:val="18"/>
          <w:szCs w:val="18"/>
        </w:rPr>
        <w:t>Uitgaven</w:t>
      </w:r>
    </w:p>
    <w:p w:rsidR="00321CE1" w:rsidRPr="00DA2CB7" w:rsidRDefault="00321CE1" w:rsidP="00321CE1">
      <w:pPr>
        <w:rPr>
          <w:rFonts w:ascii="Verdana" w:hAnsi="Verdana"/>
          <w:sz w:val="18"/>
          <w:szCs w:val="18"/>
        </w:rPr>
      </w:pPr>
      <w:r w:rsidRPr="00DA2CB7">
        <w:rPr>
          <w:rFonts w:ascii="Verdana" w:hAnsi="Verdana"/>
          <w:sz w:val="18"/>
          <w:szCs w:val="18"/>
        </w:rPr>
        <w:t>Geen toelichting</w:t>
      </w:r>
    </w:p>
    <w:p w:rsidR="00321CE1" w:rsidRDefault="00321CE1" w:rsidP="00321CE1">
      <w:pPr>
        <w:rPr>
          <w:rFonts w:ascii="Verdana" w:hAnsi="Verdana"/>
          <w:i/>
          <w:sz w:val="18"/>
          <w:szCs w:val="18"/>
        </w:rPr>
      </w:pPr>
    </w:p>
    <w:p w:rsidR="00321CE1" w:rsidRPr="006F35A4" w:rsidRDefault="00321CE1" w:rsidP="00321CE1">
      <w:pPr>
        <w:rPr>
          <w:rFonts w:ascii="Verdana" w:hAnsi="Verdana"/>
          <w:i/>
          <w:sz w:val="18"/>
          <w:szCs w:val="18"/>
        </w:rPr>
      </w:pPr>
      <w:r w:rsidRPr="006F35A4">
        <w:rPr>
          <w:rFonts w:ascii="Verdana" w:hAnsi="Verdana"/>
          <w:i/>
          <w:sz w:val="18"/>
          <w:szCs w:val="18"/>
        </w:rPr>
        <w:t>Ontvangsten</w:t>
      </w:r>
    </w:p>
    <w:p w:rsidR="00321CE1" w:rsidRDefault="00321CE1" w:rsidP="00321CE1">
      <w:pPr>
        <w:rPr>
          <w:rFonts w:ascii="Verdana" w:hAnsi="Verdana"/>
          <w:sz w:val="18"/>
          <w:szCs w:val="18"/>
        </w:rPr>
      </w:pPr>
    </w:p>
    <w:p w:rsidR="00321CE1" w:rsidRDefault="00321CE1" w:rsidP="00321CE1">
      <w:pPr>
        <w:rPr>
          <w:rFonts w:ascii="Verdana" w:hAnsi="Verdana"/>
          <w:sz w:val="18"/>
          <w:szCs w:val="18"/>
        </w:rPr>
      </w:pPr>
      <w:r w:rsidRPr="004944E0">
        <w:rPr>
          <w:rFonts w:ascii="Verdana" w:hAnsi="Verdana"/>
          <w:sz w:val="18"/>
          <w:szCs w:val="18"/>
        </w:rPr>
        <w:t>De consulaire ontvangsten nemen toe doordat er meer visa zijn afgegeven dan oorspronkelijk geraamd.</w:t>
      </w:r>
      <w:r>
        <w:rPr>
          <w:rFonts w:ascii="Verdana" w:hAnsi="Verdana"/>
          <w:sz w:val="18"/>
          <w:szCs w:val="18"/>
        </w:rPr>
        <w:t xml:space="preserve"> </w:t>
      </w:r>
    </w:p>
    <w:p w:rsidR="00321CE1" w:rsidRDefault="00321CE1" w:rsidP="00321CE1">
      <w:pPr>
        <w:rPr>
          <w:rFonts w:ascii="Verdana" w:hAnsi="Verdana"/>
          <w:b/>
          <w:sz w:val="18"/>
          <w:szCs w:val="18"/>
        </w:rPr>
      </w:pPr>
      <w:r>
        <w:rPr>
          <w:rFonts w:ascii="Verdana" w:hAnsi="Verdana"/>
          <w:b/>
          <w:sz w:val="18"/>
          <w:szCs w:val="18"/>
        </w:rPr>
        <w:br w:type="page"/>
      </w:r>
    </w:p>
    <w:p w:rsidR="00321CE1" w:rsidRDefault="00321CE1" w:rsidP="00321CE1">
      <w:r>
        <w:rPr>
          <w:rFonts w:ascii="Verdana" w:hAnsi="Verdana"/>
          <w:b/>
          <w:sz w:val="18"/>
          <w:szCs w:val="18"/>
        </w:rPr>
        <w:lastRenderedPageBreak/>
        <w:t xml:space="preserve">Beleidsartikel 5 </w:t>
      </w:r>
    </w:p>
    <w:p w:rsidR="00321CE1" w:rsidRDefault="00321CE1" w:rsidP="00321CE1">
      <w:pPr>
        <w:rPr>
          <w:rFonts w:ascii="Verdana" w:hAnsi="Verdana"/>
          <w:sz w:val="18"/>
          <w:szCs w:val="18"/>
        </w:rPr>
      </w:pPr>
    </w:p>
    <w:p w:rsidR="00321CE1" w:rsidRDefault="00321CE1" w:rsidP="00321CE1">
      <w:pPr>
        <w:rPr>
          <w:rFonts w:ascii="Verdana" w:hAnsi="Verdana"/>
          <w:sz w:val="18"/>
          <w:szCs w:val="18"/>
        </w:rPr>
      </w:pPr>
      <w:r w:rsidRPr="002B18E3">
        <w:rPr>
          <w:rFonts w:ascii="Verdana" w:hAnsi="Verdana"/>
          <w:sz w:val="18"/>
          <w:szCs w:val="18"/>
        </w:rPr>
        <w:object w:dxaOrig="11674" w:dyaOrig="1975">
          <v:shape id="_x0000_i1031" type="#_x0000_t75" style="width:487.7pt;height:82.2pt" o:ole="">
            <v:imagedata r:id="rId20" o:title=""/>
          </v:shape>
          <o:OLEObject Type="Embed" ProgID="Excel.Sheet.8" ShapeID="_x0000_i1031" DrawAspect="Content" ObjectID="_1510407239" r:id="rId21"/>
        </w:object>
      </w:r>
    </w:p>
    <w:p w:rsidR="00321CE1" w:rsidRPr="00DA2CB7" w:rsidRDefault="00321CE1" w:rsidP="00321CE1">
      <w:pPr>
        <w:rPr>
          <w:rFonts w:ascii="Verdana" w:hAnsi="Verdana"/>
          <w:i/>
          <w:sz w:val="18"/>
          <w:szCs w:val="18"/>
        </w:rPr>
      </w:pPr>
      <w:r w:rsidRPr="00DA2CB7">
        <w:rPr>
          <w:rFonts w:ascii="Verdana" w:hAnsi="Verdana"/>
          <w:i/>
          <w:sz w:val="18"/>
          <w:szCs w:val="18"/>
        </w:rPr>
        <w:t>Verplichting en uitgaven</w:t>
      </w:r>
    </w:p>
    <w:p w:rsidR="00321CE1" w:rsidRDefault="00321CE1" w:rsidP="00321CE1">
      <w:pPr>
        <w:rPr>
          <w:rFonts w:ascii="Verdana" w:hAnsi="Verdana"/>
          <w:sz w:val="18"/>
          <w:szCs w:val="18"/>
        </w:rPr>
      </w:pPr>
    </w:p>
    <w:p w:rsidR="00321CE1" w:rsidRDefault="00321CE1" w:rsidP="00321CE1">
      <w:pPr>
        <w:rPr>
          <w:rFonts w:ascii="Verdana" w:hAnsi="Verdana"/>
          <w:sz w:val="18"/>
          <w:szCs w:val="18"/>
        </w:rPr>
      </w:pPr>
      <w:r>
        <w:rPr>
          <w:rFonts w:ascii="Verdana" w:hAnsi="Verdana"/>
          <w:sz w:val="18"/>
          <w:szCs w:val="18"/>
        </w:rPr>
        <w:t>Geen mutaties</w:t>
      </w:r>
    </w:p>
    <w:p w:rsidR="00321CE1" w:rsidRDefault="00321CE1" w:rsidP="00321CE1">
      <w:pPr>
        <w:autoSpaceDE w:val="0"/>
        <w:autoSpaceDN w:val="0"/>
        <w:adjustRightInd w:val="0"/>
        <w:rPr>
          <w:rFonts w:ascii="Verdana" w:hAnsi="Verdana" w:cs="Courier New"/>
          <w:sz w:val="18"/>
          <w:szCs w:val="18"/>
        </w:rPr>
      </w:pPr>
      <w:r>
        <w:rPr>
          <w:rFonts w:ascii="Verdana" w:hAnsi="Verdana" w:cs="Courier New"/>
          <w:sz w:val="18"/>
          <w:szCs w:val="18"/>
        </w:rPr>
        <w:br w:type="page"/>
      </w:r>
    </w:p>
    <w:p w:rsidR="00321CE1" w:rsidRPr="00A53DED" w:rsidRDefault="00321CE1" w:rsidP="00321CE1">
      <w:pPr>
        <w:rPr>
          <w:rFonts w:ascii="Verdana" w:hAnsi="Verdana"/>
          <w:sz w:val="18"/>
          <w:szCs w:val="18"/>
        </w:rPr>
      </w:pPr>
      <w:r>
        <w:rPr>
          <w:rFonts w:ascii="Verdana" w:hAnsi="Verdana"/>
          <w:b/>
          <w:sz w:val="18"/>
          <w:szCs w:val="18"/>
        </w:rPr>
        <w:lastRenderedPageBreak/>
        <w:t>Niet-beleidsartikel 6</w:t>
      </w:r>
    </w:p>
    <w:p w:rsidR="00321CE1" w:rsidRDefault="00321CE1" w:rsidP="00321CE1"/>
    <w:p w:rsidR="00321CE1" w:rsidRDefault="00321CE1" w:rsidP="00321CE1">
      <w:r>
        <w:object w:dxaOrig="11453" w:dyaOrig="2645">
          <v:shape id="_x0000_i1032" type="#_x0000_t75" style="width:481.6pt;height:112.1pt" o:ole="">
            <v:imagedata r:id="rId22" o:title=""/>
          </v:shape>
          <o:OLEObject Type="Embed" ProgID="Excel.Sheet.8" ShapeID="_x0000_i1032" DrawAspect="Content" ObjectID="_1510407240" r:id="rId23"/>
        </w:object>
      </w:r>
    </w:p>
    <w:p w:rsidR="00321CE1" w:rsidRDefault="00321CE1" w:rsidP="00321CE1">
      <w:pPr>
        <w:rPr>
          <w:rFonts w:ascii="Verdana" w:hAnsi="Verdana"/>
          <w:i/>
          <w:sz w:val="18"/>
          <w:szCs w:val="18"/>
        </w:rPr>
      </w:pPr>
    </w:p>
    <w:p w:rsidR="00321CE1" w:rsidRDefault="00321CE1" w:rsidP="00321CE1">
      <w:pPr>
        <w:rPr>
          <w:rFonts w:ascii="Verdana" w:hAnsi="Verdana"/>
          <w:i/>
          <w:sz w:val="18"/>
          <w:szCs w:val="18"/>
        </w:rPr>
      </w:pPr>
      <w:r>
        <w:rPr>
          <w:rFonts w:ascii="Verdana" w:hAnsi="Verdana"/>
          <w:i/>
          <w:sz w:val="18"/>
          <w:szCs w:val="18"/>
        </w:rPr>
        <w:t>Verplichtingen</w:t>
      </w:r>
    </w:p>
    <w:p w:rsidR="00321CE1" w:rsidRPr="00A53DED" w:rsidRDefault="00321CE1" w:rsidP="00321CE1">
      <w:pPr>
        <w:rPr>
          <w:rFonts w:ascii="Verdana" w:hAnsi="Verdana"/>
          <w:sz w:val="18"/>
          <w:szCs w:val="18"/>
        </w:rPr>
      </w:pPr>
    </w:p>
    <w:p w:rsidR="00321CE1" w:rsidRDefault="00321CE1" w:rsidP="00321CE1">
      <w:pPr>
        <w:rPr>
          <w:rFonts w:ascii="Verdana" w:hAnsi="Verdana"/>
          <w:sz w:val="18"/>
          <w:szCs w:val="18"/>
        </w:rPr>
      </w:pPr>
      <w:r>
        <w:rPr>
          <w:rFonts w:ascii="Verdana" w:hAnsi="Verdana"/>
          <w:sz w:val="18"/>
          <w:szCs w:val="18"/>
        </w:rPr>
        <w:t>Conform de toelichting onder de uitgaven.</w:t>
      </w:r>
    </w:p>
    <w:p w:rsidR="00321CE1" w:rsidRDefault="00321CE1" w:rsidP="00321CE1">
      <w:pPr>
        <w:rPr>
          <w:rFonts w:ascii="Verdana" w:hAnsi="Verdana"/>
          <w:sz w:val="18"/>
          <w:szCs w:val="18"/>
        </w:rPr>
      </w:pPr>
    </w:p>
    <w:p w:rsidR="00321CE1" w:rsidRDefault="00321CE1" w:rsidP="00321CE1">
      <w:pPr>
        <w:rPr>
          <w:rFonts w:ascii="Verdana" w:hAnsi="Verdana"/>
          <w:i/>
          <w:sz w:val="18"/>
          <w:szCs w:val="18"/>
        </w:rPr>
      </w:pPr>
      <w:r>
        <w:rPr>
          <w:rFonts w:ascii="Verdana" w:hAnsi="Verdana"/>
          <w:i/>
          <w:sz w:val="18"/>
          <w:szCs w:val="18"/>
        </w:rPr>
        <w:t>Uitgaven</w:t>
      </w:r>
    </w:p>
    <w:p w:rsidR="00321CE1" w:rsidRDefault="00321CE1" w:rsidP="00321CE1">
      <w:pPr>
        <w:rPr>
          <w:rFonts w:ascii="Verdana" w:hAnsi="Verdana"/>
          <w:i/>
          <w:sz w:val="18"/>
          <w:szCs w:val="18"/>
        </w:rPr>
      </w:pPr>
    </w:p>
    <w:p w:rsidR="00321CE1" w:rsidRPr="00A53DED" w:rsidRDefault="00321CE1" w:rsidP="00321CE1">
      <w:pPr>
        <w:rPr>
          <w:rFonts w:ascii="Verdana" w:hAnsi="Verdana"/>
          <w:sz w:val="18"/>
          <w:szCs w:val="18"/>
        </w:rPr>
      </w:pPr>
      <w:r w:rsidRPr="00564F89">
        <w:rPr>
          <w:rFonts w:ascii="Verdana" w:hAnsi="Verdana"/>
          <w:sz w:val="18"/>
          <w:szCs w:val="18"/>
        </w:rPr>
        <w:t xml:space="preserve">De verlaging op het artikel nominaal en onvoorzien </w:t>
      </w:r>
      <w:r>
        <w:rPr>
          <w:rFonts w:ascii="Verdana" w:hAnsi="Verdana"/>
          <w:sz w:val="18"/>
          <w:szCs w:val="18"/>
        </w:rPr>
        <w:t xml:space="preserve">is het gevolg van de bijstelling van de BBP-raming. Deze raming is gepubliceerd in de MEV 2015 door het CPB. Hierdoor neemt het beschikbare budget voor dit niet-beleidsartikel af. </w:t>
      </w:r>
    </w:p>
    <w:p w:rsidR="00321CE1" w:rsidRDefault="00321CE1" w:rsidP="00321CE1">
      <w:pPr>
        <w:rPr>
          <w:rFonts w:ascii="Verdana" w:hAnsi="Verdana"/>
          <w:i/>
          <w:sz w:val="18"/>
          <w:szCs w:val="18"/>
        </w:rPr>
      </w:pPr>
    </w:p>
    <w:p w:rsidR="00321CE1" w:rsidRDefault="00321CE1" w:rsidP="00321CE1">
      <w:pPr>
        <w:autoSpaceDE w:val="0"/>
        <w:autoSpaceDN w:val="0"/>
        <w:adjustRightInd w:val="0"/>
        <w:rPr>
          <w:rFonts w:ascii="Verdana" w:hAnsi="Verdana" w:cs="Courier New"/>
          <w:sz w:val="18"/>
          <w:szCs w:val="18"/>
        </w:rPr>
      </w:pPr>
      <w:r>
        <w:rPr>
          <w:rFonts w:ascii="Verdana" w:hAnsi="Verdana" w:cs="Courier New"/>
          <w:sz w:val="18"/>
          <w:szCs w:val="18"/>
        </w:rPr>
        <w:br w:type="page"/>
      </w:r>
    </w:p>
    <w:p w:rsidR="00321CE1" w:rsidRDefault="00321CE1" w:rsidP="00321CE1">
      <w:pPr>
        <w:rPr>
          <w:rFonts w:ascii="Verdana" w:hAnsi="Verdana"/>
          <w:b/>
          <w:sz w:val="18"/>
          <w:szCs w:val="18"/>
        </w:rPr>
      </w:pPr>
      <w:r>
        <w:rPr>
          <w:rFonts w:ascii="Verdana" w:hAnsi="Verdana"/>
          <w:b/>
          <w:sz w:val="18"/>
          <w:szCs w:val="18"/>
        </w:rPr>
        <w:lastRenderedPageBreak/>
        <w:t>Niet-Beleidsartikel 7</w:t>
      </w:r>
    </w:p>
    <w:p w:rsidR="00321CE1" w:rsidRDefault="00321CE1" w:rsidP="00321CE1">
      <w:pPr>
        <w:rPr>
          <w:rFonts w:ascii="Verdana" w:hAnsi="Verdana"/>
          <w:b/>
          <w:sz w:val="18"/>
          <w:szCs w:val="18"/>
        </w:rPr>
      </w:pPr>
    </w:p>
    <w:p w:rsidR="00321CE1" w:rsidRPr="00DF1F5F" w:rsidRDefault="00321CE1" w:rsidP="00321CE1">
      <w:pPr>
        <w:rPr>
          <w:rFonts w:ascii="Verdana" w:hAnsi="Verdana"/>
          <w:b/>
          <w:sz w:val="18"/>
          <w:szCs w:val="18"/>
        </w:rPr>
      </w:pPr>
      <w:r w:rsidRPr="002B18E3">
        <w:rPr>
          <w:rFonts w:ascii="Verdana" w:hAnsi="Verdana"/>
          <w:b/>
          <w:sz w:val="18"/>
          <w:szCs w:val="18"/>
        </w:rPr>
        <w:object w:dxaOrig="12275" w:dyaOrig="5473">
          <v:shape id="_x0000_i1033" type="#_x0000_t75" style="width:476.15pt;height:213.3pt" o:ole="">
            <v:imagedata r:id="rId24" o:title=""/>
          </v:shape>
          <o:OLEObject Type="Embed" ProgID="Excel.Sheet.8" ShapeID="_x0000_i1033" DrawAspect="Content" ObjectID="_1510407241" r:id="rId25"/>
        </w:object>
      </w:r>
    </w:p>
    <w:p w:rsidR="00321CE1" w:rsidRDefault="00321CE1" w:rsidP="00321CE1"/>
    <w:p w:rsidR="00321CE1" w:rsidRDefault="00321CE1" w:rsidP="00321CE1">
      <w:pPr>
        <w:rPr>
          <w:rFonts w:ascii="Verdana" w:hAnsi="Verdana"/>
          <w:i/>
          <w:sz w:val="18"/>
          <w:szCs w:val="18"/>
        </w:rPr>
      </w:pPr>
      <w:r>
        <w:rPr>
          <w:rFonts w:ascii="Verdana" w:hAnsi="Verdana"/>
          <w:i/>
          <w:sz w:val="18"/>
          <w:szCs w:val="18"/>
        </w:rPr>
        <w:t>Verplichtingen</w:t>
      </w:r>
    </w:p>
    <w:p w:rsidR="00321CE1" w:rsidRDefault="00321CE1" w:rsidP="00321CE1">
      <w:pPr>
        <w:rPr>
          <w:rFonts w:ascii="Verdana" w:hAnsi="Verdana"/>
          <w:i/>
          <w:sz w:val="18"/>
          <w:szCs w:val="18"/>
        </w:rPr>
      </w:pPr>
    </w:p>
    <w:p w:rsidR="00321CE1" w:rsidRPr="00EF5FE0" w:rsidRDefault="00321CE1" w:rsidP="00321CE1">
      <w:pPr>
        <w:rPr>
          <w:rFonts w:ascii="Verdana" w:hAnsi="Verdana"/>
          <w:sz w:val="18"/>
          <w:szCs w:val="18"/>
        </w:rPr>
      </w:pPr>
      <w:r>
        <w:rPr>
          <w:rFonts w:ascii="Verdana" w:hAnsi="Verdana"/>
          <w:sz w:val="18"/>
          <w:szCs w:val="18"/>
        </w:rPr>
        <w:t xml:space="preserve">De verplichtingen zijn verhoogd en verder in lijn gebracht met het uitgavenniveau. (De stand van de verplichtingen is lager dan het uitgavenplafond omdat een deel van de verplichtingen vorig jaar al is aangegaan). </w:t>
      </w:r>
    </w:p>
    <w:p w:rsidR="00321CE1" w:rsidRDefault="00321CE1" w:rsidP="00321CE1">
      <w:pPr>
        <w:rPr>
          <w:rFonts w:ascii="Verdana" w:hAnsi="Verdana"/>
          <w:i/>
          <w:sz w:val="18"/>
          <w:szCs w:val="18"/>
        </w:rPr>
      </w:pPr>
    </w:p>
    <w:p w:rsidR="00321CE1" w:rsidRDefault="00321CE1" w:rsidP="00321CE1">
      <w:pPr>
        <w:rPr>
          <w:rFonts w:ascii="Verdana" w:hAnsi="Verdana"/>
          <w:i/>
          <w:sz w:val="18"/>
          <w:szCs w:val="18"/>
        </w:rPr>
      </w:pPr>
      <w:r>
        <w:rPr>
          <w:rFonts w:ascii="Verdana" w:hAnsi="Verdana"/>
          <w:i/>
          <w:sz w:val="18"/>
          <w:szCs w:val="18"/>
        </w:rPr>
        <w:t>Uitgaven</w:t>
      </w:r>
    </w:p>
    <w:p w:rsidR="00321CE1" w:rsidRDefault="00321CE1" w:rsidP="00321CE1">
      <w:pPr>
        <w:rPr>
          <w:rFonts w:ascii="Verdana" w:hAnsi="Verdana"/>
          <w:i/>
          <w:sz w:val="18"/>
          <w:szCs w:val="18"/>
        </w:rPr>
      </w:pPr>
    </w:p>
    <w:p w:rsidR="00321CE1" w:rsidRPr="009206DB" w:rsidRDefault="00321CE1" w:rsidP="00321CE1">
      <w:pPr>
        <w:rPr>
          <w:rFonts w:ascii="Verdana" w:hAnsi="Verdana"/>
          <w:sz w:val="18"/>
          <w:szCs w:val="18"/>
        </w:rPr>
      </w:pPr>
      <w:r w:rsidRPr="009206DB">
        <w:rPr>
          <w:rFonts w:ascii="Verdana" w:hAnsi="Verdana"/>
          <w:sz w:val="18"/>
          <w:szCs w:val="18"/>
        </w:rPr>
        <w:t>Een deel van de uitgaven voor onderhoud aan vastgoed in het buitenland, IT uitgaven en kosten voor het openen en upgraden van posten in het buitenland vallen  begin 2016. Deze uitgaven worden opgenomen als eindejaarsmarge. Daarnaast zijn koersver</w:t>
      </w:r>
      <w:r>
        <w:rPr>
          <w:rFonts w:ascii="Verdana" w:hAnsi="Verdana"/>
          <w:sz w:val="18"/>
          <w:szCs w:val="18"/>
        </w:rPr>
        <w:t>liezen</w:t>
      </w:r>
      <w:r w:rsidRPr="009206DB">
        <w:rPr>
          <w:rFonts w:ascii="Verdana" w:hAnsi="Verdana"/>
          <w:sz w:val="18"/>
          <w:szCs w:val="18"/>
        </w:rPr>
        <w:t xml:space="preserve"> opgenomen die zijn opgetreden vanwege de stijging van de koers van de USD ten opzichte van de Euro. Volgens een gebruikelijke systematiek werkt het ministerie met een vooraf voor een jaar vastgestelde wisselkoers ten opzichte van buitenlandse valuta. Deze vaste wisselkoers wordt jaarlijks vastgesteld door het CPB.</w:t>
      </w:r>
      <w:r>
        <w:rPr>
          <w:rFonts w:ascii="Verdana" w:hAnsi="Verdana"/>
          <w:sz w:val="18"/>
          <w:szCs w:val="18"/>
        </w:rPr>
        <w:t xml:space="preserve"> </w:t>
      </w:r>
      <w:r w:rsidRPr="009206DB">
        <w:rPr>
          <w:rFonts w:ascii="Verdana" w:hAnsi="Verdana"/>
          <w:sz w:val="18"/>
          <w:szCs w:val="18"/>
        </w:rPr>
        <w:t xml:space="preserve">Voor 2015 wordt een bedrag van EUR 34 miljoen geraamd. </w:t>
      </w:r>
      <w:r>
        <w:rPr>
          <w:rFonts w:ascii="Verdana" w:hAnsi="Verdana"/>
          <w:sz w:val="18"/>
          <w:szCs w:val="18"/>
        </w:rPr>
        <w:t xml:space="preserve">Het genoemde bedrag is opgenomen onder koersverschillen. </w:t>
      </w:r>
      <w:r w:rsidRPr="009206DB">
        <w:rPr>
          <w:rFonts w:ascii="Verdana" w:hAnsi="Verdana"/>
          <w:sz w:val="18"/>
          <w:szCs w:val="18"/>
        </w:rPr>
        <w:t>Ten slotte dalen de uitgaven voor eigen personeel omdat een reservering voor de werkkostenregeling dit jaar niet wordt aangesproken en omdat uitgaven voor personeel in het buitenland zijn afgenomen. Het apparaatsbudget daalt per saldo</w:t>
      </w:r>
      <w:r>
        <w:rPr>
          <w:rFonts w:ascii="Verdana" w:hAnsi="Verdana"/>
          <w:sz w:val="18"/>
          <w:szCs w:val="18"/>
        </w:rPr>
        <w:t xml:space="preserve"> t</w:t>
      </w:r>
      <w:r w:rsidRPr="00B17417">
        <w:rPr>
          <w:rFonts w:ascii="Verdana" w:hAnsi="Verdana"/>
          <w:sz w:val="18"/>
          <w:szCs w:val="18"/>
        </w:rPr>
        <w:t xml:space="preserve">en gevolge van </w:t>
      </w:r>
      <w:r>
        <w:rPr>
          <w:rFonts w:ascii="Verdana" w:hAnsi="Verdana"/>
          <w:sz w:val="18"/>
          <w:szCs w:val="18"/>
        </w:rPr>
        <w:t>voornoemde mutaties</w:t>
      </w:r>
      <w:r w:rsidRPr="009206DB">
        <w:rPr>
          <w:rFonts w:ascii="Verdana" w:hAnsi="Verdana"/>
          <w:sz w:val="18"/>
          <w:szCs w:val="18"/>
        </w:rPr>
        <w:t xml:space="preserve">. </w:t>
      </w:r>
    </w:p>
    <w:p w:rsidR="00321CE1" w:rsidRDefault="00321CE1" w:rsidP="00321CE1">
      <w:pPr>
        <w:rPr>
          <w:rFonts w:ascii="Verdana" w:hAnsi="Verdana"/>
          <w:i/>
          <w:sz w:val="18"/>
          <w:szCs w:val="18"/>
        </w:rPr>
      </w:pPr>
    </w:p>
    <w:p w:rsidR="00321CE1" w:rsidRDefault="00321CE1" w:rsidP="00321CE1">
      <w:pPr>
        <w:rPr>
          <w:rFonts w:ascii="Verdana" w:hAnsi="Verdana"/>
          <w:i/>
          <w:sz w:val="18"/>
          <w:szCs w:val="18"/>
        </w:rPr>
      </w:pPr>
      <w:r>
        <w:rPr>
          <w:rFonts w:ascii="Verdana" w:hAnsi="Verdana"/>
          <w:i/>
          <w:sz w:val="18"/>
          <w:szCs w:val="18"/>
        </w:rPr>
        <w:t>Ontvangsten</w:t>
      </w:r>
    </w:p>
    <w:p w:rsidR="00321CE1" w:rsidRDefault="00321CE1" w:rsidP="00321CE1">
      <w:pPr>
        <w:rPr>
          <w:rFonts w:ascii="Verdana" w:hAnsi="Verdana"/>
          <w:i/>
          <w:sz w:val="18"/>
          <w:szCs w:val="18"/>
        </w:rPr>
      </w:pPr>
    </w:p>
    <w:p w:rsidR="00321CE1" w:rsidRDefault="00321CE1" w:rsidP="00321CE1">
      <w:pPr>
        <w:autoSpaceDE w:val="0"/>
        <w:autoSpaceDN w:val="0"/>
        <w:adjustRightInd w:val="0"/>
        <w:rPr>
          <w:rFonts w:ascii="Verdana" w:hAnsi="Verdana" w:cs="Courier New"/>
          <w:sz w:val="18"/>
          <w:szCs w:val="18"/>
        </w:rPr>
      </w:pPr>
      <w:r w:rsidRPr="001E4C14">
        <w:rPr>
          <w:rFonts w:ascii="Verdana" w:hAnsi="Verdana" w:cs="Courier New"/>
          <w:sz w:val="18"/>
          <w:szCs w:val="18"/>
        </w:rPr>
        <w:t>De ontvangsten stijgen als gevolg van de verkoop van panden in het buitenland (o.a. in Denemarken, Hongarije, Chili en Bolivia). Deze onroerend goed</w:t>
      </w:r>
      <w:r>
        <w:rPr>
          <w:rFonts w:ascii="Verdana" w:hAnsi="Verdana" w:cs="Courier New"/>
          <w:sz w:val="18"/>
          <w:szCs w:val="18"/>
        </w:rPr>
        <w:t xml:space="preserve"> </w:t>
      </w:r>
      <w:r w:rsidRPr="001E4C14">
        <w:rPr>
          <w:rFonts w:ascii="Verdana" w:hAnsi="Verdana" w:cs="Courier New"/>
          <w:sz w:val="18"/>
          <w:szCs w:val="18"/>
        </w:rPr>
        <w:t xml:space="preserve">ontvangsten worden toegevoegd aan het </w:t>
      </w:r>
      <w:r>
        <w:rPr>
          <w:rFonts w:ascii="Verdana" w:hAnsi="Verdana" w:cs="Courier New"/>
          <w:sz w:val="18"/>
          <w:szCs w:val="18"/>
        </w:rPr>
        <w:t xml:space="preserve">zgn. </w:t>
      </w:r>
      <w:r w:rsidRPr="001E4C14">
        <w:rPr>
          <w:rFonts w:ascii="Verdana" w:hAnsi="Verdana" w:cs="Courier New"/>
          <w:sz w:val="18"/>
          <w:szCs w:val="18"/>
        </w:rPr>
        <w:t>huisvestingsfonds.</w:t>
      </w:r>
    </w:p>
    <w:p w:rsidR="00616F8E" w:rsidRDefault="00616F8E"/>
    <w:sectPr w:rsidR="00616F8E" w:rsidSect="008473BD">
      <w:pgSz w:w="11907" w:h="16834"/>
      <w:pgMar w:top="1134" w:right="1134" w:bottom="1134" w:left="113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CE1" w:rsidRDefault="00321CE1" w:rsidP="00321CE1">
      <w:r>
        <w:separator/>
      </w:r>
    </w:p>
  </w:endnote>
  <w:endnote w:type="continuationSeparator" w:id="0">
    <w:p w:rsidR="00321CE1" w:rsidRDefault="00321CE1" w:rsidP="0032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E1)">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CE1" w:rsidRDefault="00321CE1" w:rsidP="00321CE1">
      <w:r>
        <w:separator/>
      </w:r>
    </w:p>
  </w:footnote>
  <w:footnote w:type="continuationSeparator" w:id="0">
    <w:p w:rsidR="00321CE1" w:rsidRDefault="00321CE1" w:rsidP="00321CE1">
      <w:r>
        <w:continuationSeparator/>
      </w:r>
    </w:p>
  </w:footnote>
  <w:footnote w:id="1">
    <w:p w:rsidR="00321CE1" w:rsidRPr="008F1F04" w:rsidRDefault="00321CE1" w:rsidP="00321CE1">
      <w:pPr>
        <w:pStyle w:val="Voetnoottekst"/>
        <w:rPr>
          <w:rFonts w:ascii="Verdana" w:hAnsi="Verdana"/>
          <w:sz w:val="16"/>
          <w:szCs w:val="16"/>
        </w:rPr>
      </w:pPr>
      <w:r>
        <w:rPr>
          <w:rStyle w:val="Voetnootmarkering"/>
        </w:rPr>
        <w:footnoteRef/>
      </w:r>
      <w:r>
        <w:t xml:space="preserve"> </w:t>
      </w:r>
      <w:r w:rsidRPr="008F1F04">
        <w:rPr>
          <w:rFonts w:ascii="Verdana" w:hAnsi="Verdana"/>
          <w:sz w:val="14"/>
          <w:szCs w:val="14"/>
        </w:rPr>
        <w:t>Nederland ontvangt een vergoeding voor de inning van de invoerrechten</w:t>
      </w:r>
      <w:r>
        <w:rPr>
          <w:rFonts w:ascii="Verdana" w:hAnsi="Verdana"/>
          <w:sz w:val="14"/>
          <w:szCs w:val="14"/>
        </w:rPr>
        <w:t xml:space="preserve"> van 49 mln</w:t>
      </w:r>
      <w:r w:rsidRPr="008F1F04">
        <w:rPr>
          <w:rFonts w:ascii="Verdana" w:hAnsi="Verdana"/>
          <w:sz w:val="14"/>
          <w:szCs w:val="14"/>
        </w:rPr>
        <w:t xml:space="preserve">. Deze wordt separaat opgenomen </w:t>
      </w:r>
      <w:r>
        <w:rPr>
          <w:rFonts w:ascii="Verdana" w:hAnsi="Verdana"/>
          <w:sz w:val="14"/>
          <w:szCs w:val="14"/>
        </w:rPr>
        <w:t>binnen</w:t>
      </w:r>
      <w:r w:rsidRPr="008F1F04">
        <w:rPr>
          <w:rFonts w:ascii="Verdana" w:hAnsi="Verdana"/>
          <w:sz w:val="14"/>
          <w:szCs w:val="14"/>
        </w:rPr>
        <w:t xml:space="preserve"> het ontvangstenkader onder artikel 3.10</w:t>
      </w:r>
    </w:p>
  </w:footnote>
  <w:footnote w:id="2">
    <w:p w:rsidR="00321CE1" w:rsidRPr="00231DBB" w:rsidRDefault="00321CE1" w:rsidP="00321CE1">
      <w:pPr>
        <w:pStyle w:val="Voetnoottekst"/>
        <w:rPr>
          <w:rFonts w:ascii="Verdana" w:hAnsi="Verdana"/>
          <w:sz w:val="14"/>
          <w:szCs w:val="14"/>
        </w:rPr>
      </w:pPr>
      <w:r w:rsidRPr="00CC2594">
        <w:rPr>
          <w:rStyle w:val="Voetnootmarkering"/>
          <w:sz w:val="16"/>
          <w:szCs w:val="16"/>
        </w:rPr>
        <w:footnoteRef/>
      </w:r>
      <w:r w:rsidRPr="00CC2594">
        <w:rPr>
          <w:sz w:val="16"/>
          <w:szCs w:val="16"/>
        </w:rPr>
        <w:t xml:space="preserve"> </w:t>
      </w:r>
      <w:r w:rsidRPr="00231DBB">
        <w:rPr>
          <w:rFonts w:ascii="Verdana" w:hAnsi="Verdana"/>
          <w:sz w:val="14"/>
          <w:szCs w:val="14"/>
        </w:rPr>
        <w:t>Brief Zevende aanvullende EU-begroting voor 2015; kenmerk BFB 2015-2099M</w:t>
      </w:r>
    </w:p>
  </w:footnote>
  <w:footnote w:id="3">
    <w:p w:rsidR="00321CE1" w:rsidRPr="00231DBB" w:rsidRDefault="00321CE1" w:rsidP="00321CE1">
      <w:pPr>
        <w:pStyle w:val="Voetnoottekst"/>
        <w:rPr>
          <w:rFonts w:ascii="Verdana" w:hAnsi="Verdana"/>
          <w:sz w:val="14"/>
          <w:szCs w:val="14"/>
        </w:rPr>
      </w:pPr>
      <w:r w:rsidRPr="00231DBB">
        <w:rPr>
          <w:rStyle w:val="Voetnootmarkering"/>
          <w:rFonts w:ascii="Verdana" w:hAnsi="Verdana"/>
          <w:sz w:val="14"/>
          <w:szCs w:val="14"/>
        </w:rPr>
        <w:footnoteRef/>
      </w:r>
      <w:r w:rsidRPr="00231DBB">
        <w:rPr>
          <w:rFonts w:ascii="Verdana" w:hAnsi="Verdana"/>
          <w:sz w:val="14"/>
          <w:szCs w:val="14"/>
        </w:rPr>
        <w:t xml:space="preserve"> Brief Achtste aanvullende EU-begroting voor 2015; kenmerk BFB 2015-2228M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7E65"/>
    <w:multiLevelType w:val="hybridMultilevel"/>
    <w:tmpl w:val="A26ED79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3A894D19"/>
    <w:multiLevelType w:val="hybridMultilevel"/>
    <w:tmpl w:val="EC6A2B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B9D0705"/>
    <w:multiLevelType w:val="hybridMultilevel"/>
    <w:tmpl w:val="AE6E1F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80C1C11"/>
    <w:multiLevelType w:val="hybridMultilevel"/>
    <w:tmpl w:val="C67AD6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62773941"/>
    <w:multiLevelType w:val="hybridMultilevel"/>
    <w:tmpl w:val="133A1958"/>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CE1"/>
    <w:rsid w:val="00321CE1"/>
    <w:rsid w:val="00616F8E"/>
    <w:rsid w:val="00CF00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21CE1"/>
    <w:rPr>
      <w:sz w:val="24"/>
      <w:szCs w:val="24"/>
      <w:lang w:eastAsia="zh-CN"/>
    </w:rPr>
  </w:style>
  <w:style w:type="paragraph" w:styleId="Kop2">
    <w:name w:val="heading 2"/>
    <w:basedOn w:val="Standaard"/>
    <w:next w:val="Standaard"/>
    <w:link w:val="Kop2Char"/>
    <w:qFormat/>
    <w:rsid w:val="00321CE1"/>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321CE1"/>
    <w:rPr>
      <w:rFonts w:ascii="Arial" w:hAnsi="Arial" w:cs="Arial"/>
      <w:b/>
      <w:bCs/>
      <w:i/>
      <w:iCs/>
      <w:sz w:val="28"/>
      <w:szCs w:val="28"/>
      <w:lang w:eastAsia="zh-CN"/>
    </w:rPr>
  </w:style>
  <w:style w:type="paragraph" w:styleId="Voetnoottekst">
    <w:name w:val="footnote text"/>
    <w:basedOn w:val="Standaard"/>
    <w:link w:val="VoetnoottekstChar"/>
    <w:uiPriority w:val="99"/>
    <w:rsid w:val="00321CE1"/>
    <w:rPr>
      <w:sz w:val="20"/>
      <w:szCs w:val="20"/>
    </w:rPr>
  </w:style>
  <w:style w:type="character" w:customStyle="1" w:styleId="VoetnoottekstChar">
    <w:name w:val="Voetnoottekst Char"/>
    <w:basedOn w:val="Standaardalinea-lettertype"/>
    <w:link w:val="Voetnoottekst"/>
    <w:uiPriority w:val="99"/>
    <w:rsid w:val="00321CE1"/>
    <w:rPr>
      <w:lang w:eastAsia="zh-CN"/>
    </w:rPr>
  </w:style>
  <w:style w:type="character" w:styleId="Voetnootmarkering">
    <w:name w:val="footnote reference"/>
    <w:uiPriority w:val="99"/>
    <w:rsid w:val="00321CE1"/>
    <w:rPr>
      <w:rFonts w:cs="Times New Roman"/>
      <w:vertAlign w:val="superscript"/>
    </w:rPr>
  </w:style>
  <w:style w:type="paragraph" w:styleId="Plattetekst2">
    <w:name w:val="Body Text 2"/>
    <w:basedOn w:val="Standaard"/>
    <w:link w:val="Plattetekst2Char"/>
    <w:rsid w:val="00321CE1"/>
    <w:rPr>
      <w:rFonts w:ascii="CG Times (E1)" w:hAnsi="CG Times (E1)"/>
      <w:sz w:val="22"/>
      <w:szCs w:val="20"/>
      <w:lang w:eastAsia="en-US"/>
    </w:rPr>
  </w:style>
  <w:style w:type="character" w:customStyle="1" w:styleId="Plattetekst2Char">
    <w:name w:val="Platte tekst 2 Char"/>
    <w:basedOn w:val="Standaardalinea-lettertype"/>
    <w:link w:val="Plattetekst2"/>
    <w:rsid w:val="00321CE1"/>
    <w:rPr>
      <w:rFonts w:ascii="CG Times (E1)" w:hAnsi="CG Times (E1)"/>
      <w:sz w:val="22"/>
      <w:lang w:eastAsia="en-US"/>
    </w:rPr>
  </w:style>
  <w:style w:type="paragraph" w:styleId="Lijstalinea">
    <w:name w:val="List Paragraph"/>
    <w:basedOn w:val="Standaard"/>
    <w:uiPriority w:val="34"/>
    <w:qFormat/>
    <w:rsid w:val="00321CE1"/>
    <w:pPr>
      <w:ind w:left="720"/>
      <w:contextualSpacing/>
    </w:pPr>
  </w:style>
  <w:style w:type="paragraph" w:customStyle="1" w:styleId="Default">
    <w:name w:val="Default"/>
    <w:rsid w:val="00321CE1"/>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21CE1"/>
    <w:rPr>
      <w:sz w:val="24"/>
      <w:szCs w:val="24"/>
      <w:lang w:eastAsia="zh-CN"/>
    </w:rPr>
  </w:style>
  <w:style w:type="paragraph" w:styleId="Kop2">
    <w:name w:val="heading 2"/>
    <w:basedOn w:val="Standaard"/>
    <w:next w:val="Standaard"/>
    <w:link w:val="Kop2Char"/>
    <w:qFormat/>
    <w:rsid w:val="00321CE1"/>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321CE1"/>
    <w:rPr>
      <w:rFonts w:ascii="Arial" w:hAnsi="Arial" w:cs="Arial"/>
      <w:b/>
      <w:bCs/>
      <w:i/>
      <w:iCs/>
      <w:sz w:val="28"/>
      <w:szCs w:val="28"/>
      <w:lang w:eastAsia="zh-CN"/>
    </w:rPr>
  </w:style>
  <w:style w:type="paragraph" w:styleId="Voetnoottekst">
    <w:name w:val="footnote text"/>
    <w:basedOn w:val="Standaard"/>
    <w:link w:val="VoetnoottekstChar"/>
    <w:uiPriority w:val="99"/>
    <w:rsid w:val="00321CE1"/>
    <w:rPr>
      <w:sz w:val="20"/>
      <w:szCs w:val="20"/>
    </w:rPr>
  </w:style>
  <w:style w:type="character" w:customStyle="1" w:styleId="VoetnoottekstChar">
    <w:name w:val="Voetnoottekst Char"/>
    <w:basedOn w:val="Standaardalinea-lettertype"/>
    <w:link w:val="Voetnoottekst"/>
    <w:uiPriority w:val="99"/>
    <w:rsid w:val="00321CE1"/>
    <w:rPr>
      <w:lang w:eastAsia="zh-CN"/>
    </w:rPr>
  </w:style>
  <w:style w:type="character" w:styleId="Voetnootmarkering">
    <w:name w:val="footnote reference"/>
    <w:uiPriority w:val="99"/>
    <w:rsid w:val="00321CE1"/>
    <w:rPr>
      <w:rFonts w:cs="Times New Roman"/>
      <w:vertAlign w:val="superscript"/>
    </w:rPr>
  </w:style>
  <w:style w:type="paragraph" w:styleId="Plattetekst2">
    <w:name w:val="Body Text 2"/>
    <w:basedOn w:val="Standaard"/>
    <w:link w:val="Plattetekst2Char"/>
    <w:rsid w:val="00321CE1"/>
    <w:rPr>
      <w:rFonts w:ascii="CG Times (E1)" w:hAnsi="CG Times (E1)"/>
      <w:sz w:val="22"/>
      <w:szCs w:val="20"/>
      <w:lang w:eastAsia="en-US"/>
    </w:rPr>
  </w:style>
  <w:style w:type="character" w:customStyle="1" w:styleId="Plattetekst2Char">
    <w:name w:val="Platte tekst 2 Char"/>
    <w:basedOn w:val="Standaardalinea-lettertype"/>
    <w:link w:val="Plattetekst2"/>
    <w:rsid w:val="00321CE1"/>
    <w:rPr>
      <w:rFonts w:ascii="CG Times (E1)" w:hAnsi="CG Times (E1)"/>
      <w:sz w:val="22"/>
      <w:lang w:eastAsia="en-US"/>
    </w:rPr>
  </w:style>
  <w:style w:type="paragraph" w:styleId="Lijstalinea">
    <w:name w:val="List Paragraph"/>
    <w:basedOn w:val="Standaard"/>
    <w:uiPriority w:val="34"/>
    <w:qFormat/>
    <w:rsid w:val="00321CE1"/>
    <w:pPr>
      <w:ind w:left="720"/>
      <w:contextualSpacing/>
    </w:pPr>
  </w:style>
  <w:style w:type="paragraph" w:customStyle="1" w:styleId="Default">
    <w:name w:val="Default"/>
    <w:rsid w:val="00321CE1"/>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1.xls"/><Relationship Id="rId18" Type="http://schemas.openxmlformats.org/officeDocument/2006/relationships/image" Target="media/image6.e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Microsoft_Excel_97-2003_Worksheet5.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97-2003_Worksheet3.xls"/><Relationship Id="rId25" Type="http://schemas.openxmlformats.org/officeDocument/2006/relationships/oleObject" Target="embeddings/Microsoft_Excel_97-2003_Worksheet7.xls"/><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2.xls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embeddings/Microsoft_Excel_97-2003_Worksheet2.xls"/><Relationship Id="rId23" Type="http://schemas.openxmlformats.org/officeDocument/2006/relationships/oleObject" Target="embeddings/Microsoft_Excel_97-2003_Worksheet6.xls"/><Relationship Id="rId28" Type="http://schemas.openxmlformats.org/officeDocument/2006/relationships/customXml" Target="../customXml/item1.xml"/><Relationship Id="rId10" Type="http://schemas.openxmlformats.org/officeDocument/2006/relationships/image" Target="media/image2.emf"/><Relationship Id="rId19" Type="http://schemas.openxmlformats.org/officeDocument/2006/relationships/oleObject" Target="embeddings/Microsoft_Excel_97-2003_Worksheet4.xls"/><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8A609F5A79564ABA68DB667FABBECE" ma:contentTypeVersion="0" ma:contentTypeDescription="Een nieuw document maken." ma:contentTypeScope="" ma:versionID="d98511a38ae12f1bbab75ab6665d543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2EA7A7-74A2-49D9-AD64-303C04BAE157}"/>
</file>

<file path=customXml/itemProps2.xml><?xml version="1.0" encoding="utf-8"?>
<ds:datastoreItem xmlns:ds="http://schemas.openxmlformats.org/officeDocument/2006/customXml" ds:itemID="{45060859-A3FC-4DFA-AB4C-6CE065CDF7EB}"/>
</file>

<file path=customXml/itemProps3.xml><?xml version="1.0" encoding="utf-8"?>
<ds:datastoreItem xmlns:ds="http://schemas.openxmlformats.org/officeDocument/2006/customXml" ds:itemID="{85C105EE-A08E-48CC-9B6C-DE68E4CE0AF7}"/>
</file>

<file path=docProps/app.xml><?xml version="1.0" encoding="utf-8"?>
<Properties xmlns="http://schemas.openxmlformats.org/officeDocument/2006/extended-properties" xmlns:vt="http://schemas.openxmlformats.org/officeDocument/2006/docPropsVTypes">
  <Template>6DEEADBA</Template>
  <TotalTime>0</TotalTime>
  <Pages>14</Pages>
  <Words>2861</Words>
  <Characters>15739</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18563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Eline Luijpen-Bloem</dc:creator>
  <cp:lastModifiedBy>Eline Luijpen-Bloem</cp:lastModifiedBy>
  <cp:revision>1</cp:revision>
  <dcterms:created xsi:type="dcterms:W3CDTF">2015-11-30T15:47:00Z</dcterms:created>
  <dcterms:modified xsi:type="dcterms:W3CDTF">2015-11-30T15:47:00Z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0x0101002D8A609F5A79564ABA68DB667FABBECE</vt:lpwstr>
  </property>
</Properties>
</file>