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F3" w:rsidRPr="00A42402" w:rsidRDefault="002375F3" w:rsidP="002375F3">
      <w:pPr>
        <w:pStyle w:val="Normaalweb"/>
        <w:rPr>
          <w:b/>
        </w:rPr>
      </w:pPr>
      <w:r w:rsidRPr="00A42402">
        <w:rPr>
          <w:rFonts w:asciiTheme="minorHAnsi" w:hAnsiTheme="minorHAnsi"/>
          <w:b/>
          <w:sz w:val="18"/>
          <w:szCs w:val="18"/>
        </w:rPr>
        <w:t>M</w:t>
      </w:r>
      <w:r>
        <w:rPr>
          <w:rFonts w:asciiTheme="minorHAnsi" w:hAnsiTheme="minorHAnsi"/>
          <w:b/>
          <w:sz w:val="18"/>
          <w:szCs w:val="18"/>
        </w:rPr>
        <w:t>EMORIE</w:t>
      </w:r>
      <w:r w:rsidRPr="00A42402">
        <w:rPr>
          <w:rFonts w:asciiTheme="minorHAnsi" w:hAnsiTheme="minorHAnsi"/>
          <w:b/>
          <w:sz w:val="18"/>
          <w:szCs w:val="18"/>
        </w:rPr>
        <w:t xml:space="preserve"> </w:t>
      </w:r>
      <w:r>
        <w:rPr>
          <w:rFonts w:asciiTheme="minorHAnsi" w:hAnsiTheme="minorHAnsi"/>
          <w:b/>
          <w:sz w:val="18"/>
          <w:szCs w:val="18"/>
        </w:rPr>
        <w:t>VAN TOELICHTING</w:t>
      </w:r>
      <w:r w:rsidRPr="00A42402">
        <w:rPr>
          <w:rFonts w:asciiTheme="minorHAnsi" w:hAnsiTheme="minorHAnsi"/>
          <w:b/>
          <w:sz w:val="18"/>
          <w:szCs w:val="18"/>
        </w:rPr>
        <w:t xml:space="preserve"> </w:t>
      </w:r>
      <w:r w:rsidRPr="00A42402">
        <w:rPr>
          <w:rStyle w:val="Zwaar"/>
          <w:rFonts w:asciiTheme="minorHAnsi" w:eastAsiaTheme="majorEastAsia" w:hAnsiTheme="minorHAnsi"/>
          <w:sz w:val="18"/>
          <w:szCs w:val="18"/>
        </w:rPr>
        <w:t>(Tweede suppletoire begroting)</w:t>
      </w: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Pr="00B060BD" w:rsidRDefault="002375F3" w:rsidP="002375F3">
      <w:pPr>
        <w:pStyle w:val="Normaalweb"/>
        <w:spacing w:before="0" w:beforeAutospacing="0" w:after="0" w:afterAutospacing="0" w:line="240" w:lineRule="exact"/>
        <w:rPr>
          <w:rFonts w:asciiTheme="minorHAnsi" w:hAnsiTheme="minorHAnsi"/>
          <w:b/>
          <w:sz w:val="18"/>
          <w:szCs w:val="18"/>
        </w:rPr>
      </w:pPr>
      <w:r w:rsidRPr="00B060BD">
        <w:rPr>
          <w:rFonts w:asciiTheme="minorHAnsi" w:hAnsiTheme="minorHAnsi"/>
          <w:b/>
          <w:sz w:val="18"/>
          <w:szCs w:val="18"/>
        </w:rPr>
        <w:t xml:space="preserve">A. ARTIKELSGEWIJZE TOELICHTING BIJ HET WETSVOORSTEL </w:t>
      </w: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Pr="00881C6F"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Wetsartikel</w:t>
      </w:r>
      <w:r>
        <w:rPr>
          <w:rFonts w:asciiTheme="minorHAnsi" w:hAnsiTheme="minorHAnsi"/>
          <w:sz w:val="18"/>
          <w:szCs w:val="18"/>
        </w:rPr>
        <w:t>en</w:t>
      </w:r>
      <w:r w:rsidRPr="00881C6F">
        <w:rPr>
          <w:rFonts w:asciiTheme="minorHAnsi" w:hAnsiTheme="minorHAnsi"/>
          <w:sz w:val="18"/>
          <w:szCs w:val="18"/>
        </w:rPr>
        <w:t xml:space="preserve"> 1  </w:t>
      </w:r>
      <w:r>
        <w:rPr>
          <w:rFonts w:asciiTheme="minorHAnsi" w:hAnsiTheme="minorHAnsi"/>
          <w:sz w:val="18"/>
          <w:szCs w:val="18"/>
        </w:rPr>
        <w:t>en 2</w:t>
      </w:r>
    </w:p>
    <w:p w:rsidR="002375F3"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 xml:space="preserve">De begrotingsstaten die onderdeel zijn van de Rijksbegroting, worden op grond van artikel 1, derde lid, van de Comptabiliteitswet 2001 elk afzonderlijk bij de wet vastgesteld en derhalve ook gewijzigd. Het onderhavige wetsvoorstel strekt ertoe om voor het jaar 2015 wijzigingen aan te brengen in de begrotingsstaten van het Ministerie van Financiën (IXB) en de Nationale Schuld (IXA). </w:t>
      </w: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Pr="00881C6F"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 xml:space="preserve">De in de begrotingsstaten opgenomen begrotingsartikelen worden in onderdeel B van deze memorie van toelichting toegelicht (de zgn. begrotingstoelichting). </w:t>
      </w: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Pr="00881C6F"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 xml:space="preserve">De Minister van Financiën, </w:t>
      </w: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Default="002375F3" w:rsidP="002375F3">
      <w:pPr>
        <w:pStyle w:val="Normaalweb"/>
        <w:spacing w:before="0" w:beforeAutospacing="0" w:after="0" w:afterAutospacing="0" w:line="240" w:lineRule="exact"/>
        <w:rPr>
          <w:rFonts w:asciiTheme="minorHAnsi" w:hAnsiTheme="minorHAnsi"/>
          <w:sz w:val="18"/>
          <w:szCs w:val="18"/>
        </w:rPr>
      </w:pPr>
    </w:p>
    <w:p w:rsidR="002375F3" w:rsidRPr="00881C6F"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 xml:space="preserve">J.R.V.A. </w:t>
      </w:r>
      <w:proofErr w:type="spellStart"/>
      <w:r w:rsidRPr="00881C6F">
        <w:rPr>
          <w:rFonts w:asciiTheme="minorHAnsi" w:hAnsiTheme="minorHAnsi"/>
          <w:sz w:val="18"/>
          <w:szCs w:val="18"/>
        </w:rPr>
        <w:t>Dijsselbloem</w:t>
      </w:r>
      <w:proofErr w:type="spellEnd"/>
      <w:r w:rsidRPr="00881C6F">
        <w:rPr>
          <w:rFonts w:asciiTheme="minorHAnsi" w:hAnsiTheme="minorHAnsi"/>
          <w:sz w:val="18"/>
          <w:szCs w:val="18"/>
        </w:rPr>
        <w:t xml:space="preserve"> </w:t>
      </w:r>
    </w:p>
    <w:p w:rsidR="002375F3" w:rsidRPr="00881C6F" w:rsidRDefault="002375F3" w:rsidP="002375F3">
      <w:pPr>
        <w:spacing w:after="0" w:line="240" w:lineRule="exact"/>
        <w:rPr>
          <w:rFonts w:asciiTheme="minorHAnsi" w:hAnsiTheme="minorHAnsi"/>
          <w:b/>
          <w:szCs w:val="18"/>
        </w:rPr>
      </w:pPr>
      <w:r w:rsidRPr="00881C6F">
        <w:rPr>
          <w:rFonts w:asciiTheme="minorHAnsi" w:hAnsiTheme="minorHAnsi"/>
          <w:b/>
          <w:szCs w:val="18"/>
        </w:rPr>
        <w:br w:type="page"/>
      </w:r>
    </w:p>
    <w:p w:rsidR="002375F3" w:rsidRPr="00B060BD" w:rsidRDefault="002375F3" w:rsidP="002375F3">
      <w:pPr>
        <w:tabs>
          <w:tab w:val="num" w:pos="0"/>
          <w:tab w:val="num" w:pos="900"/>
          <w:tab w:val="left" w:pos="1980"/>
        </w:tabs>
        <w:spacing w:after="0" w:line="240" w:lineRule="exact"/>
        <w:rPr>
          <w:rFonts w:asciiTheme="minorHAnsi" w:hAnsiTheme="minorHAnsi"/>
          <w:b/>
          <w:szCs w:val="18"/>
        </w:rPr>
      </w:pPr>
      <w:r w:rsidRPr="00B060BD">
        <w:rPr>
          <w:rFonts w:asciiTheme="minorHAnsi" w:hAnsiTheme="minorHAnsi"/>
          <w:b/>
          <w:szCs w:val="18"/>
        </w:rPr>
        <w:lastRenderedPageBreak/>
        <w:t>B. BEGROTINGSTOELICHTING</w:t>
      </w:r>
    </w:p>
    <w:p w:rsidR="002375F3" w:rsidRPr="00881C6F" w:rsidRDefault="002375F3" w:rsidP="002375F3">
      <w:pPr>
        <w:tabs>
          <w:tab w:val="num" w:pos="2977"/>
        </w:tabs>
        <w:spacing w:after="0" w:line="240" w:lineRule="exact"/>
        <w:ind w:left="2977" w:hanging="2977"/>
        <w:rPr>
          <w:rFonts w:asciiTheme="minorHAnsi" w:hAnsiTheme="minorHAnsi"/>
          <w:szCs w:val="18"/>
        </w:rPr>
      </w:pPr>
    </w:p>
    <w:p w:rsidR="002375F3" w:rsidRPr="00881C6F" w:rsidRDefault="002375F3" w:rsidP="002375F3">
      <w:pPr>
        <w:pStyle w:val="Koptekst"/>
        <w:tabs>
          <w:tab w:val="clear" w:pos="4536"/>
          <w:tab w:val="clear" w:pos="9072"/>
          <w:tab w:val="left" w:pos="0"/>
          <w:tab w:val="left" w:pos="3024"/>
          <w:tab w:val="left" w:pos="3600"/>
        </w:tabs>
        <w:suppressAutoHyphens/>
        <w:spacing w:line="240" w:lineRule="exact"/>
        <w:rPr>
          <w:rFonts w:asciiTheme="minorHAnsi" w:hAnsiTheme="minorHAnsi"/>
          <w:b/>
          <w:szCs w:val="18"/>
        </w:rPr>
      </w:pPr>
      <w:r w:rsidRPr="00881C6F">
        <w:rPr>
          <w:rFonts w:asciiTheme="minorHAnsi" w:hAnsiTheme="minorHAnsi"/>
          <w:b/>
          <w:szCs w:val="18"/>
        </w:rPr>
        <w:t>1. Leeswijzer</w:t>
      </w:r>
    </w:p>
    <w:p w:rsidR="002375F3" w:rsidRPr="00881C6F" w:rsidRDefault="002375F3" w:rsidP="002375F3">
      <w:pPr>
        <w:pStyle w:val="Koptekst"/>
        <w:tabs>
          <w:tab w:val="clear" w:pos="4536"/>
          <w:tab w:val="clear" w:pos="9072"/>
          <w:tab w:val="left" w:pos="0"/>
          <w:tab w:val="left" w:pos="3024"/>
          <w:tab w:val="left" w:pos="3600"/>
        </w:tabs>
        <w:suppressAutoHyphens/>
        <w:spacing w:line="240" w:lineRule="exact"/>
        <w:rPr>
          <w:rFonts w:asciiTheme="minorHAnsi" w:hAnsiTheme="minorHAnsi"/>
          <w:szCs w:val="18"/>
        </w:rPr>
      </w:pP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cs="Arial"/>
          <w:szCs w:val="18"/>
        </w:rPr>
        <w:t xml:space="preserve">De voorliggende suppletoire begroting bevat de voorgestelde wijzigingen ten opzichte van de eerste suppletoire begroting 2015 van het ministerie van Financiën. In paragraaf 2.1 is een overzicht opgenomen van de belangrijkste mutaties (mutaties groter of gelijk aan € 10 mln. voor artikel 1 t/m 10). Ook worden de belangrijkste mutaties inzake </w:t>
      </w:r>
      <w:r w:rsidRPr="00881C6F">
        <w:rPr>
          <w:rFonts w:asciiTheme="minorHAnsi" w:hAnsiTheme="minorHAnsi"/>
          <w:szCs w:val="18"/>
        </w:rPr>
        <w:t>schuldfinanciering en kasbeheer</w:t>
      </w:r>
      <w:r w:rsidRPr="00881C6F">
        <w:rPr>
          <w:rFonts w:asciiTheme="minorHAnsi" w:hAnsiTheme="minorHAnsi" w:cs="Arial"/>
          <w:szCs w:val="18"/>
        </w:rPr>
        <w:t xml:space="preserve"> voor artikel 11 en 12 toegelicht. </w:t>
      </w:r>
      <w:r>
        <w:rPr>
          <w:rFonts w:asciiTheme="minorHAnsi" w:hAnsiTheme="minorHAnsi"/>
          <w:szCs w:val="18"/>
        </w:rPr>
        <w:t>Paragrafen</w:t>
      </w:r>
      <w:r w:rsidRPr="00881C6F">
        <w:rPr>
          <w:rFonts w:asciiTheme="minorHAnsi" w:hAnsiTheme="minorHAnsi"/>
          <w:szCs w:val="18"/>
        </w:rPr>
        <w:t xml:space="preserve"> 2.2 </w:t>
      </w:r>
      <w:r>
        <w:rPr>
          <w:rFonts w:asciiTheme="minorHAnsi" w:hAnsiTheme="minorHAnsi"/>
          <w:szCs w:val="18"/>
        </w:rPr>
        <w:t xml:space="preserve">en 2.3 </w:t>
      </w:r>
      <w:r w:rsidRPr="00881C6F">
        <w:rPr>
          <w:rFonts w:asciiTheme="minorHAnsi" w:hAnsiTheme="minorHAnsi"/>
          <w:szCs w:val="18"/>
        </w:rPr>
        <w:t>bevat</w:t>
      </w:r>
      <w:r>
        <w:rPr>
          <w:rFonts w:asciiTheme="minorHAnsi" w:hAnsiTheme="minorHAnsi"/>
          <w:szCs w:val="18"/>
        </w:rPr>
        <w:t>ten</w:t>
      </w:r>
      <w:r w:rsidRPr="00881C6F">
        <w:rPr>
          <w:rFonts w:asciiTheme="minorHAnsi" w:hAnsiTheme="minorHAnsi"/>
          <w:szCs w:val="18"/>
        </w:rPr>
        <w:t xml:space="preserve"> per </w:t>
      </w:r>
      <w:r>
        <w:rPr>
          <w:rFonts w:asciiTheme="minorHAnsi" w:hAnsiTheme="minorHAnsi"/>
          <w:szCs w:val="18"/>
        </w:rPr>
        <w:t xml:space="preserve">(niet-) </w:t>
      </w:r>
      <w:r w:rsidRPr="00881C6F">
        <w:rPr>
          <w:rFonts w:asciiTheme="minorHAnsi" w:hAnsiTheme="minorHAnsi"/>
          <w:szCs w:val="18"/>
        </w:rPr>
        <w:t>beleidsartikel een tabel</w:t>
      </w:r>
      <w:r w:rsidRPr="00881C6F">
        <w:rPr>
          <w:rFonts w:asciiTheme="minorHAnsi" w:hAnsiTheme="minorHAnsi"/>
          <w:i/>
          <w:szCs w:val="18"/>
        </w:rPr>
        <w:t xml:space="preserve"> </w:t>
      </w:r>
      <w:r w:rsidRPr="00881C6F">
        <w:rPr>
          <w:rFonts w:asciiTheme="minorHAnsi" w:hAnsiTheme="minorHAnsi"/>
          <w:szCs w:val="18"/>
        </w:rPr>
        <w:t>budgettaire gevolgen van beleid. Na de tabel budgettaire gevolgen van beleid wordt een toelichting op de cijfers uit de kolom ‘mutaties 2</w:t>
      </w:r>
      <w:r w:rsidRPr="00881C6F">
        <w:rPr>
          <w:rFonts w:asciiTheme="minorHAnsi" w:hAnsiTheme="minorHAnsi"/>
          <w:szCs w:val="18"/>
          <w:vertAlign w:val="superscript"/>
        </w:rPr>
        <w:t>e</w:t>
      </w:r>
      <w:r w:rsidRPr="00881C6F">
        <w:rPr>
          <w:rFonts w:asciiTheme="minorHAnsi" w:hAnsiTheme="minorHAnsi"/>
          <w:szCs w:val="18"/>
        </w:rPr>
        <w:t xml:space="preserve"> suppletoire begroting’ gegeven. Hierbij worden tenminste de mutaties op instrumentniveau groter of gelijk aan € 2,5 mln. of 5% van de ontwerpbegrotingstand toegelicht. De mutaties kunnen zowel beleidsmatig als technisch (bijvoorbeeld overboekingen en ramingsbijstellingen) van aard zijn. Conform de Rijksbegrotingsvoorschriften behoeven de technische mutaties niet te worden toegelicht. Mutaties in de apparaatsuitgaven worden, voor zover deze betrekking hebben op overheveling van formatieplaatsen binnen de begroting of op overheveling tussen Financiën en andere departementen, niet nader toegelicht. De toelichting op de mutatie van de belastingontvangsten is in de Najaarsnota opgenomen. </w:t>
      </w:r>
    </w:p>
    <w:p w:rsidR="002375F3" w:rsidRPr="00881C6F" w:rsidRDefault="002375F3" w:rsidP="002375F3">
      <w:pPr>
        <w:pStyle w:val="Koptekst"/>
        <w:tabs>
          <w:tab w:val="clear" w:pos="4536"/>
          <w:tab w:val="clear" w:pos="9072"/>
          <w:tab w:val="left" w:pos="0"/>
          <w:tab w:val="left" w:pos="3024"/>
          <w:tab w:val="left" w:pos="3600"/>
        </w:tabs>
        <w:suppressAutoHyphens/>
        <w:spacing w:line="240" w:lineRule="exact"/>
        <w:rPr>
          <w:rFonts w:asciiTheme="minorHAnsi" w:hAnsiTheme="minorHAnsi"/>
          <w:b/>
          <w:szCs w:val="18"/>
        </w:rPr>
      </w:pPr>
      <w:r w:rsidRPr="00881C6F">
        <w:rPr>
          <w:rFonts w:asciiTheme="minorHAnsi" w:hAnsiTheme="minorHAnsi"/>
          <w:szCs w:val="18"/>
        </w:rPr>
        <w:br w:type="page"/>
      </w:r>
      <w:r w:rsidRPr="00881C6F">
        <w:rPr>
          <w:rFonts w:asciiTheme="minorHAnsi" w:hAnsiTheme="minorHAnsi"/>
          <w:b/>
          <w:szCs w:val="18"/>
        </w:rPr>
        <w:lastRenderedPageBreak/>
        <w:t xml:space="preserve">2. Het beleid </w:t>
      </w:r>
    </w:p>
    <w:p w:rsidR="002375F3" w:rsidRPr="00881C6F" w:rsidRDefault="002375F3" w:rsidP="002375F3">
      <w:pPr>
        <w:pStyle w:val="Plattetekstinspringen"/>
        <w:spacing w:after="0" w:line="240" w:lineRule="exact"/>
        <w:ind w:left="0"/>
        <w:rPr>
          <w:rFonts w:asciiTheme="minorHAnsi" w:hAnsiTheme="minorHAnsi"/>
          <w:b/>
          <w:sz w:val="18"/>
          <w:szCs w:val="18"/>
          <w:lang w:val="nl-NL"/>
        </w:rPr>
      </w:pPr>
    </w:p>
    <w:p w:rsidR="002375F3" w:rsidRPr="00833683" w:rsidRDefault="002375F3" w:rsidP="002375F3">
      <w:pPr>
        <w:pStyle w:val="Kop3"/>
        <w:rPr>
          <w:color w:val="auto"/>
        </w:rPr>
      </w:pPr>
      <w:r w:rsidRPr="00833683">
        <w:rPr>
          <w:rStyle w:val="nr"/>
          <w:color w:val="auto"/>
        </w:rPr>
        <w:t xml:space="preserve">2.1. </w:t>
      </w:r>
      <w:r w:rsidRPr="00833683">
        <w:rPr>
          <w:color w:val="auto"/>
        </w:rPr>
        <w:t xml:space="preserve">Overzicht belangrijkste suppletoire uitgaven- en ontvangstenmutaties </w:t>
      </w: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szCs w:val="18"/>
        </w:rPr>
        <w:t xml:space="preserve">De belangrijkste mutaties (uitgaven en ontvangsten </w:t>
      </w:r>
      <w:r w:rsidRPr="00881C6F">
        <w:rPr>
          <w:rFonts w:asciiTheme="minorHAnsi" w:hAnsiTheme="minorHAnsi" w:cs="Arial"/>
          <w:szCs w:val="18"/>
        </w:rPr>
        <w:t>groter of gelijk aan</w:t>
      </w:r>
      <w:r w:rsidRPr="00881C6F">
        <w:rPr>
          <w:rFonts w:asciiTheme="minorHAnsi" w:hAnsiTheme="minorHAnsi"/>
          <w:szCs w:val="18"/>
        </w:rPr>
        <w:t xml:space="preserve"> € 10 mln.) worden in onderstaande tabellen weergegeven en daarna toegelicht. Voor een uitgebreidere toelichting wordt verwezen naar de toelichting bij het betreffende artikel.</w:t>
      </w:r>
    </w:p>
    <w:p w:rsidR="002375F3" w:rsidRDefault="002375F3" w:rsidP="002375F3">
      <w:pPr>
        <w:pStyle w:val="Plattetekstinspringen"/>
        <w:spacing w:after="0" w:line="240" w:lineRule="exact"/>
        <w:ind w:left="0"/>
        <w:rPr>
          <w:rFonts w:asciiTheme="minorHAnsi" w:hAnsiTheme="minorHAnsi"/>
          <w:b/>
          <w:sz w:val="18"/>
          <w:szCs w:val="18"/>
          <w:lang w:val="nl-NL"/>
        </w:rPr>
      </w:pPr>
    </w:p>
    <w:p w:rsidR="002375F3" w:rsidRDefault="002375F3" w:rsidP="002375F3">
      <w:pPr>
        <w:pStyle w:val="Plattetekstinspringen"/>
        <w:spacing w:after="0" w:line="240" w:lineRule="exact"/>
        <w:ind w:left="0"/>
        <w:rPr>
          <w:rFonts w:asciiTheme="minorHAnsi" w:hAnsiTheme="minorHAnsi"/>
          <w:b/>
          <w:sz w:val="18"/>
          <w:szCs w:val="18"/>
          <w:lang w:val="nl-NL"/>
        </w:rPr>
      </w:pPr>
      <w:r w:rsidRPr="00833683">
        <w:rPr>
          <w:rFonts w:asciiTheme="minorHAnsi" w:hAnsiTheme="minorHAnsi"/>
          <w:b/>
          <w:sz w:val="18"/>
          <w:szCs w:val="18"/>
          <w:lang w:val="nl-NL"/>
        </w:rPr>
        <w:t>2.1.1. Overzicht belangrijkste suppletoire uitgaven- en ontvangstenmutaties</w:t>
      </w:r>
    </w:p>
    <w:p w:rsidR="002375F3" w:rsidRPr="00833683" w:rsidRDefault="002375F3" w:rsidP="002375F3">
      <w:pPr>
        <w:pStyle w:val="Plattetekstinspringen"/>
        <w:spacing w:after="0" w:line="240" w:lineRule="exact"/>
        <w:ind w:left="0"/>
        <w:rPr>
          <w:rFonts w:asciiTheme="minorHAnsi" w:hAnsiTheme="minorHAnsi"/>
          <w:b/>
          <w:sz w:val="18"/>
          <w:szCs w:val="18"/>
          <w:lang w:val="nl-NL"/>
        </w:rPr>
      </w:pPr>
    </w:p>
    <w:tbl>
      <w:tblPr>
        <w:tblW w:w="7140" w:type="dxa"/>
        <w:tblInd w:w="70" w:type="dxa"/>
        <w:tblCellMar>
          <w:left w:w="70" w:type="dxa"/>
          <w:right w:w="70" w:type="dxa"/>
        </w:tblCellMar>
        <w:tblLook w:val="04A0" w:firstRow="1" w:lastRow="0" w:firstColumn="1" w:lastColumn="0" w:noHBand="0" w:noVBand="1"/>
      </w:tblPr>
      <w:tblGrid>
        <w:gridCol w:w="4960"/>
        <w:gridCol w:w="860"/>
        <w:gridCol w:w="1320"/>
      </w:tblGrid>
      <w:tr w:rsidR="002375F3" w:rsidRPr="00937CA9" w:rsidTr="00D66A40">
        <w:trPr>
          <w:trHeight w:val="240"/>
        </w:trPr>
        <w:tc>
          <w:tcPr>
            <w:tcW w:w="7140" w:type="dxa"/>
            <w:gridSpan w:val="3"/>
            <w:tcBorders>
              <w:top w:val="nil"/>
              <w:left w:val="nil"/>
              <w:bottom w:val="single" w:sz="8" w:space="0" w:color="auto"/>
              <w:right w:val="nil"/>
            </w:tcBorders>
            <w:shd w:val="clear" w:color="000000" w:fill="FFFFFF"/>
            <w:hideMark/>
          </w:tcPr>
          <w:p w:rsidR="002375F3" w:rsidRPr="00937CA9" w:rsidRDefault="002375F3" w:rsidP="00D66A40">
            <w:pPr>
              <w:spacing w:after="0" w:line="240" w:lineRule="auto"/>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Tabel: overzicht belangrijkste suppletoire uitgavenmutaties (x € 1000)</w:t>
            </w:r>
          </w:p>
        </w:tc>
      </w:tr>
      <w:tr w:rsidR="002375F3" w:rsidRPr="00937CA9" w:rsidTr="00D66A40">
        <w:trPr>
          <w:trHeight w:val="255"/>
        </w:trPr>
        <w:tc>
          <w:tcPr>
            <w:tcW w:w="4960" w:type="dxa"/>
            <w:tcBorders>
              <w:top w:val="nil"/>
              <w:left w:val="nil"/>
              <w:bottom w:val="single" w:sz="8" w:space="0" w:color="auto"/>
              <w:right w:val="nil"/>
            </w:tcBorders>
            <w:shd w:val="clear" w:color="000000" w:fill="FFFFFF"/>
            <w:hideMark/>
          </w:tcPr>
          <w:p w:rsidR="002375F3" w:rsidRPr="00937CA9" w:rsidRDefault="002375F3" w:rsidP="00D66A40">
            <w:pPr>
              <w:spacing w:after="0" w:line="240" w:lineRule="auto"/>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 </w:t>
            </w:r>
          </w:p>
        </w:tc>
        <w:tc>
          <w:tcPr>
            <w:tcW w:w="860" w:type="dxa"/>
            <w:tcBorders>
              <w:top w:val="nil"/>
              <w:left w:val="nil"/>
              <w:bottom w:val="single" w:sz="8" w:space="0" w:color="auto"/>
              <w:right w:val="nil"/>
            </w:tcBorders>
            <w:shd w:val="clear" w:color="000000" w:fill="FFFFFF"/>
            <w:vAlign w:val="bottom"/>
            <w:hideMark/>
          </w:tcPr>
          <w:p w:rsidR="002375F3" w:rsidRPr="00937CA9" w:rsidRDefault="002375F3" w:rsidP="00D66A40">
            <w:pPr>
              <w:spacing w:after="0" w:line="240" w:lineRule="auto"/>
              <w:jc w:val="right"/>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Art. nr.</w:t>
            </w:r>
          </w:p>
        </w:tc>
        <w:tc>
          <w:tcPr>
            <w:tcW w:w="1320" w:type="dxa"/>
            <w:tcBorders>
              <w:top w:val="nil"/>
              <w:left w:val="nil"/>
              <w:bottom w:val="single" w:sz="8" w:space="0" w:color="auto"/>
              <w:right w:val="nil"/>
            </w:tcBorders>
            <w:shd w:val="clear" w:color="000000" w:fill="FFFFFF"/>
            <w:vAlign w:val="bottom"/>
            <w:hideMark/>
          </w:tcPr>
          <w:p w:rsidR="002375F3" w:rsidRPr="00937CA9" w:rsidRDefault="002375F3" w:rsidP="00D66A40">
            <w:pPr>
              <w:spacing w:after="0" w:line="240" w:lineRule="auto"/>
              <w:jc w:val="right"/>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Uitgaven 2015</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Stand oorspronkelijke vastgestelde begroting 2015</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auto" w:fill="auto"/>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6.922.713</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Stand 1e suppletoire begroting 2015</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auto" w:fill="auto"/>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6.984.247</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Stand incidentele suppletoire begroting</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auto" w:fill="auto"/>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6.972.247</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 </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auto" w:fill="auto"/>
            <w:noWrap/>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Belangrijkste suppletoire mutaties:</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 Belasting- en invorderingsrente</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-86.600</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2) Apparaatsuitgaven Belastingdienst</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-10.807</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3) Aankoop SNS Bank</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3</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1.101.950</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4) Uitvoeringskosten staatsdeelnemingen</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3</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13.430</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xml:space="preserve">5) </w:t>
            </w:r>
            <w:proofErr w:type="spellStart"/>
            <w:r w:rsidRPr="00937CA9">
              <w:rPr>
                <w:rFonts w:ascii="Arial" w:eastAsia="Times New Roman" w:hAnsi="Arial" w:cs="Arial"/>
                <w:color w:val="000000"/>
                <w:sz w:val="16"/>
                <w:szCs w:val="16"/>
                <w:lang w:eastAsia="nl-NL"/>
              </w:rPr>
              <w:t>Multilarerale</w:t>
            </w:r>
            <w:proofErr w:type="spellEnd"/>
            <w:r w:rsidRPr="00937CA9">
              <w:rPr>
                <w:rFonts w:ascii="Arial" w:eastAsia="Times New Roman" w:hAnsi="Arial" w:cs="Arial"/>
                <w:color w:val="000000"/>
                <w:sz w:val="16"/>
                <w:szCs w:val="16"/>
                <w:lang w:eastAsia="nl-NL"/>
              </w:rPr>
              <w:t xml:space="preserve"> ontwikkelingsbanken en fondsen</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4</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80.000</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6) Schade-uitkering EKV</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5</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25.100</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7) Btw-compensatieregeling</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6</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-38.678</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8) Loon- en prijsbijstelling</w:t>
            </w:r>
          </w:p>
        </w:tc>
        <w:tc>
          <w:tcPr>
            <w:tcW w:w="86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10</w:t>
            </w:r>
          </w:p>
        </w:tc>
        <w:tc>
          <w:tcPr>
            <w:tcW w:w="1320" w:type="dxa"/>
            <w:tcBorders>
              <w:top w:val="nil"/>
              <w:left w:val="nil"/>
              <w:bottom w:val="nil"/>
              <w:right w:val="nil"/>
            </w:tcBorders>
            <w:shd w:val="clear" w:color="000000" w:fill="FFFFFF"/>
            <w:noWrap/>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-13.244</w:t>
            </w:r>
          </w:p>
        </w:tc>
      </w:tr>
      <w:tr w:rsidR="002375F3" w:rsidRPr="00937CA9" w:rsidTr="00D66A40">
        <w:trPr>
          <w:trHeight w:val="240"/>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xml:space="preserve">9) Overige </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-11.225</w:t>
            </w:r>
          </w:p>
        </w:tc>
      </w:tr>
      <w:tr w:rsidR="002375F3" w:rsidRPr="00937CA9" w:rsidTr="00D66A40">
        <w:trPr>
          <w:trHeight w:val="255"/>
        </w:trPr>
        <w:tc>
          <w:tcPr>
            <w:tcW w:w="49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86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c>
          <w:tcPr>
            <w:tcW w:w="1320" w:type="dxa"/>
            <w:tcBorders>
              <w:top w:val="nil"/>
              <w:left w:val="nil"/>
              <w:bottom w:val="nil"/>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 </w:t>
            </w:r>
          </w:p>
        </w:tc>
      </w:tr>
      <w:tr w:rsidR="002375F3" w:rsidRPr="00937CA9" w:rsidTr="00D66A40">
        <w:trPr>
          <w:trHeight w:val="255"/>
        </w:trPr>
        <w:tc>
          <w:tcPr>
            <w:tcW w:w="4960" w:type="dxa"/>
            <w:tcBorders>
              <w:top w:val="single" w:sz="8" w:space="0" w:color="auto"/>
              <w:left w:val="nil"/>
              <w:bottom w:val="double" w:sz="6" w:space="0" w:color="auto"/>
              <w:right w:val="nil"/>
            </w:tcBorders>
            <w:shd w:val="clear" w:color="000000" w:fill="FFFFFF"/>
            <w:vAlign w:val="bottom"/>
            <w:hideMark/>
          </w:tcPr>
          <w:p w:rsidR="002375F3" w:rsidRPr="00937CA9" w:rsidRDefault="002375F3" w:rsidP="00D66A40">
            <w:pPr>
              <w:spacing w:after="0" w:line="240" w:lineRule="auto"/>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Stand 2e suppletoire begroting 2015</w:t>
            </w:r>
          </w:p>
        </w:tc>
        <w:tc>
          <w:tcPr>
            <w:tcW w:w="860" w:type="dxa"/>
            <w:tcBorders>
              <w:top w:val="single" w:sz="8" w:space="0" w:color="auto"/>
              <w:left w:val="nil"/>
              <w:bottom w:val="double" w:sz="6" w:space="0" w:color="auto"/>
              <w:right w:val="nil"/>
            </w:tcBorders>
            <w:shd w:val="clear" w:color="000000" w:fill="FFFFFF"/>
            <w:vAlign w:val="bottom"/>
            <w:hideMark/>
          </w:tcPr>
          <w:p w:rsidR="002375F3" w:rsidRPr="00937CA9" w:rsidRDefault="002375F3" w:rsidP="00D66A40">
            <w:pPr>
              <w:spacing w:after="0" w:line="240" w:lineRule="auto"/>
              <w:jc w:val="right"/>
              <w:rPr>
                <w:rFonts w:ascii="Arial" w:eastAsia="Times New Roman" w:hAnsi="Arial" w:cs="Arial"/>
                <w:b/>
                <w:bCs/>
                <w:color w:val="000000"/>
                <w:sz w:val="16"/>
                <w:szCs w:val="16"/>
                <w:lang w:eastAsia="nl-NL"/>
              </w:rPr>
            </w:pPr>
            <w:r w:rsidRPr="00937CA9">
              <w:rPr>
                <w:rFonts w:ascii="Arial" w:eastAsia="Times New Roman" w:hAnsi="Arial" w:cs="Arial"/>
                <w:b/>
                <w:bCs/>
                <w:color w:val="000000"/>
                <w:sz w:val="16"/>
                <w:szCs w:val="16"/>
                <w:lang w:eastAsia="nl-NL"/>
              </w:rPr>
              <w:t> </w:t>
            </w:r>
          </w:p>
        </w:tc>
        <w:tc>
          <w:tcPr>
            <w:tcW w:w="1320" w:type="dxa"/>
            <w:tcBorders>
              <w:top w:val="single" w:sz="8" w:space="0" w:color="auto"/>
              <w:left w:val="nil"/>
              <w:bottom w:val="double" w:sz="6" w:space="0" w:color="auto"/>
              <w:right w:val="nil"/>
            </w:tcBorders>
            <w:shd w:val="clear" w:color="000000" w:fill="FFFFFF"/>
            <w:vAlign w:val="bottom"/>
            <w:hideMark/>
          </w:tcPr>
          <w:p w:rsidR="002375F3" w:rsidRPr="00937CA9" w:rsidRDefault="002375F3" w:rsidP="00D66A40">
            <w:pPr>
              <w:spacing w:after="0" w:line="240" w:lineRule="auto"/>
              <w:jc w:val="right"/>
              <w:rPr>
                <w:rFonts w:ascii="Arial" w:eastAsia="Times New Roman" w:hAnsi="Arial" w:cs="Arial"/>
                <w:color w:val="000000"/>
                <w:sz w:val="16"/>
                <w:szCs w:val="16"/>
                <w:lang w:eastAsia="nl-NL"/>
              </w:rPr>
            </w:pPr>
            <w:r w:rsidRPr="00937CA9">
              <w:rPr>
                <w:rFonts w:ascii="Arial" w:eastAsia="Times New Roman" w:hAnsi="Arial" w:cs="Arial"/>
                <w:color w:val="000000"/>
                <w:sz w:val="16"/>
                <w:szCs w:val="16"/>
                <w:lang w:eastAsia="nl-NL"/>
              </w:rPr>
              <w:t>8.032.173</w:t>
            </w:r>
          </w:p>
        </w:tc>
      </w:tr>
    </w:tbl>
    <w:p w:rsidR="002375F3" w:rsidRDefault="002375F3" w:rsidP="002375F3">
      <w:pPr>
        <w:spacing w:after="0" w:line="240" w:lineRule="exact"/>
        <w:rPr>
          <w:rFonts w:asciiTheme="minorHAnsi" w:hAnsiTheme="minorHAnsi"/>
          <w:b/>
          <w:szCs w:val="18"/>
        </w:rPr>
      </w:pPr>
    </w:p>
    <w:p w:rsidR="002375F3" w:rsidRDefault="002375F3" w:rsidP="002375F3">
      <w:pPr>
        <w:pStyle w:val="Lijstalinea"/>
        <w:numPr>
          <w:ilvl w:val="0"/>
          <w:numId w:val="4"/>
        </w:numPr>
        <w:spacing w:after="0" w:line="240" w:lineRule="exact"/>
        <w:rPr>
          <w:szCs w:val="18"/>
        </w:rPr>
      </w:pPr>
      <w:r>
        <w:rPr>
          <w:szCs w:val="18"/>
        </w:rPr>
        <w:t xml:space="preserve">Doordat de grondslag voor het vergoeden van </w:t>
      </w:r>
      <w:r w:rsidRPr="003F5578">
        <w:rPr>
          <w:szCs w:val="18"/>
        </w:rPr>
        <w:t>belasting- en invorderingsrente</w:t>
      </w:r>
      <w:r>
        <w:rPr>
          <w:szCs w:val="18"/>
        </w:rPr>
        <w:t xml:space="preserve"> lager is dan geraamd zijn de uitgaven naar beneden bijgesteld.</w:t>
      </w:r>
    </w:p>
    <w:p w:rsidR="002375F3" w:rsidRDefault="002375F3" w:rsidP="002375F3">
      <w:pPr>
        <w:pStyle w:val="Lijstalinea"/>
        <w:numPr>
          <w:ilvl w:val="0"/>
          <w:numId w:val="4"/>
        </w:numPr>
        <w:spacing w:after="0" w:line="240" w:lineRule="exact"/>
        <w:rPr>
          <w:szCs w:val="18"/>
        </w:rPr>
      </w:pPr>
      <w:r>
        <w:rPr>
          <w:szCs w:val="18"/>
        </w:rPr>
        <w:t xml:space="preserve">De lagere apparaatsuitgaven bij de Belastingdienst kennen meerdere oorzaken. Het budget wordt met € 31 mln. lager bijgesteld door </w:t>
      </w:r>
      <w:proofErr w:type="spellStart"/>
      <w:r>
        <w:rPr>
          <w:szCs w:val="18"/>
        </w:rPr>
        <w:t>onderuitputting</w:t>
      </w:r>
      <w:proofErr w:type="spellEnd"/>
      <w:r>
        <w:rPr>
          <w:szCs w:val="18"/>
        </w:rPr>
        <w:t xml:space="preserve"> op personeel. De loon- en prijscompensatie (inclusief compensatie CAO akkoord) heeft een </w:t>
      </w:r>
      <w:proofErr w:type="spellStart"/>
      <w:r>
        <w:rPr>
          <w:szCs w:val="18"/>
        </w:rPr>
        <w:t>budgetverhogend</w:t>
      </w:r>
      <w:proofErr w:type="spellEnd"/>
      <w:r>
        <w:rPr>
          <w:szCs w:val="18"/>
        </w:rPr>
        <w:t xml:space="preserve"> effect van € 28 mln. Verder zijn de kosten vervolging € 12 mln. lager bijgesteld. Overige mutaties bedragen per saldo € 4 mln., de begroting is hiervoor hoger bijgesteld.</w:t>
      </w:r>
    </w:p>
    <w:p w:rsidR="002375F3" w:rsidRPr="001D1F65" w:rsidRDefault="002375F3" w:rsidP="002375F3">
      <w:pPr>
        <w:pStyle w:val="Geenafstand"/>
        <w:numPr>
          <w:ilvl w:val="0"/>
          <w:numId w:val="4"/>
        </w:numPr>
        <w:spacing w:line="240" w:lineRule="exact"/>
        <w:rPr>
          <w:rFonts w:asciiTheme="minorHAnsi" w:hAnsiTheme="minorHAnsi"/>
          <w:szCs w:val="18"/>
        </w:rPr>
      </w:pPr>
      <w:r w:rsidRPr="00881C6F">
        <w:rPr>
          <w:rFonts w:asciiTheme="minorHAnsi" w:hAnsiTheme="minorHAnsi"/>
          <w:szCs w:val="18"/>
        </w:rPr>
        <w:t>In verband met de verplaatsing van SNS Bank heeft de staat de aandelen SNS Bank van SNS REAAL gekocht, zie ook Kamerbrief 33 532 nr. 47. Hierbij is de eerder aan SNS REAAL verstrekte overbruggingslening van € 1,1 mld. verrekend met de aankoopprijs. Bij de uitgaven is daarom een betaling van € 1,1 mld. opgenomen. Aan de ontvangstenkant is hetzelfde bedrag opgenomen voor de verrekeni</w:t>
      </w:r>
      <w:r>
        <w:rPr>
          <w:rFonts w:asciiTheme="minorHAnsi" w:hAnsiTheme="minorHAnsi"/>
          <w:szCs w:val="18"/>
        </w:rPr>
        <w:t>ng met het overbruggingskrediet. Per saldo is de verplaatsing van SNS Bank derhalve budgettair neutraal.</w:t>
      </w:r>
    </w:p>
    <w:p w:rsidR="002375F3" w:rsidRDefault="002375F3" w:rsidP="002375F3">
      <w:pPr>
        <w:pStyle w:val="Geenafstand"/>
        <w:numPr>
          <w:ilvl w:val="0"/>
          <w:numId w:val="4"/>
        </w:numPr>
        <w:spacing w:line="240" w:lineRule="exact"/>
        <w:rPr>
          <w:rFonts w:asciiTheme="minorHAnsi" w:hAnsiTheme="minorHAnsi"/>
          <w:szCs w:val="18"/>
        </w:rPr>
      </w:pPr>
      <w:r w:rsidRPr="00881C6F">
        <w:rPr>
          <w:rFonts w:asciiTheme="minorHAnsi" w:hAnsiTheme="minorHAnsi"/>
          <w:szCs w:val="18"/>
        </w:rPr>
        <w:t>De uitvoeringskosten voor de staatsdeelnemingen zijn verhoogd in verband met de verkoop van de financiële deelnemingen</w:t>
      </w:r>
      <w:r>
        <w:rPr>
          <w:rFonts w:asciiTheme="minorHAnsi" w:hAnsiTheme="minorHAnsi"/>
          <w:szCs w:val="18"/>
        </w:rPr>
        <w:t>. Het betreft vooral de verkoopkosten van ABN AMRO.</w:t>
      </w:r>
    </w:p>
    <w:p w:rsidR="002375F3" w:rsidRDefault="002375F3" w:rsidP="002375F3">
      <w:pPr>
        <w:pStyle w:val="Geenafstand"/>
        <w:numPr>
          <w:ilvl w:val="0"/>
          <w:numId w:val="4"/>
        </w:numPr>
        <w:spacing w:line="240" w:lineRule="exact"/>
        <w:rPr>
          <w:rFonts w:asciiTheme="minorHAnsi" w:hAnsiTheme="minorHAnsi"/>
          <w:szCs w:val="18"/>
        </w:rPr>
      </w:pPr>
      <w:r>
        <w:rPr>
          <w:rFonts w:asciiTheme="minorHAnsi" w:hAnsiTheme="minorHAnsi" w:cs="Times New Roman"/>
          <w:szCs w:val="18"/>
        </w:rPr>
        <w:t xml:space="preserve">Door een aanpassing van het </w:t>
      </w:r>
      <w:r w:rsidRPr="00881C6F">
        <w:rPr>
          <w:rFonts w:asciiTheme="minorHAnsi" w:hAnsiTheme="minorHAnsi" w:cs="Times New Roman"/>
          <w:szCs w:val="18"/>
        </w:rPr>
        <w:t>IDA betaalschema</w:t>
      </w:r>
      <w:r>
        <w:rPr>
          <w:rFonts w:asciiTheme="minorHAnsi" w:hAnsiTheme="minorHAnsi" w:cs="Times New Roman"/>
          <w:szCs w:val="18"/>
        </w:rPr>
        <w:t xml:space="preserve"> wordt een bedrag van € 80 mln. betaald in 2015 in plaats van 2016.</w:t>
      </w:r>
    </w:p>
    <w:p w:rsidR="002375F3" w:rsidRPr="00D54813" w:rsidRDefault="002375F3" w:rsidP="002375F3">
      <w:pPr>
        <w:pStyle w:val="Lijstalinea"/>
        <w:numPr>
          <w:ilvl w:val="0"/>
          <w:numId w:val="4"/>
        </w:numPr>
        <w:spacing w:after="0" w:line="240" w:lineRule="exact"/>
        <w:rPr>
          <w:rFonts w:asciiTheme="minorHAnsi" w:hAnsiTheme="minorHAnsi"/>
          <w:szCs w:val="18"/>
        </w:rPr>
      </w:pPr>
      <w:r w:rsidRPr="00D54813">
        <w:rPr>
          <w:rFonts w:asciiTheme="minorHAnsi" w:hAnsiTheme="minorHAnsi"/>
          <w:szCs w:val="18"/>
        </w:rPr>
        <w:t xml:space="preserve">De raming op de schade-uitgaven wordt naar boven bijgesteld door een grote verwachte schade-uitkering eind 2015. </w:t>
      </w:r>
    </w:p>
    <w:p w:rsidR="002375F3" w:rsidRPr="00A7108C" w:rsidRDefault="002375F3" w:rsidP="002375F3">
      <w:pPr>
        <w:pStyle w:val="Lijstalinea"/>
        <w:numPr>
          <w:ilvl w:val="0"/>
          <w:numId w:val="4"/>
        </w:numPr>
        <w:spacing w:after="0" w:line="240" w:lineRule="exact"/>
        <w:rPr>
          <w:szCs w:val="18"/>
        </w:rPr>
      </w:pPr>
      <w:r>
        <w:t>Dit betreffen technische mutaties.</w:t>
      </w:r>
    </w:p>
    <w:p w:rsidR="002375F3" w:rsidRPr="00A7108C" w:rsidRDefault="002375F3" w:rsidP="002375F3">
      <w:pPr>
        <w:pStyle w:val="Lijstalinea"/>
        <w:numPr>
          <w:ilvl w:val="0"/>
          <w:numId w:val="4"/>
        </w:numPr>
        <w:spacing w:after="0" w:line="240" w:lineRule="exact"/>
        <w:rPr>
          <w:szCs w:val="18"/>
        </w:rPr>
      </w:pPr>
      <w:r>
        <w:t xml:space="preserve">Dit betreft de jaarlijkse loon- en prijsbijstelling. De post wordt afgeboekt van art 10 en verdeelt over de andere artikelen. Per saldo dus een neutrale mutatie. </w:t>
      </w:r>
    </w:p>
    <w:p w:rsidR="002375F3" w:rsidRDefault="002375F3" w:rsidP="002375F3">
      <w:pPr>
        <w:pStyle w:val="Lijstalinea"/>
        <w:spacing w:after="0" w:line="240" w:lineRule="exact"/>
        <w:rPr>
          <w:szCs w:val="18"/>
        </w:rPr>
      </w:pPr>
    </w:p>
    <w:p w:rsidR="002375F3" w:rsidRPr="009F63EF" w:rsidRDefault="002375F3" w:rsidP="002375F3">
      <w:pPr>
        <w:pStyle w:val="Lijstalinea"/>
        <w:spacing w:after="0" w:line="240" w:lineRule="exact"/>
        <w:rPr>
          <w:rFonts w:asciiTheme="minorHAnsi" w:hAnsiTheme="minorHAnsi"/>
          <w:b/>
          <w:szCs w:val="18"/>
        </w:rPr>
      </w:pPr>
    </w:p>
    <w:p w:rsidR="002375F3" w:rsidRDefault="002375F3" w:rsidP="002375F3">
      <w:pPr>
        <w:spacing w:after="0" w:line="240" w:lineRule="exact"/>
        <w:rPr>
          <w:rFonts w:asciiTheme="minorHAnsi" w:hAnsiTheme="minorHAnsi"/>
          <w:b/>
          <w:szCs w:val="18"/>
        </w:rPr>
      </w:pPr>
    </w:p>
    <w:p w:rsidR="002375F3" w:rsidRDefault="002375F3" w:rsidP="002375F3">
      <w:pPr>
        <w:rPr>
          <w:rFonts w:asciiTheme="minorHAnsi" w:hAnsiTheme="minorHAnsi"/>
          <w:b/>
          <w:szCs w:val="18"/>
        </w:rPr>
      </w:pPr>
      <w:r>
        <w:rPr>
          <w:rFonts w:asciiTheme="minorHAnsi" w:hAnsiTheme="minorHAnsi"/>
          <w:b/>
          <w:szCs w:val="18"/>
        </w:rPr>
        <w:br w:type="page"/>
      </w:r>
    </w:p>
    <w:tbl>
      <w:tblPr>
        <w:tblW w:w="7600" w:type="dxa"/>
        <w:tblInd w:w="70" w:type="dxa"/>
        <w:tblCellMar>
          <w:left w:w="70" w:type="dxa"/>
          <w:right w:w="70" w:type="dxa"/>
        </w:tblCellMar>
        <w:tblLook w:val="04A0" w:firstRow="1" w:lastRow="0" w:firstColumn="1" w:lastColumn="0" w:noHBand="0" w:noVBand="1"/>
      </w:tblPr>
      <w:tblGrid>
        <w:gridCol w:w="4960"/>
        <w:gridCol w:w="980"/>
        <w:gridCol w:w="1660"/>
      </w:tblGrid>
      <w:tr w:rsidR="002375F3" w:rsidRPr="00264552" w:rsidTr="00D66A40">
        <w:trPr>
          <w:trHeight w:val="240"/>
        </w:trPr>
        <w:tc>
          <w:tcPr>
            <w:tcW w:w="7600" w:type="dxa"/>
            <w:gridSpan w:val="3"/>
            <w:tcBorders>
              <w:top w:val="nil"/>
              <w:left w:val="nil"/>
              <w:bottom w:val="single" w:sz="8" w:space="0" w:color="auto"/>
              <w:right w:val="nil"/>
            </w:tcBorders>
            <w:shd w:val="clear" w:color="000000" w:fill="FFFFFF"/>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lastRenderedPageBreak/>
              <w:t>Tabel: overzicht belangrijkste suppletoire ontvangstenmutaties (x € 1000)</w:t>
            </w:r>
          </w:p>
        </w:tc>
      </w:tr>
      <w:tr w:rsidR="002375F3" w:rsidRPr="00264552" w:rsidTr="00D66A40">
        <w:trPr>
          <w:trHeight w:val="240"/>
        </w:trPr>
        <w:tc>
          <w:tcPr>
            <w:tcW w:w="4960" w:type="dxa"/>
            <w:tcBorders>
              <w:top w:val="nil"/>
              <w:left w:val="nil"/>
              <w:bottom w:val="single" w:sz="8" w:space="0" w:color="auto"/>
              <w:right w:val="nil"/>
            </w:tcBorders>
            <w:shd w:val="clear" w:color="000000" w:fill="FFFFFF"/>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 </w:t>
            </w:r>
          </w:p>
        </w:tc>
        <w:tc>
          <w:tcPr>
            <w:tcW w:w="980" w:type="dxa"/>
            <w:tcBorders>
              <w:top w:val="nil"/>
              <w:left w:val="nil"/>
              <w:bottom w:val="single" w:sz="8" w:space="0" w:color="auto"/>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 xml:space="preserve">Art. </w:t>
            </w:r>
            <w:proofErr w:type="spellStart"/>
            <w:r w:rsidRPr="00264552">
              <w:rPr>
                <w:rFonts w:ascii="Arial" w:eastAsia="Times New Roman" w:hAnsi="Arial" w:cs="Arial"/>
                <w:b/>
                <w:bCs/>
                <w:color w:val="000000"/>
                <w:sz w:val="16"/>
                <w:szCs w:val="16"/>
                <w:lang w:eastAsia="nl-NL"/>
              </w:rPr>
              <w:t>nr</w:t>
            </w:r>
            <w:proofErr w:type="spellEnd"/>
          </w:p>
        </w:tc>
        <w:tc>
          <w:tcPr>
            <w:tcW w:w="1660" w:type="dxa"/>
            <w:tcBorders>
              <w:top w:val="nil"/>
              <w:left w:val="nil"/>
              <w:bottom w:val="single" w:sz="8" w:space="0" w:color="auto"/>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Ontvangsten 2015</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Stand oorspronkelijke vastgestelde begroting 2015</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121.575.790</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Stand 1e suppletoire begroting 2015</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121.738.952</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Stand incidentele suppletoire begroting</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121.738.952</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 </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Belangrijkste suppletoire mutaties:</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 Belasting- en invorderingsrente</w:t>
            </w:r>
          </w:p>
        </w:tc>
        <w:tc>
          <w:tcPr>
            <w:tcW w:w="98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-90.000</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 Ontvangsten boetes en schikkingen</w:t>
            </w:r>
          </w:p>
        </w:tc>
        <w:tc>
          <w:tcPr>
            <w:tcW w:w="980"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16.000</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 Kosten vervolging</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-12.000</w:t>
            </w:r>
          </w:p>
        </w:tc>
      </w:tr>
      <w:tr w:rsidR="002375F3" w:rsidRPr="00264552" w:rsidTr="00D66A40">
        <w:trPr>
          <w:trHeight w:val="240"/>
        </w:trPr>
        <w:tc>
          <w:tcPr>
            <w:tcW w:w="4960" w:type="dxa"/>
            <w:tcBorders>
              <w:top w:val="nil"/>
              <w:left w:val="nil"/>
              <w:bottom w:val="nil"/>
              <w:right w:val="nil"/>
            </w:tcBorders>
            <w:shd w:val="clear" w:color="auto" w:fill="auto"/>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4) Belastingontvangsten</w:t>
            </w:r>
          </w:p>
        </w:tc>
        <w:tc>
          <w:tcPr>
            <w:tcW w:w="980" w:type="dxa"/>
            <w:tcBorders>
              <w:top w:val="nil"/>
              <w:left w:val="nil"/>
              <w:bottom w:val="nil"/>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-68.927</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5) Ontvangsten IJsland</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58.491</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6) Verrekening overbruggingskrediet SNS</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1.100.000</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7) Opbrengst verkoop vermogenstitels</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3.337.644</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8) Dividend en afdrachten staatsdeelnemingen</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248.400</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9) Premies EKV</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5</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55.000</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10) Schaderestituties EKV</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5</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-29.900</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11) Btw-compensatieregeling</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6</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-38.678</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12) Overig</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-6.314</w:t>
            </w:r>
          </w:p>
        </w:tc>
      </w:tr>
      <w:tr w:rsidR="002375F3" w:rsidRPr="00264552" w:rsidTr="00D66A40">
        <w:trPr>
          <w:trHeight w:val="240"/>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p>
        </w:tc>
      </w:tr>
      <w:tr w:rsidR="002375F3" w:rsidRPr="00264552" w:rsidTr="00D66A40">
        <w:trPr>
          <w:trHeight w:val="255"/>
        </w:trPr>
        <w:tc>
          <w:tcPr>
            <w:tcW w:w="49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98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60" w:type="dxa"/>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r>
      <w:tr w:rsidR="002375F3" w:rsidRPr="00264552" w:rsidTr="00D66A40">
        <w:trPr>
          <w:trHeight w:val="255"/>
        </w:trPr>
        <w:tc>
          <w:tcPr>
            <w:tcW w:w="4960" w:type="dxa"/>
            <w:tcBorders>
              <w:top w:val="single" w:sz="8" w:space="0" w:color="auto"/>
              <w:left w:val="nil"/>
              <w:bottom w:val="double" w:sz="6" w:space="0" w:color="auto"/>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Stand 2</w:t>
            </w:r>
            <w:r w:rsidRPr="00264552">
              <w:rPr>
                <w:rFonts w:ascii="Arial" w:eastAsia="Times New Roman" w:hAnsi="Arial" w:cs="Arial"/>
                <w:b/>
                <w:bCs/>
                <w:color w:val="000000"/>
                <w:sz w:val="16"/>
                <w:szCs w:val="16"/>
                <w:vertAlign w:val="superscript"/>
                <w:lang w:eastAsia="nl-NL"/>
              </w:rPr>
              <w:t>e</w:t>
            </w:r>
            <w:r w:rsidRPr="00264552">
              <w:rPr>
                <w:rFonts w:ascii="Arial" w:eastAsia="Times New Roman" w:hAnsi="Arial" w:cs="Arial"/>
                <w:b/>
                <w:bCs/>
                <w:color w:val="000000"/>
                <w:sz w:val="16"/>
                <w:szCs w:val="16"/>
                <w:lang w:eastAsia="nl-NL"/>
              </w:rPr>
              <w:t xml:space="preserve"> suppletoire begroting 2015</w:t>
            </w:r>
          </w:p>
        </w:tc>
        <w:tc>
          <w:tcPr>
            <w:tcW w:w="980" w:type="dxa"/>
            <w:tcBorders>
              <w:top w:val="single" w:sz="8" w:space="0" w:color="auto"/>
              <w:left w:val="nil"/>
              <w:bottom w:val="double" w:sz="6" w:space="0" w:color="auto"/>
              <w:right w:val="nil"/>
            </w:tcBorders>
            <w:shd w:val="clear" w:color="000000" w:fill="FFFFFF"/>
            <w:vAlign w:val="bottom"/>
            <w:hideMark/>
          </w:tcPr>
          <w:p w:rsidR="002375F3" w:rsidRPr="00264552" w:rsidRDefault="002375F3" w:rsidP="00D66A40">
            <w:pPr>
              <w:spacing w:after="0" w:line="240" w:lineRule="auto"/>
              <w:jc w:val="right"/>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 </w:t>
            </w:r>
          </w:p>
        </w:tc>
        <w:tc>
          <w:tcPr>
            <w:tcW w:w="1660" w:type="dxa"/>
            <w:tcBorders>
              <w:top w:val="single" w:sz="8" w:space="0" w:color="auto"/>
              <w:left w:val="nil"/>
              <w:bottom w:val="double" w:sz="6" w:space="0" w:color="auto"/>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126.308.668</w:t>
            </w:r>
          </w:p>
        </w:tc>
      </w:tr>
    </w:tbl>
    <w:p w:rsidR="002375F3" w:rsidRDefault="002375F3" w:rsidP="002375F3">
      <w:pPr>
        <w:spacing w:after="0" w:line="240" w:lineRule="exact"/>
        <w:rPr>
          <w:rFonts w:asciiTheme="minorHAnsi" w:hAnsiTheme="minorHAnsi"/>
          <w:b/>
          <w:szCs w:val="18"/>
        </w:rPr>
      </w:pPr>
    </w:p>
    <w:p w:rsidR="002375F3" w:rsidRDefault="002375F3" w:rsidP="002375F3">
      <w:pPr>
        <w:pStyle w:val="Lijstalinea"/>
        <w:numPr>
          <w:ilvl w:val="0"/>
          <w:numId w:val="7"/>
        </w:numPr>
        <w:spacing w:after="0" w:line="240" w:lineRule="exact"/>
        <w:rPr>
          <w:szCs w:val="18"/>
        </w:rPr>
      </w:pPr>
      <w:r w:rsidRPr="00605F62">
        <w:rPr>
          <w:szCs w:val="18"/>
        </w:rPr>
        <w:t>De ontvangsten uit belasting- en invorderingsrente worden met 90 mln. naar beneden bijgesteld</w:t>
      </w:r>
      <w:r>
        <w:rPr>
          <w:szCs w:val="18"/>
        </w:rPr>
        <w:t>.</w:t>
      </w:r>
      <w:r w:rsidRPr="00605F62">
        <w:rPr>
          <w:szCs w:val="18"/>
        </w:rPr>
        <w:t xml:space="preserve"> </w:t>
      </w:r>
      <w:r>
        <w:rPr>
          <w:szCs w:val="18"/>
        </w:rPr>
        <w:t xml:space="preserve">De belangrijkste oorzaken hiervoor zijn de snellere indiening en behandeling van aangiften. Hierdoor daalt het rentebedrag dat belastingplichtigen eventueel verschuldigd zijn. Ook kiezen bedrijven voor het betalen van een hogere voorlopige belastingaanslag. Bij de vaststelling </w:t>
      </w:r>
      <w:r w:rsidRPr="00605F62">
        <w:rPr>
          <w:szCs w:val="18"/>
        </w:rPr>
        <w:t xml:space="preserve">van de definitieve aanslag </w:t>
      </w:r>
      <w:r>
        <w:rPr>
          <w:szCs w:val="18"/>
        </w:rPr>
        <w:t>is hierdoor minder</w:t>
      </w:r>
      <w:r w:rsidRPr="00605F62">
        <w:rPr>
          <w:szCs w:val="18"/>
        </w:rPr>
        <w:t xml:space="preserve"> rente verschuldigd</w:t>
      </w:r>
      <w:r>
        <w:rPr>
          <w:szCs w:val="18"/>
        </w:rPr>
        <w:t>.</w:t>
      </w:r>
    </w:p>
    <w:p w:rsidR="002375F3" w:rsidRPr="00EC7A03" w:rsidRDefault="002375F3" w:rsidP="002375F3">
      <w:pPr>
        <w:pStyle w:val="Lijstalinea"/>
        <w:numPr>
          <w:ilvl w:val="0"/>
          <w:numId w:val="7"/>
        </w:numPr>
        <w:spacing w:after="0" w:line="240" w:lineRule="exact"/>
        <w:rPr>
          <w:szCs w:val="18"/>
        </w:rPr>
      </w:pPr>
      <w:r w:rsidRPr="00EC7A03">
        <w:rPr>
          <w:szCs w:val="18"/>
        </w:rPr>
        <w:t>De ontvangsten uit boetes en schikkingen laten een meevaller zien van 16 mln. Dit wordt met name veroorzaakt door de hogere b</w:t>
      </w:r>
      <w:r>
        <w:rPr>
          <w:szCs w:val="18"/>
        </w:rPr>
        <w:t>oetetarieven binnen de motor</w:t>
      </w:r>
      <w:r w:rsidRPr="00EC7A03">
        <w:rPr>
          <w:szCs w:val="18"/>
        </w:rPr>
        <w:t>rijtuigenbelasting.</w:t>
      </w:r>
    </w:p>
    <w:p w:rsidR="002375F3" w:rsidRDefault="002375F3" w:rsidP="002375F3">
      <w:pPr>
        <w:pStyle w:val="Lijstalinea"/>
        <w:numPr>
          <w:ilvl w:val="0"/>
          <w:numId w:val="7"/>
        </w:numPr>
        <w:spacing w:after="0" w:line="240" w:lineRule="exact"/>
        <w:rPr>
          <w:szCs w:val="18"/>
        </w:rPr>
      </w:pPr>
      <w:r>
        <w:rPr>
          <w:szCs w:val="18"/>
        </w:rPr>
        <w:t xml:space="preserve">De </w:t>
      </w:r>
      <w:r>
        <w:t>aan burgers en bedrijven doorbelaste kosten vervolging zijn lager uitgevallen. De apparaatskosten zijn evenredig verlaagd (desaldering).</w:t>
      </w:r>
      <w:r>
        <w:rPr>
          <w:szCs w:val="18"/>
        </w:rPr>
        <w:t xml:space="preserve"> </w:t>
      </w:r>
    </w:p>
    <w:p w:rsidR="002375F3" w:rsidRPr="007270F9" w:rsidRDefault="002375F3" w:rsidP="002375F3">
      <w:pPr>
        <w:pStyle w:val="Lijstalinea"/>
        <w:numPr>
          <w:ilvl w:val="0"/>
          <w:numId w:val="7"/>
        </w:numPr>
        <w:rPr>
          <w:szCs w:val="18"/>
        </w:rPr>
      </w:pPr>
      <w:r>
        <w:t>In de Najaarsnota 2015 wordt de mutatie op de belastingontvangsten toegelicht</w:t>
      </w:r>
    </w:p>
    <w:p w:rsidR="002375F3" w:rsidRPr="00EC7A03" w:rsidRDefault="002375F3" w:rsidP="002375F3">
      <w:pPr>
        <w:pStyle w:val="Lijstalinea"/>
        <w:numPr>
          <w:ilvl w:val="0"/>
          <w:numId w:val="7"/>
        </w:numPr>
        <w:rPr>
          <w:szCs w:val="18"/>
        </w:rPr>
      </w:pPr>
      <w:r>
        <w:rPr>
          <w:szCs w:val="18"/>
        </w:rPr>
        <w:t xml:space="preserve">Het dossier </w:t>
      </w:r>
      <w:proofErr w:type="spellStart"/>
      <w:r>
        <w:rPr>
          <w:szCs w:val="18"/>
        </w:rPr>
        <w:t>Ices</w:t>
      </w:r>
      <w:r w:rsidRPr="00EC7A03">
        <w:rPr>
          <w:szCs w:val="18"/>
        </w:rPr>
        <w:t>ave</w:t>
      </w:r>
      <w:proofErr w:type="spellEnd"/>
      <w:r w:rsidRPr="00EC7A03">
        <w:rPr>
          <w:szCs w:val="18"/>
        </w:rPr>
        <w:t xml:space="preserve"> is na zeven jaar gesloten. Met het IJslandse DGS is een schikking overeengekomen. Dit zijn niet-geraamde ontvangsten als gevolg van de afwikkel</w:t>
      </w:r>
      <w:r>
        <w:rPr>
          <w:szCs w:val="18"/>
        </w:rPr>
        <w:t xml:space="preserve">ing van de vordering inzake </w:t>
      </w:r>
      <w:proofErr w:type="spellStart"/>
      <w:r>
        <w:rPr>
          <w:szCs w:val="18"/>
        </w:rPr>
        <w:t>Ices</w:t>
      </w:r>
      <w:r w:rsidRPr="00EC7A03">
        <w:rPr>
          <w:szCs w:val="18"/>
        </w:rPr>
        <w:t>ave</w:t>
      </w:r>
      <w:proofErr w:type="spellEnd"/>
      <w:r w:rsidRPr="00EC7A03">
        <w:rPr>
          <w:szCs w:val="18"/>
        </w:rPr>
        <w:t>.</w:t>
      </w:r>
    </w:p>
    <w:p w:rsidR="002375F3" w:rsidRDefault="002375F3" w:rsidP="002375F3">
      <w:pPr>
        <w:pStyle w:val="Lijstalinea"/>
        <w:numPr>
          <w:ilvl w:val="0"/>
          <w:numId w:val="7"/>
        </w:numPr>
        <w:spacing w:after="0" w:line="240" w:lineRule="exact"/>
        <w:rPr>
          <w:szCs w:val="18"/>
        </w:rPr>
      </w:pPr>
      <w:r>
        <w:rPr>
          <w:szCs w:val="18"/>
        </w:rPr>
        <w:t>Zie punt 3 bij uitgavenmutaties.</w:t>
      </w:r>
    </w:p>
    <w:p w:rsidR="002375F3" w:rsidRDefault="002375F3" w:rsidP="002375F3">
      <w:pPr>
        <w:pStyle w:val="Lijstalinea"/>
        <w:numPr>
          <w:ilvl w:val="0"/>
          <w:numId w:val="7"/>
        </w:numPr>
        <w:spacing w:after="0" w:line="240" w:lineRule="exact"/>
        <w:rPr>
          <w:szCs w:val="18"/>
        </w:rPr>
      </w:pPr>
      <w:r>
        <w:rPr>
          <w:szCs w:val="18"/>
        </w:rPr>
        <w:t xml:space="preserve">Dit betreft vooral de </w:t>
      </w:r>
      <w:r w:rsidRPr="00AD7DB9">
        <w:rPr>
          <w:iCs/>
          <w:szCs w:val="18"/>
        </w:rPr>
        <w:t xml:space="preserve">bruto verkoopopbrengst van ABN AMRO van € </w:t>
      </w:r>
      <w:r>
        <w:rPr>
          <w:iCs/>
          <w:szCs w:val="18"/>
        </w:rPr>
        <w:t>3,337 mld. als gevolg van de beursgang (eerste plaatsing).</w:t>
      </w:r>
    </w:p>
    <w:p w:rsidR="002375F3" w:rsidRPr="007D4B81" w:rsidRDefault="002375F3" w:rsidP="002375F3">
      <w:pPr>
        <w:pStyle w:val="Lijstalinea"/>
        <w:numPr>
          <w:ilvl w:val="0"/>
          <w:numId w:val="7"/>
        </w:numPr>
        <w:spacing w:after="0" w:line="240" w:lineRule="exact"/>
        <w:rPr>
          <w:szCs w:val="18"/>
        </w:rPr>
      </w:pPr>
      <w:r>
        <w:rPr>
          <w:rFonts w:asciiTheme="minorHAnsi" w:hAnsiTheme="minorHAnsi"/>
          <w:szCs w:val="18"/>
        </w:rPr>
        <w:t>De</w:t>
      </w:r>
      <w:r w:rsidRPr="00881C6F">
        <w:rPr>
          <w:rFonts w:asciiTheme="minorHAnsi" w:hAnsiTheme="minorHAnsi"/>
          <w:szCs w:val="18"/>
        </w:rPr>
        <w:t xml:space="preserve"> geraamde dividenden </w:t>
      </w:r>
      <w:r>
        <w:rPr>
          <w:rFonts w:asciiTheme="minorHAnsi" w:hAnsiTheme="minorHAnsi"/>
          <w:szCs w:val="18"/>
        </w:rPr>
        <w:t xml:space="preserve">(niet kaderrelevant) </w:t>
      </w:r>
      <w:r w:rsidRPr="00881C6F">
        <w:rPr>
          <w:rFonts w:asciiTheme="minorHAnsi" w:hAnsiTheme="minorHAnsi"/>
          <w:szCs w:val="18"/>
        </w:rPr>
        <w:t>van de financiële instellingen</w:t>
      </w:r>
      <w:r>
        <w:rPr>
          <w:rFonts w:asciiTheme="minorHAnsi" w:hAnsiTheme="minorHAnsi"/>
          <w:szCs w:val="18"/>
        </w:rPr>
        <w:t xml:space="preserve"> zijn hoger uitgevallen.</w:t>
      </w:r>
    </w:p>
    <w:p w:rsidR="002375F3" w:rsidRPr="007D4B81" w:rsidRDefault="002375F3" w:rsidP="002375F3">
      <w:pPr>
        <w:pStyle w:val="Geenafstand"/>
        <w:numPr>
          <w:ilvl w:val="0"/>
          <w:numId w:val="7"/>
        </w:numPr>
        <w:spacing w:line="240" w:lineRule="exact"/>
        <w:rPr>
          <w:rFonts w:asciiTheme="minorHAnsi" w:hAnsiTheme="minorHAnsi"/>
          <w:szCs w:val="18"/>
        </w:rPr>
      </w:pPr>
      <w:r w:rsidRPr="007D4B81">
        <w:rPr>
          <w:rFonts w:asciiTheme="minorHAnsi" w:hAnsiTheme="minorHAnsi"/>
          <w:szCs w:val="18"/>
        </w:rPr>
        <w:t xml:space="preserve">Door enkele grote exporttransacties zijn de premie-inkomsten hoger dan geraamd. </w:t>
      </w:r>
    </w:p>
    <w:p w:rsidR="002375F3" w:rsidRPr="00881C6F" w:rsidRDefault="002375F3" w:rsidP="002375F3">
      <w:pPr>
        <w:pStyle w:val="Geenafstand"/>
        <w:numPr>
          <w:ilvl w:val="0"/>
          <w:numId w:val="7"/>
        </w:numPr>
        <w:spacing w:line="240" w:lineRule="exact"/>
        <w:rPr>
          <w:rFonts w:asciiTheme="minorHAnsi" w:hAnsiTheme="minorHAnsi"/>
          <w:szCs w:val="18"/>
        </w:rPr>
      </w:pPr>
      <w:r w:rsidRPr="00881C6F">
        <w:rPr>
          <w:rFonts w:asciiTheme="minorHAnsi" w:hAnsiTheme="minorHAnsi"/>
          <w:szCs w:val="18"/>
        </w:rPr>
        <w:t xml:space="preserve">De schaderestituties uit hoofde van terugbetalingsregelingen zijn lager dan geraamd. </w:t>
      </w:r>
    </w:p>
    <w:p w:rsidR="002375F3" w:rsidRDefault="002375F3" w:rsidP="002375F3">
      <w:pPr>
        <w:pStyle w:val="Lijstalinea"/>
        <w:numPr>
          <w:ilvl w:val="0"/>
          <w:numId w:val="7"/>
        </w:numPr>
        <w:spacing w:after="0" w:line="240" w:lineRule="exact"/>
        <w:rPr>
          <w:szCs w:val="18"/>
        </w:rPr>
      </w:pPr>
      <w:r>
        <w:t>Dit betreffen technische mutaties.</w:t>
      </w:r>
    </w:p>
    <w:p w:rsidR="002375F3" w:rsidRPr="00881C6F" w:rsidRDefault="002375F3" w:rsidP="002375F3">
      <w:pPr>
        <w:pStyle w:val="Geenafstand"/>
        <w:spacing w:line="240" w:lineRule="exact"/>
        <w:ind w:left="720"/>
        <w:rPr>
          <w:rFonts w:asciiTheme="minorHAnsi" w:hAnsiTheme="minorHAnsi"/>
          <w:szCs w:val="18"/>
        </w:rPr>
      </w:pPr>
    </w:p>
    <w:p w:rsidR="002375F3" w:rsidRPr="007D4B81" w:rsidRDefault="002375F3" w:rsidP="002375F3">
      <w:pPr>
        <w:pStyle w:val="Lijstalinea"/>
        <w:numPr>
          <w:ilvl w:val="0"/>
          <w:numId w:val="7"/>
        </w:numPr>
        <w:spacing w:after="0" w:line="240" w:lineRule="exact"/>
        <w:rPr>
          <w:rFonts w:asciiTheme="minorHAnsi" w:hAnsiTheme="minorHAnsi"/>
          <w:szCs w:val="18"/>
        </w:rPr>
      </w:pPr>
      <w:r w:rsidRPr="007D4B81">
        <w:rPr>
          <w:rFonts w:asciiTheme="minorHAnsi" w:hAnsiTheme="minorHAnsi"/>
          <w:szCs w:val="18"/>
        </w:rPr>
        <w:br w:type="page"/>
      </w:r>
    </w:p>
    <w:p w:rsidR="002375F3" w:rsidRPr="00605F62" w:rsidRDefault="002375F3" w:rsidP="002375F3">
      <w:pPr>
        <w:pStyle w:val="Lijstalinea"/>
        <w:spacing w:after="0" w:line="240" w:lineRule="exact"/>
        <w:rPr>
          <w:rFonts w:asciiTheme="minorHAnsi" w:hAnsiTheme="minorHAnsi"/>
          <w:b/>
          <w:szCs w:val="18"/>
        </w:rPr>
      </w:pPr>
    </w:p>
    <w:p w:rsidR="002375F3" w:rsidRDefault="002375F3" w:rsidP="002375F3">
      <w:pPr>
        <w:spacing w:after="0" w:line="240" w:lineRule="exact"/>
        <w:rPr>
          <w:rFonts w:asciiTheme="minorHAnsi" w:hAnsiTheme="minorHAnsi"/>
          <w:b/>
          <w:szCs w:val="18"/>
        </w:rPr>
      </w:pPr>
    </w:p>
    <w:p w:rsidR="002375F3" w:rsidRDefault="002375F3" w:rsidP="002375F3">
      <w:pPr>
        <w:spacing w:after="0" w:line="240" w:lineRule="exact"/>
        <w:rPr>
          <w:rFonts w:asciiTheme="minorHAnsi" w:hAnsiTheme="minorHAnsi"/>
          <w:b/>
          <w:szCs w:val="18"/>
        </w:rPr>
      </w:pPr>
    </w:p>
    <w:p w:rsidR="002375F3" w:rsidRPr="00881C6F" w:rsidRDefault="002375F3" w:rsidP="002375F3">
      <w:pPr>
        <w:spacing w:after="0" w:line="240" w:lineRule="exact"/>
        <w:rPr>
          <w:rFonts w:asciiTheme="minorHAnsi" w:hAnsiTheme="minorHAnsi"/>
          <w:b/>
          <w:szCs w:val="18"/>
        </w:rPr>
      </w:pPr>
      <w:r w:rsidRPr="00881C6F">
        <w:rPr>
          <w:rFonts w:asciiTheme="minorHAnsi" w:hAnsiTheme="minorHAnsi"/>
          <w:b/>
          <w:szCs w:val="18"/>
        </w:rPr>
        <w:t>2.1.2 Overzicht belangrijkste mutaties schuldfinanciering en kasbeheer</w:t>
      </w:r>
    </w:p>
    <w:p w:rsidR="002375F3" w:rsidRPr="00881C6F" w:rsidRDefault="002375F3" w:rsidP="002375F3">
      <w:pPr>
        <w:spacing w:after="0" w:line="240" w:lineRule="exact"/>
        <w:rPr>
          <w:rFonts w:asciiTheme="minorHAnsi" w:hAnsiTheme="minorHAnsi"/>
          <w:b/>
          <w:szCs w:val="18"/>
        </w:rPr>
      </w:pPr>
    </w:p>
    <w:p w:rsidR="002375F3" w:rsidRDefault="002375F3" w:rsidP="002375F3">
      <w:pPr>
        <w:spacing w:after="0" w:line="240" w:lineRule="exact"/>
        <w:rPr>
          <w:rFonts w:asciiTheme="minorHAnsi" w:hAnsiTheme="minorHAnsi"/>
          <w:szCs w:val="18"/>
        </w:rPr>
      </w:pPr>
      <w:r w:rsidRPr="00881C6F">
        <w:rPr>
          <w:rFonts w:asciiTheme="minorHAnsi" w:hAnsiTheme="minorHAnsi"/>
          <w:szCs w:val="18"/>
        </w:rPr>
        <w:t xml:space="preserve">In onderstaande tabel worden de belangrijkste mutaties in kosten voor schuldfinanciering en kasbeheer weergegeven. De mutaties in deze posten zijn ook opgenomen in de tabellen in </w:t>
      </w:r>
      <w:r w:rsidRPr="00127E7A">
        <w:rPr>
          <w:rFonts w:asciiTheme="minorHAnsi" w:hAnsiTheme="minorHAnsi"/>
          <w:szCs w:val="18"/>
        </w:rPr>
        <w:t>paragraaf 2.4. In</w:t>
      </w:r>
      <w:r w:rsidRPr="00881C6F">
        <w:rPr>
          <w:rFonts w:asciiTheme="minorHAnsi" w:hAnsiTheme="minorHAnsi"/>
          <w:szCs w:val="18"/>
        </w:rPr>
        <w:t xml:space="preserve"> die tabellen worden ook de overige mutaties gepresenteerd. Hieronder vallen de aflossingen en uitgiften van de staatsschuld en mutaties in de schuldverhouding van de Staat met de deelnemers aan het schatkistbankieren.</w:t>
      </w:r>
    </w:p>
    <w:p w:rsidR="002375F3" w:rsidRPr="00FD5D05" w:rsidRDefault="002375F3" w:rsidP="002375F3">
      <w:pPr>
        <w:spacing w:after="0" w:line="240" w:lineRule="exact"/>
        <w:rPr>
          <w:rFonts w:asciiTheme="minorHAnsi" w:hAnsiTheme="minorHAnsi"/>
          <w:szCs w:val="18"/>
        </w:rPr>
      </w:pPr>
    </w:p>
    <w:tbl>
      <w:tblPr>
        <w:tblW w:w="7811" w:type="dxa"/>
        <w:tblInd w:w="56" w:type="dxa"/>
        <w:tblCellMar>
          <w:left w:w="70" w:type="dxa"/>
          <w:right w:w="70" w:type="dxa"/>
        </w:tblCellMar>
        <w:tblLook w:val="04A0" w:firstRow="1" w:lastRow="0" w:firstColumn="1" w:lastColumn="0" w:noHBand="0" w:noVBand="1"/>
      </w:tblPr>
      <w:tblGrid>
        <w:gridCol w:w="6371"/>
        <w:gridCol w:w="1440"/>
      </w:tblGrid>
      <w:tr w:rsidR="002375F3" w:rsidRPr="00FD5D05" w:rsidTr="00D66A40">
        <w:trPr>
          <w:trHeight w:val="315"/>
        </w:trPr>
        <w:tc>
          <w:tcPr>
            <w:tcW w:w="7811" w:type="dxa"/>
            <w:gridSpan w:val="2"/>
            <w:tcBorders>
              <w:top w:val="nil"/>
              <w:left w:val="nil"/>
              <w:bottom w:val="single" w:sz="8" w:space="0" w:color="auto"/>
              <w:right w:val="nil"/>
            </w:tcBorders>
            <w:shd w:val="clear" w:color="000000" w:fill="FFFFFF"/>
            <w:noWrap/>
            <w:vAlign w:val="bottom"/>
            <w:hideMark/>
          </w:tcPr>
          <w:p w:rsidR="002375F3" w:rsidRPr="00FD5D05" w:rsidRDefault="002375F3" w:rsidP="00D66A40">
            <w:pPr>
              <w:spacing w:after="0" w:line="240" w:lineRule="auto"/>
              <w:rPr>
                <w:rFonts w:ascii="Arial" w:eastAsia="Times New Roman" w:hAnsi="Arial" w:cs="Arial"/>
                <w:b/>
                <w:bCs/>
                <w:sz w:val="16"/>
                <w:szCs w:val="16"/>
                <w:lang w:eastAsia="nl-NL"/>
              </w:rPr>
            </w:pPr>
            <w:r w:rsidRPr="00FD5D05">
              <w:rPr>
                <w:rFonts w:ascii="Arial" w:eastAsia="Times New Roman" w:hAnsi="Arial" w:cs="Arial"/>
                <w:b/>
                <w:bCs/>
                <w:sz w:val="16"/>
                <w:szCs w:val="16"/>
                <w:lang w:eastAsia="nl-NL"/>
              </w:rPr>
              <w:t xml:space="preserve">Overzicht belangrijkste mutaties schuldfinanciering en kasbeheer (x € 1 mln.) </w:t>
            </w:r>
          </w:p>
        </w:tc>
      </w:tr>
      <w:tr w:rsidR="002375F3" w:rsidRPr="00FD5D05" w:rsidTr="00D66A40">
        <w:trPr>
          <w:trHeight w:val="315"/>
        </w:trPr>
        <w:tc>
          <w:tcPr>
            <w:tcW w:w="6371" w:type="dxa"/>
            <w:tcBorders>
              <w:top w:val="nil"/>
              <w:left w:val="nil"/>
              <w:bottom w:val="single" w:sz="8" w:space="0" w:color="auto"/>
              <w:right w:val="nil"/>
            </w:tcBorders>
            <w:shd w:val="clear" w:color="000000" w:fill="FFFFFF"/>
            <w:noWrap/>
            <w:vAlign w:val="bottom"/>
            <w:hideMark/>
          </w:tcPr>
          <w:p w:rsidR="002375F3" w:rsidRPr="00FD5D05" w:rsidRDefault="002375F3" w:rsidP="00D66A40">
            <w:pPr>
              <w:spacing w:after="0" w:line="240" w:lineRule="auto"/>
              <w:rPr>
                <w:rFonts w:ascii="Arial" w:eastAsia="Times New Roman" w:hAnsi="Arial" w:cs="Arial"/>
                <w:sz w:val="16"/>
                <w:szCs w:val="16"/>
                <w:lang w:eastAsia="nl-NL"/>
              </w:rPr>
            </w:pPr>
            <w:r w:rsidRPr="00FD5D05">
              <w:rPr>
                <w:rFonts w:ascii="Arial" w:eastAsia="Times New Roman" w:hAnsi="Arial" w:cs="Arial"/>
                <w:sz w:val="16"/>
                <w:szCs w:val="16"/>
                <w:lang w:eastAsia="nl-NL"/>
              </w:rPr>
              <w:t> </w:t>
            </w:r>
          </w:p>
        </w:tc>
        <w:tc>
          <w:tcPr>
            <w:tcW w:w="1440" w:type="dxa"/>
            <w:tcBorders>
              <w:top w:val="nil"/>
              <w:left w:val="nil"/>
              <w:bottom w:val="single" w:sz="8" w:space="0" w:color="auto"/>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sz w:val="16"/>
                <w:szCs w:val="16"/>
                <w:lang w:eastAsia="nl-NL"/>
              </w:rPr>
            </w:pPr>
            <w:r w:rsidRPr="00FD5D05">
              <w:rPr>
                <w:rFonts w:ascii="Arial" w:eastAsia="Times New Roman" w:hAnsi="Arial" w:cs="Arial"/>
                <w:sz w:val="16"/>
                <w:szCs w:val="16"/>
                <w:lang w:eastAsia="nl-NL"/>
              </w:rPr>
              <w:t>2015</w:t>
            </w:r>
          </w:p>
        </w:tc>
      </w:tr>
      <w:tr w:rsidR="002375F3" w:rsidRPr="00FD5D05" w:rsidTr="00D66A40">
        <w:trPr>
          <w:trHeight w:val="150"/>
        </w:trPr>
        <w:tc>
          <w:tcPr>
            <w:tcW w:w="6371"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rPr>
                <w:rFonts w:ascii="Arial" w:eastAsia="Times New Roman" w:hAnsi="Arial" w:cs="Arial"/>
                <w:sz w:val="16"/>
                <w:szCs w:val="16"/>
                <w:lang w:eastAsia="nl-NL"/>
              </w:rPr>
            </w:pPr>
            <w:r w:rsidRPr="00FD5D05">
              <w:rPr>
                <w:rFonts w:ascii="Arial" w:eastAsia="Times New Roman" w:hAnsi="Arial" w:cs="Arial"/>
                <w:sz w:val="16"/>
                <w:szCs w:val="16"/>
                <w:lang w:eastAsia="nl-NL"/>
              </w:rPr>
              <w:t> </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sz w:val="16"/>
                <w:szCs w:val="16"/>
                <w:lang w:eastAsia="nl-NL"/>
              </w:rPr>
            </w:pPr>
            <w:r w:rsidRPr="00FD5D05">
              <w:rPr>
                <w:rFonts w:ascii="Arial" w:eastAsia="Times New Roman" w:hAnsi="Arial" w:cs="Arial"/>
                <w:sz w:val="16"/>
                <w:szCs w:val="16"/>
                <w:lang w:eastAsia="nl-NL"/>
              </w:rPr>
              <w:t>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 xml:space="preserve">Mutaties </w:t>
            </w:r>
            <w:r w:rsidRPr="00FD5D05">
              <w:rPr>
                <w:rFonts w:ascii="Arial" w:eastAsia="Times New Roman" w:hAnsi="Arial" w:cs="Arial"/>
                <w:i/>
                <w:iCs/>
                <w:sz w:val="12"/>
                <w:szCs w:val="12"/>
                <w:lang w:eastAsia="nl-NL"/>
              </w:rPr>
              <w:t>netto</w:t>
            </w:r>
            <w:r w:rsidRPr="00FD5D05">
              <w:rPr>
                <w:rFonts w:ascii="Arial" w:eastAsia="Times New Roman" w:hAnsi="Arial" w:cs="Arial"/>
                <w:sz w:val="12"/>
                <w:szCs w:val="12"/>
                <w:lang w:eastAsia="nl-NL"/>
              </w:rPr>
              <w:t xml:space="preserve"> rentelasten (EMU-saldo relevant)</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rPr>
                <w:rFonts w:ascii="Calibri" w:eastAsia="Times New Roman" w:hAnsi="Calibri" w:cs="Calibri"/>
                <w:sz w:val="12"/>
                <w:szCs w:val="12"/>
                <w:lang w:eastAsia="nl-NL"/>
              </w:rPr>
            </w:pPr>
            <w:r w:rsidRPr="00FD5D05">
              <w:rPr>
                <w:rFonts w:ascii="Calibri" w:eastAsia="Times New Roman" w:hAnsi="Calibri" w:cs="Calibri"/>
                <w:sz w:val="12"/>
                <w:szCs w:val="12"/>
                <w:lang w:eastAsia="nl-NL"/>
              </w:rPr>
              <w:t>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 xml:space="preserve">Stand ontwerpbegroting 2015 </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7.086</w:t>
            </w:r>
          </w:p>
        </w:tc>
      </w:tr>
      <w:tr w:rsidR="002375F3" w:rsidRPr="00FD5D05" w:rsidTr="00D66A40">
        <w:trPr>
          <w:trHeight w:val="15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 </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Stand 1e suppletoire begroting 2015 (alleen EMU-saldo relevante rentelasten en -baten)</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4.875</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1. Bijstelling financieringsbehoefte</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sz w:val="12"/>
                <w:szCs w:val="12"/>
                <w:lang w:eastAsia="nl-NL"/>
              </w:rPr>
            </w:pPr>
            <w:r w:rsidRPr="00FD5D05">
              <w:rPr>
                <w:rFonts w:ascii="Arial" w:eastAsia="Times New Roman" w:hAnsi="Arial" w:cs="Arial"/>
                <w:sz w:val="12"/>
                <w:szCs w:val="12"/>
                <w:lang w:eastAsia="nl-NL"/>
              </w:rPr>
              <w:t xml:space="preserve">                                    -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2. Bijstelling rekenrente</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sz w:val="12"/>
                <w:szCs w:val="12"/>
                <w:lang w:eastAsia="nl-NL"/>
              </w:rPr>
            </w:pPr>
            <w:r w:rsidRPr="00FD5D05">
              <w:rPr>
                <w:rFonts w:ascii="Arial" w:eastAsia="Times New Roman" w:hAnsi="Arial" w:cs="Arial"/>
                <w:sz w:val="12"/>
                <w:szCs w:val="12"/>
                <w:lang w:eastAsia="nl-NL"/>
              </w:rPr>
              <w:t xml:space="preserve">                                   99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 xml:space="preserve">3. Effect schulduitgifte </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sz w:val="12"/>
                <w:szCs w:val="12"/>
                <w:lang w:eastAsia="nl-NL"/>
              </w:rPr>
            </w:pPr>
            <w:r w:rsidRPr="00FD5D05">
              <w:rPr>
                <w:rFonts w:ascii="Arial" w:eastAsia="Times New Roman" w:hAnsi="Arial" w:cs="Arial"/>
                <w:sz w:val="12"/>
                <w:szCs w:val="12"/>
                <w:lang w:eastAsia="nl-NL"/>
              </w:rPr>
              <w:t xml:space="preserve">                                 -64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4. Bijstelling rente interne schuldverhoudingen</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sz w:val="12"/>
                <w:szCs w:val="12"/>
                <w:lang w:eastAsia="nl-NL"/>
              </w:rPr>
            </w:pPr>
            <w:r w:rsidRPr="00FD5D05">
              <w:rPr>
                <w:rFonts w:ascii="Arial" w:eastAsia="Times New Roman" w:hAnsi="Arial" w:cs="Arial"/>
                <w:sz w:val="12"/>
                <w:szCs w:val="12"/>
                <w:lang w:eastAsia="nl-NL"/>
              </w:rPr>
              <w:t xml:space="preserve">                                   85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Stand 2e suppletoire begroting 2015 (alleen EMU-saldo relevante rentelasten en -baten)</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4.995</w:t>
            </w:r>
          </w:p>
        </w:tc>
      </w:tr>
      <w:tr w:rsidR="002375F3" w:rsidRPr="00FD5D05" w:rsidTr="00D66A40">
        <w:trPr>
          <w:trHeight w:val="15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 </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Overige mutaties (niet EMU-saldo relevant)</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 </w:t>
            </w:r>
          </w:p>
        </w:tc>
      </w:tr>
      <w:tr w:rsidR="002375F3" w:rsidRPr="00FD5D05" w:rsidTr="00D66A40">
        <w:trPr>
          <w:trHeight w:val="300"/>
        </w:trPr>
        <w:tc>
          <w:tcPr>
            <w:tcW w:w="6371" w:type="dxa"/>
            <w:tcBorders>
              <w:top w:val="nil"/>
              <w:left w:val="nil"/>
              <w:bottom w:val="nil"/>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sz w:val="12"/>
                <w:szCs w:val="12"/>
                <w:lang w:eastAsia="nl-NL"/>
              </w:rPr>
            </w:pPr>
            <w:r w:rsidRPr="00FD5D05">
              <w:rPr>
                <w:rFonts w:ascii="Arial" w:eastAsia="Times New Roman" w:hAnsi="Arial" w:cs="Arial"/>
                <w:sz w:val="12"/>
                <w:szCs w:val="12"/>
                <w:lang w:eastAsia="nl-NL"/>
              </w:rPr>
              <w:t>5. Ontvangsten rentederivaten</w:t>
            </w:r>
          </w:p>
        </w:tc>
        <w:tc>
          <w:tcPr>
            <w:tcW w:w="1440" w:type="dxa"/>
            <w:tcBorders>
              <w:top w:val="nil"/>
              <w:left w:val="nil"/>
              <w:bottom w:val="nil"/>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sz w:val="12"/>
                <w:szCs w:val="12"/>
                <w:lang w:eastAsia="nl-NL"/>
              </w:rPr>
            </w:pPr>
            <w:r w:rsidRPr="00FD5D05">
              <w:rPr>
                <w:rFonts w:ascii="Arial" w:eastAsia="Times New Roman" w:hAnsi="Arial" w:cs="Arial"/>
                <w:sz w:val="12"/>
                <w:szCs w:val="12"/>
                <w:lang w:eastAsia="nl-NL"/>
              </w:rPr>
              <w:t xml:space="preserve">                              1.782 </w:t>
            </w:r>
          </w:p>
        </w:tc>
      </w:tr>
      <w:tr w:rsidR="002375F3" w:rsidRPr="00FD5D05" w:rsidTr="00D66A40">
        <w:trPr>
          <w:trHeight w:val="375"/>
        </w:trPr>
        <w:tc>
          <w:tcPr>
            <w:tcW w:w="6371" w:type="dxa"/>
            <w:tcBorders>
              <w:top w:val="nil"/>
              <w:left w:val="nil"/>
              <w:bottom w:val="single" w:sz="8" w:space="0" w:color="auto"/>
              <w:right w:val="nil"/>
            </w:tcBorders>
            <w:shd w:val="clear" w:color="000000" w:fill="FFFFFF"/>
            <w:vAlign w:val="bottom"/>
            <w:hideMark/>
          </w:tcPr>
          <w:p w:rsidR="002375F3" w:rsidRPr="00FD5D05" w:rsidRDefault="002375F3" w:rsidP="00D66A40">
            <w:pPr>
              <w:spacing w:after="0" w:line="240" w:lineRule="auto"/>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 xml:space="preserve">Stand 2e Suppletoire begroting 2015 (EMU-saldo relevante rentelaten en -baten én kasstromen </w:t>
            </w:r>
            <w:proofErr w:type="spellStart"/>
            <w:r w:rsidRPr="00FD5D05">
              <w:rPr>
                <w:rFonts w:ascii="Arial" w:eastAsia="Times New Roman" w:hAnsi="Arial" w:cs="Arial"/>
                <w:b/>
                <w:bCs/>
                <w:sz w:val="12"/>
                <w:szCs w:val="12"/>
                <w:lang w:eastAsia="nl-NL"/>
              </w:rPr>
              <w:t>a.g.v.</w:t>
            </w:r>
            <w:proofErr w:type="spellEnd"/>
            <w:r w:rsidRPr="00FD5D05">
              <w:rPr>
                <w:rFonts w:ascii="Arial" w:eastAsia="Times New Roman" w:hAnsi="Arial" w:cs="Arial"/>
                <w:b/>
                <w:bCs/>
                <w:sz w:val="12"/>
                <w:szCs w:val="12"/>
                <w:lang w:eastAsia="nl-NL"/>
              </w:rPr>
              <w:t xml:space="preserve"> derivaten)</w:t>
            </w:r>
          </w:p>
        </w:tc>
        <w:tc>
          <w:tcPr>
            <w:tcW w:w="1440" w:type="dxa"/>
            <w:tcBorders>
              <w:top w:val="nil"/>
              <w:left w:val="nil"/>
              <w:bottom w:val="single" w:sz="8" w:space="0" w:color="auto"/>
              <w:right w:val="nil"/>
            </w:tcBorders>
            <w:shd w:val="clear" w:color="000000" w:fill="FFFFFF"/>
            <w:noWrap/>
            <w:vAlign w:val="bottom"/>
            <w:hideMark/>
          </w:tcPr>
          <w:p w:rsidR="002375F3" w:rsidRPr="00FD5D05" w:rsidRDefault="002375F3" w:rsidP="00D66A40">
            <w:pPr>
              <w:spacing w:after="0" w:line="240" w:lineRule="auto"/>
              <w:jc w:val="right"/>
              <w:rPr>
                <w:rFonts w:ascii="Arial" w:eastAsia="Times New Roman" w:hAnsi="Arial" w:cs="Arial"/>
                <w:b/>
                <w:bCs/>
                <w:sz w:val="12"/>
                <w:szCs w:val="12"/>
                <w:lang w:eastAsia="nl-NL"/>
              </w:rPr>
            </w:pPr>
            <w:r w:rsidRPr="00FD5D05">
              <w:rPr>
                <w:rFonts w:ascii="Arial" w:eastAsia="Times New Roman" w:hAnsi="Arial" w:cs="Arial"/>
                <w:b/>
                <w:bCs/>
                <w:sz w:val="12"/>
                <w:szCs w:val="12"/>
                <w:lang w:eastAsia="nl-NL"/>
              </w:rPr>
              <w:t>3.213</w:t>
            </w:r>
          </w:p>
        </w:tc>
      </w:tr>
    </w:tbl>
    <w:p w:rsidR="002375F3" w:rsidRPr="00917871" w:rsidRDefault="002375F3" w:rsidP="002375F3">
      <w:pPr>
        <w:ind w:hanging="426"/>
        <w:rPr>
          <w:rFonts w:ascii="Arial" w:hAnsi="Arial" w:cs="Arial"/>
          <w:sz w:val="20"/>
          <w:szCs w:val="20"/>
        </w:rPr>
      </w:pPr>
    </w:p>
    <w:p w:rsidR="002375F3" w:rsidRDefault="002375F3" w:rsidP="002375F3">
      <w:pPr>
        <w:spacing w:after="0" w:line="240" w:lineRule="exact"/>
        <w:rPr>
          <w:rFonts w:asciiTheme="minorHAnsi" w:hAnsiTheme="minorHAnsi" w:cs="Arial"/>
          <w:b/>
          <w:szCs w:val="18"/>
        </w:rPr>
      </w:pPr>
      <w:r w:rsidRPr="004F0FE5">
        <w:rPr>
          <w:rFonts w:asciiTheme="minorHAnsi" w:hAnsiTheme="minorHAnsi" w:cs="Arial"/>
          <w:b/>
          <w:szCs w:val="18"/>
        </w:rPr>
        <w:t>Toelichting</w:t>
      </w:r>
    </w:p>
    <w:p w:rsidR="002375F3" w:rsidRPr="004F0FE5" w:rsidRDefault="002375F3" w:rsidP="002375F3">
      <w:pPr>
        <w:spacing w:after="0" w:line="240" w:lineRule="exact"/>
        <w:rPr>
          <w:rFonts w:asciiTheme="minorHAnsi" w:hAnsiTheme="minorHAnsi" w:cs="Arial"/>
          <w:b/>
          <w:szCs w:val="18"/>
        </w:rPr>
      </w:pPr>
    </w:p>
    <w:p w:rsidR="002375F3" w:rsidRPr="00FD5D05" w:rsidRDefault="002375F3" w:rsidP="002375F3">
      <w:pPr>
        <w:pStyle w:val="Lijstalinea"/>
        <w:numPr>
          <w:ilvl w:val="0"/>
          <w:numId w:val="8"/>
        </w:numPr>
        <w:spacing w:after="0" w:line="240" w:lineRule="exact"/>
        <w:ind w:left="714" w:hanging="357"/>
        <w:rPr>
          <w:rFonts w:asciiTheme="minorHAnsi" w:hAnsiTheme="minorHAnsi" w:cs="Arial"/>
          <w:szCs w:val="18"/>
        </w:rPr>
      </w:pPr>
      <w:r w:rsidRPr="00FD5D05">
        <w:rPr>
          <w:rFonts w:asciiTheme="minorHAnsi" w:hAnsiTheme="minorHAnsi" w:cs="Arial"/>
          <w:szCs w:val="18"/>
        </w:rPr>
        <w:t>Veranderingen in het kastekort worden in het lopende begrotingsjaar opgevangen op de geldmarkt. De rente op de geldmarkt ligt dusdanig in de buurt van nul dat er geen mutatie is.</w:t>
      </w:r>
    </w:p>
    <w:p w:rsidR="002375F3" w:rsidRPr="00FD5D05" w:rsidRDefault="002375F3" w:rsidP="002375F3">
      <w:pPr>
        <w:pStyle w:val="Lijstalinea"/>
        <w:numPr>
          <w:ilvl w:val="0"/>
          <w:numId w:val="8"/>
        </w:numPr>
        <w:spacing w:after="0" w:line="240" w:lineRule="exact"/>
        <w:ind w:left="714" w:hanging="357"/>
        <w:rPr>
          <w:rFonts w:asciiTheme="minorHAnsi" w:hAnsiTheme="minorHAnsi" w:cs="Arial"/>
          <w:szCs w:val="18"/>
        </w:rPr>
      </w:pPr>
      <w:r w:rsidRPr="00FD5D05">
        <w:rPr>
          <w:rFonts w:asciiTheme="minorHAnsi" w:hAnsiTheme="minorHAnsi" w:cs="Arial"/>
          <w:szCs w:val="18"/>
        </w:rPr>
        <w:t>De rekenrente op basis waarvan de renteramingen worden gemaakt is bij 2</w:t>
      </w:r>
      <w:r w:rsidRPr="00FD5D05">
        <w:rPr>
          <w:rFonts w:asciiTheme="minorHAnsi" w:hAnsiTheme="minorHAnsi" w:cs="Arial"/>
          <w:szCs w:val="18"/>
          <w:vertAlign w:val="superscript"/>
        </w:rPr>
        <w:t>e</w:t>
      </w:r>
      <w:r w:rsidRPr="00FD5D05">
        <w:rPr>
          <w:rFonts w:asciiTheme="minorHAnsi" w:hAnsiTheme="minorHAnsi" w:cs="Arial"/>
          <w:szCs w:val="18"/>
        </w:rPr>
        <w:t xml:space="preserve"> suppletoire begroting licht hoger dan bij de 1</w:t>
      </w:r>
      <w:r w:rsidRPr="00FD5D05">
        <w:rPr>
          <w:rFonts w:asciiTheme="minorHAnsi" w:hAnsiTheme="minorHAnsi" w:cs="Arial"/>
          <w:szCs w:val="18"/>
          <w:vertAlign w:val="superscript"/>
        </w:rPr>
        <w:t>e</w:t>
      </w:r>
      <w:r w:rsidRPr="00FD5D05">
        <w:rPr>
          <w:rFonts w:asciiTheme="minorHAnsi" w:hAnsiTheme="minorHAnsi" w:cs="Arial"/>
          <w:szCs w:val="18"/>
        </w:rPr>
        <w:t xml:space="preserve"> suppletoire begroting. De 1</w:t>
      </w:r>
      <w:r w:rsidRPr="00FD5D05">
        <w:rPr>
          <w:rFonts w:asciiTheme="minorHAnsi" w:hAnsiTheme="minorHAnsi" w:cs="Arial"/>
          <w:szCs w:val="18"/>
          <w:vertAlign w:val="superscript"/>
        </w:rPr>
        <w:t>e</w:t>
      </w:r>
      <w:r w:rsidRPr="00FD5D05">
        <w:rPr>
          <w:rFonts w:asciiTheme="minorHAnsi" w:hAnsiTheme="minorHAnsi" w:cs="Arial"/>
          <w:szCs w:val="18"/>
        </w:rPr>
        <w:t xml:space="preserve"> suppletoire begroting maakt gebruik van de cijfers in de CPB publicatie Centraal Economisch Plan, de 2</w:t>
      </w:r>
      <w:r w:rsidRPr="00FD5D05">
        <w:rPr>
          <w:rFonts w:asciiTheme="minorHAnsi" w:hAnsiTheme="minorHAnsi" w:cs="Arial"/>
          <w:szCs w:val="18"/>
          <w:vertAlign w:val="superscript"/>
        </w:rPr>
        <w:t>e</w:t>
      </w:r>
      <w:r w:rsidRPr="00FD5D05">
        <w:rPr>
          <w:rFonts w:asciiTheme="minorHAnsi" w:hAnsiTheme="minorHAnsi" w:cs="Arial"/>
          <w:szCs w:val="18"/>
        </w:rPr>
        <w:t xml:space="preserve"> suppletoire begroting van de cijfers in de CPB publicatie Macro Economische Verkenningen.</w:t>
      </w:r>
    </w:p>
    <w:p w:rsidR="002375F3" w:rsidRPr="00FD5D05" w:rsidRDefault="002375F3" w:rsidP="002375F3">
      <w:pPr>
        <w:pStyle w:val="Lijstalinea"/>
        <w:numPr>
          <w:ilvl w:val="0"/>
          <w:numId w:val="8"/>
        </w:numPr>
        <w:spacing w:after="0" w:line="240" w:lineRule="exact"/>
        <w:ind w:left="714" w:hanging="357"/>
        <w:rPr>
          <w:rFonts w:asciiTheme="minorHAnsi" w:hAnsiTheme="minorHAnsi" w:cs="Arial"/>
          <w:szCs w:val="18"/>
        </w:rPr>
      </w:pPr>
      <w:r w:rsidRPr="00FD5D05">
        <w:rPr>
          <w:rFonts w:asciiTheme="minorHAnsi" w:hAnsiTheme="minorHAnsi" w:cs="Arial"/>
          <w:szCs w:val="18"/>
        </w:rPr>
        <w:t>Nieuwe schulduitgiften zijn sinds de 1</w:t>
      </w:r>
      <w:r w:rsidRPr="00FD5D05">
        <w:rPr>
          <w:rFonts w:asciiTheme="minorHAnsi" w:hAnsiTheme="minorHAnsi" w:cs="Arial"/>
          <w:szCs w:val="18"/>
          <w:vertAlign w:val="superscript"/>
        </w:rPr>
        <w:t>e</w:t>
      </w:r>
      <w:r w:rsidRPr="00FD5D05">
        <w:rPr>
          <w:rFonts w:asciiTheme="minorHAnsi" w:hAnsiTheme="minorHAnsi" w:cs="Arial"/>
          <w:szCs w:val="18"/>
        </w:rPr>
        <w:t xml:space="preserve"> suppletoire begroting gefinancierd tegen iets gunstiger voorwaarden dan waarmee in de ramingen rekening was gehouden.</w:t>
      </w:r>
    </w:p>
    <w:p w:rsidR="002375F3" w:rsidRPr="00FD5D05" w:rsidRDefault="002375F3" w:rsidP="002375F3">
      <w:pPr>
        <w:pStyle w:val="Lijstalinea"/>
        <w:numPr>
          <w:ilvl w:val="0"/>
          <w:numId w:val="8"/>
        </w:numPr>
        <w:spacing w:after="0" w:line="240" w:lineRule="exact"/>
        <w:ind w:left="714" w:hanging="357"/>
        <w:rPr>
          <w:rFonts w:asciiTheme="minorHAnsi" w:hAnsiTheme="minorHAnsi" w:cs="Arial"/>
          <w:szCs w:val="18"/>
        </w:rPr>
      </w:pPr>
      <w:r w:rsidRPr="00FD5D05">
        <w:rPr>
          <w:rFonts w:asciiTheme="minorHAnsi" w:hAnsiTheme="minorHAnsi" w:cs="Arial"/>
          <w:szCs w:val="18"/>
        </w:rPr>
        <w:t>De netto rentelasten voor de Staat ten aanzien van de interne schuldverhouding met de deelnemers aan het schatkistbankieren zijn toegenomen. Dit komt voornamelijk door dat er minder rente wordt ontvangen als gevolg van de herstructurering van de leningen aan het Rijksvastgoedbedrijf.</w:t>
      </w:r>
    </w:p>
    <w:p w:rsidR="002375F3" w:rsidRPr="002A706F" w:rsidRDefault="002375F3" w:rsidP="002375F3">
      <w:pPr>
        <w:pStyle w:val="Lijstalinea"/>
        <w:numPr>
          <w:ilvl w:val="0"/>
          <w:numId w:val="8"/>
        </w:numPr>
        <w:spacing w:after="0" w:line="240" w:lineRule="exact"/>
        <w:ind w:left="714" w:hanging="357"/>
        <w:rPr>
          <w:rFonts w:asciiTheme="minorHAnsi" w:hAnsiTheme="minorHAnsi" w:cs="Arial"/>
          <w:szCs w:val="18"/>
        </w:rPr>
      </w:pPr>
      <w:r w:rsidRPr="00FD5D05">
        <w:rPr>
          <w:rFonts w:asciiTheme="minorHAnsi" w:hAnsiTheme="minorHAnsi" w:cs="Arial"/>
          <w:szCs w:val="18"/>
        </w:rPr>
        <w:t>Voortijdige beëindiging van rentederivaten heeft geleid tot een extra kasontvangst van € 1,8 mld. Het betreft de contant gemaakte waarde van de rentebaten die anders in de komende jaren zouden zijn ontvangen. Deze baten zijn nu in één keer ontvangen. Met deze voortijdige beëindiging is de gemiddelde looptijd van de schuld verlengd. De baten en lasten als gevolg van rentederivaten zijn niet relevant voor de bepaling van het EMU-saldo. Ze tellen wel mee bij de bepaling van de EMU-schuld.</w:t>
      </w:r>
      <w:r w:rsidRPr="002A706F">
        <w:rPr>
          <w:rFonts w:asciiTheme="minorHAnsi" w:hAnsiTheme="minorHAnsi"/>
          <w:szCs w:val="18"/>
        </w:rPr>
        <w:br w:type="page"/>
      </w: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b/>
          <w:bCs/>
          <w:szCs w:val="18"/>
        </w:rPr>
        <w:lastRenderedPageBreak/>
        <w:t>2.2 De beleidsartikelen (Financiën)</w:t>
      </w:r>
      <w:r w:rsidRPr="00881C6F">
        <w:rPr>
          <w:rFonts w:asciiTheme="minorHAnsi" w:hAnsiTheme="minorHAnsi"/>
          <w:b/>
          <w:bCs/>
          <w:szCs w:val="18"/>
        </w:rPr>
        <w:tab/>
      </w:r>
      <w:r w:rsidRPr="00881C6F">
        <w:rPr>
          <w:rFonts w:asciiTheme="minorHAnsi" w:hAnsiTheme="minorHAnsi"/>
          <w:b/>
          <w:bCs/>
          <w:szCs w:val="18"/>
        </w:rPr>
        <w:tab/>
      </w:r>
    </w:p>
    <w:p w:rsidR="002375F3" w:rsidRPr="00881C6F" w:rsidRDefault="002375F3" w:rsidP="002375F3">
      <w:pPr>
        <w:spacing w:after="0" w:line="240" w:lineRule="exact"/>
        <w:rPr>
          <w:rFonts w:asciiTheme="minorHAnsi" w:hAnsiTheme="minorHAnsi" w:cs="Arial"/>
          <w:szCs w:val="18"/>
        </w:rPr>
      </w:pPr>
      <w:r w:rsidRPr="00881C6F">
        <w:rPr>
          <w:rFonts w:asciiTheme="minorHAnsi" w:hAnsiTheme="minorHAnsi" w:cs="Arial"/>
          <w:szCs w:val="18"/>
        </w:rPr>
        <w:t xml:space="preserve">Dit hoofdstuk bevat de budgettaire tabellen per artikel van begroting IX. In principe worden de mutaties </w:t>
      </w:r>
      <w:r>
        <w:rPr>
          <w:rFonts w:asciiTheme="minorHAnsi" w:hAnsiTheme="minorHAnsi" w:cs="Arial"/>
          <w:szCs w:val="18"/>
        </w:rPr>
        <w:t xml:space="preserve">op instrumentniveau </w:t>
      </w:r>
      <w:r w:rsidRPr="00881C6F">
        <w:rPr>
          <w:rFonts w:asciiTheme="minorHAnsi" w:hAnsiTheme="minorHAnsi" w:cs="Arial"/>
          <w:szCs w:val="18"/>
        </w:rPr>
        <w:t>groter of gelijk aan € 2,5 mln. of 5% van de ontwerpbegrotingstand toegelicht. De leeswijzer geeft nader aan welke mutaties wel en niet toegelicht worden, derhalve wordt naar de leeswijzer verwezen.</w:t>
      </w:r>
    </w:p>
    <w:p w:rsidR="002375F3" w:rsidRDefault="002375F3" w:rsidP="002375F3">
      <w:pPr>
        <w:spacing w:after="0" w:line="240" w:lineRule="exact"/>
        <w:rPr>
          <w:rFonts w:asciiTheme="minorHAnsi" w:hAnsiTheme="minorHAnsi"/>
          <w:b/>
          <w:szCs w:val="18"/>
        </w:rPr>
      </w:pPr>
    </w:p>
    <w:p w:rsidR="002375F3" w:rsidRPr="00A3683A" w:rsidRDefault="002375F3" w:rsidP="002375F3">
      <w:pPr>
        <w:spacing w:after="0" w:line="240" w:lineRule="exact"/>
        <w:rPr>
          <w:rFonts w:asciiTheme="minorHAnsi" w:hAnsiTheme="minorHAnsi"/>
          <w:b/>
          <w:szCs w:val="18"/>
        </w:rPr>
      </w:pPr>
      <w:r w:rsidRPr="00A3683A">
        <w:rPr>
          <w:rFonts w:asciiTheme="minorHAnsi" w:hAnsiTheme="minorHAnsi"/>
          <w:b/>
          <w:szCs w:val="18"/>
        </w:rPr>
        <w:t xml:space="preserve">Artikel 1 </w:t>
      </w:r>
      <w:r w:rsidRPr="00A3683A">
        <w:rPr>
          <w:b/>
        </w:rPr>
        <w:t>Belastingen</w:t>
      </w:r>
    </w:p>
    <w:tbl>
      <w:tblPr>
        <w:tblW w:w="7420" w:type="dxa"/>
        <w:tblInd w:w="70" w:type="dxa"/>
        <w:tblCellMar>
          <w:left w:w="70" w:type="dxa"/>
          <w:right w:w="70" w:type="dxa"/>
        </w:tblCellMar>
        <w:tblLook w:val="04A0" w:firstRow="1" w:lastRow="0" w:firstColumn="1" w:lastColumn="0" w:noHBand="0" w:noVBand="1"/>
      </w:tblPr>
      <w:tblGrid>
        <w:gridCol w:w="1921"/>
        <w:gridCol w:w="1115"/>
        <w:gridCol w:w="1097"/>
        <w:gridCol w:w="1095"/>
        <w:gridCol w:w="1095"/>
        <w:gridCol w:w="1097"/>
      </w:tblGrid>
      <w:tr w:rsidR="002375F3" w:rsidRPr="00264552" w:rsidTr="00D66A40">
        <w:trPr>
          <w:trHeight w:val="225"/>
        </w:trPr>
        <w:tc>
          <w:tcPr>
            <w:tcW w:w="7420" w:type="dxa"/>
            <w:gridSpan w:val="6"/>
            <w:tcBorders>
              <w:top w:val="nil"/>
              <w:left w:val="nil"/>
              <w:bottom w:val="nil"/>
              <w:right w:val="nil"/>
            </w:tcBorders>
            <w:shd w:val="clear" w:color="000000" w:fill="FFFFFF"/>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xml:space="preserve">Budgettaire gevolgen van beleid  - beleidsartikel 1 Belastingen </w:t>
            </w:r>
          </w:p>
        </w:tc>
      </w:tr>
      <w:tr w:rsidR="002375F3" w:rsidRPr="00264552" w:rsidTr="00D66A40">
        <w:trPr>
          <w:trHeight w:val="225"/>
        </w:trPr>
        <w:tc>
          <w:tcPr>
            <w:tcW w:w="1921" w:type="dxa"/>
            <w:tcBorders>
              <w:top w:val="nil"/>
              <w:left w:val="nil"/>
              <w:bottom w:val="single" w:sz="4" w:space="0" w:color="auto"/>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Bedragen x € 1.000</w:t>
            </w:r>
          </w:p>
        </w:tc>
        <w:tc>
          <w:tcPr>
            <w:tcW w:w="1115" w:type="dxa"/>
            <w:tcBorders>
              <w:top w:val="nil"/>
              <w:left w:val="nil"/>
              <w:bottom w:val="single" w:sz="4" w:space="0" w:color="auto"/>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097" w:type="dxa"/>
            <w:tcBorders>
              <w:top w:val="nil"/>
              <w:left w:val="nil"/>
              <w:bottom w:val="single" w:sz="4" w:space="0" w:color="auto"/>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095" w:type="dxa"/>
            <w:tcBorders>
              <w:top w:val="nil"/>
              <w:left w:val="nil"/>
              <w:bottom w:val="single" w:sz="4" w:space="0" w:color="auto"/>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095" w:type="dxa"/>
            <w:tcBorders>
              <w:top w:val="nil"/>
              <w:left w:val="nil"/>
              <w:bottom w:val="single" w:sz="4" w:space="0" w:color="auto"/>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097" w:type="dxa"/>
            <w:tcBorders>
              <w:top w:val="nil"/>
              <w:left w:val="nil"/>
              <w:bottom w:val="single" w:sz="4" w:space="0" w:color="auto"/>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r>
      <w:tr w:rsidR="002375F3" w:rsidRPr="00264552" w:rsidTr="00D66A40">
        <w:trPr>
          <w:trHeight w:val="1380"/>
        </w:trPr>
        <w:tc>
          <w:tcPr>
            <w:tcW w:w="1921" w:type="dxa"/>
            <w:tcBorders>
              <w:top w:val="nil"/>
              <w:left w:val="nil"/>
              <w:bottom w:val="single" w:sz="8" w:space="0" w:color="auto"/>
              <w:right w:val="nil"/>
            </w:tcBorders>
            <w:shd w:val="clear" w:color="000000" w:fill="FFFFFF"/>
            <w:vAlign w:val="center"/>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w:t>
            </w:r>
          </w:p>
        </w:tc>
        <w:tc>
          <w:tcPr>
            <w:tcW w:w="1115" w:type="dxa"/>
            <w:tcBorders>
              <w:top w:val="nil"/>
              <w:left w:val="nil"/>
              <w:bottom w:val="single" w:sz="8" w:space="0" w:color="auto"/>
              <w:right w:val="nil"/>
            </w:tcBorders>
            <w:shd w:val="clear" w:color="000000" w:fill="FFFFFF"/>
            <w:hideMark/>
          </w:tcPr>
          <w:p w:rsidR="002375F3" w:rsidRPr="00264552" w:rsidRDefault="002375F3" w:rsidP="00D66A40">
            <w:pPr>
              <w:spacing w:after="0" w:line="240" w:lineRule="auto"/>
              <w:jc w:val="center"/>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Stand</w:t>
            </w:r>
            <w:r w:rsidRPr="00264552">
              <w:rPr>
                <w:rFonts w:ascii="Arial" w:eastAsia="Times New Roman" w:hAnsi="Arial" w:cs="Arial"/>
                <w:b/>
                <w:bCs/>
                <w:sz w:val="12"/>
                <w:szCs w:val="12"/>
                <w:lang w:eastAsia="nl-NL"/>
              </w:rPr>
              <w:br/>
              <w:t>vastgestelde</w:t>
            </w:r>
            <w:r w:rsidRPr="00264552">
              <w:rPr>
                <w:rFonts w:ascii="Arial" w:eastAsia="Times New Roman" w:hAnsi="Arial" w:cs="Arial"/>
                <w:b/>
                <w:bCs/>
                <w:sz w:val="12"/>
                <w:szCs w:val="12"/>
                <w:lang w:eastAsia="nl-NL"/>
              </w:rPr>
              <w:br/>
              <w:t>begroting (na</w:t>
            </w:r>
            <w:r w:rsidRPr="00264552">
              <w:rPr>
                <w:rFonts w:ascii="Arial" w:eastAsia="Times New Roman" w:hAnsi="Arial" w:cs="Arial"/>
                <w:b/>
                <w:bCs/>
                <w:sz w:val="12"/>
                <w:szCs w:val="12"/>
                <w:lang w:eastAsia="nl-NL"/>
              </w:rPr>
              <w:br/>
              <w:t>Nota</w:t>
            </w:r>
            <w:r w:rsidRPr="00264552">
              <w:rPr>
                <w:rFonts w:ascii="Arial" w:eastAsia="Times New Roman" w:hAnsi="Arial" w:cs="Arial"/>
                <w:b/>
                <w:bCs/>
                <w:sz w:val="12"/>
                <w:szCs w:val="12"/>
                <w:lang w:eastAsia="nl-NL"/>
              </w:rPr>
              <w:br/>
              <w:t>van Wijziging,</w:t>
            </w:r>
            <w:r w:rsidRPr="00264552">
              <w:rPr>
                <w:rFonts w:ascii="Arial" w:eastAsia="Times New Roman" w:hAnsi="Arial" w:cs="Arial"/>
                <w:b/>
                <w:bCs/>
                <w:sz w:val="12"/>
                <w:szCs w:val="12"/>
                <w:lang w:eastAsia="nl-NL"/>
              </w:rPr>
              <w:br/>
              <w:t>amendementen</w:t>
            </w:r>
            <w:r w:rsidRPr="00264552">
              <w:rPr>
                <w:rFonts w:ascii="Arial" w:eastAsia="Times New Roman" w:hAnsi="Arial" w:cs="Arial"/>
                <w:b/>
                <w:bCs/>
                <w:sz w:val="12"/>
                <w:szCs w:val="12"/>
                <w:lang w:eastAsia="nl-NL"/>
              </w:rPr>
              <w:br/>
              <w:t>en ISB) (1)</w:t>
            </w:r>
          </w:p>
        </w:tc>
        <w:tc>
          <w:tcPr>
            <w:tcW w:w="1097" w:type="dxa"/>
            <w:tcBorders>
              <w:top w:val="nil"/>
              <w:left w:val="nil"/>
              <w:bottom w:val="single" w:sz="8" w:space="0" w:color="auto"/>
              <w:right w:val="nil"/>
            </w:tcBorders>
            <w:shd w:val="clear" w:color="000000" w:fill="FFFFFF"/>
            <w:hideMark/>
          </w:tcPr>
          <w:p w:rsidR="002375F3" w:rsidRPr="00264552" w:rsidRDefault="002375F3" w:rsidP="00D66A40">
            <w:pPr>
              <w:spacing w:after="0" w:line="240" w:lineRule="auto"/>
              <w:jc w:val="center"/>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Stand 1ste suppletoire begroting (2)</w:t>
            </w:r>
          </w:p>
        </w:tc>
        <w:tc>
          <w:tcPr>
            <w:tcW w:w="1095" w:type="dxa"/>
            <w:tcBorders>
              <w:top w:val="nil"/>
              <w:left w:val="nil"/>
              <w:bottom w:val="single" w:sz="8" w:space="0" w:color="auto"/>
              <w:right w:val="nil"/>
            </w:tcBorders>
            <w:shd w:val="clear" w:color="000000" w:fill="FFFFFF"/>
            <w:hideMark/>
          </w:tcPr>
          <w:p w:rsidR="002375F3" w:rsidRPr="00264552" w:rsidRDefault="002375F3" w:rsidP="00D66A40">
            <w:pPr>
              <w:spacing w:after="0" w:line="240" w:lineRule="auto"/>
              <w:jc w:val="center"/>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xml:space="preserve">Mutatie Incidentele suppletoire begroting </w:t>
            </w:r>
          </w:p>
        </w:tc>
        <w:tc>
          <w:tcPr>
            <w:tcW w:w="1095" w:type="dxa"/>
            <w:tcBorders>
              <w:top w:val="nil"/>
              <w:left w:val="nil"/>
              <w:bottom w:val="single" w:sz="8" w:space="0" w:color="auto"/>
              <w:right w:val="nil"/>
            </w:tcBorders>
            <w:shd w:val="clear" w:color="000000" w:fill="FFFFFF"/>
            <w:hideMark/>
          </w:tcPr>
          <w:p w:rsidR="002375F3" w:rsidRPr="00264552" w:rsidRDefault="002375F3" w:rsidP="00D66A40">
            <w:pPr>
              <w:spacing w:after="0" w:line="240" w:lineRule="auto"/>
              <w:jc w:val="center"/>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Mutaties</w:t>
            </w:r>
            <w:r w:rsidRPr="00264552">
              <w:rPr>
                <w:rFonts w:ascii="Arial" w:eastAsia="Times New Roman" w:hAnsi="Arial" w:cs="Arial"/>
                <w:b/>
                <w:bCs/>
                <w:sz w:val="12"/>
                <w:szCs w:val="12"/>
                <w:lang w:eastAsia="nl-NL"/>
              </w:rPr>
              <w:br/>
              <w:t>2e suppletoire</w:t>
            </w:r>
            <w:r w:rsidRPr="00264552">
              <w:rPr>
                <w:rFonts w:ascii="Arial" w:eastAsia="Times New Roman" w:hAnsi="Arial" w:cs="Arial"/>
                <w:b/>
                <w:bCs/>
                <w:sz w:val="12"/>
                <w:szCs w:val="12"/>
                <w:lang w:eastAsia="nl-NL"/>
              </w:rPr>
              <w:br/>
              <w:t>begroting (3)</w:t>
            </w:r>
          </w:p>
        </w:tc>
        <w:tc>
          <w:tcPr>
            <w:tcW w:w="1097" w:type="dxa"/>
            <w:tcBorders>
              <w:top w:val="nil"/>
              <w:left w:val="nil"/>
              <w:bottom w:val="single" w:sz="8" w:space="0" w:color="auto"/>
              <w:right w:val="nil"/>
            </w:tcBorders>
            <w:shd w:val="clear" w:color="000000" w:fill="FFFFFF"/>
            <w:hideMark/>
          </w:tcPr>
          <w:p w:rsidR="002375F3" w:rsidRPr="00264552" w:rsidRDefault="002375F3" w:rsidP="00D66A40">
            <w:pPr>
              <w:spacing w:after="0" w:line="240" w:lineRule="auto"/>
              <w:jc w:val="center"/>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Stand</w:t>
            </w:r>
            <w:r w:rsidRPr="00264552">
              <w:rPr>
                <w:rFonts w:ascii="Arial" w:eastAsia="Times New Roman" w:hAnsi="Arial" w:cs="Arial"/>
                <w:b/>
                <w:bCs/>
                <w:sz w:val="12"/>
                <w:szCs w:val="12"/>
                <w:lang w:eastAsia="nl-NL"/>
              </w:rPr>
              <w:br/>
              <w:t>2e suppletoire</w:t>
            </w:r>
            <w:r w:rsidRPr="00264552">
              <w:rPr>
                <w:rFonts w:ascii="Arial" w:eastAsia="Times New Roman" w:hAnsi="Arial" w:cs="Arial"/>
                <w:b/>
                <w:bCs/>
                <w:sz w:val="12"/>
                <w:szCs w:val="12"/>
                <w:lang w:eastAsia="nl-NL"/>
              </w:rPr>
              <w:br/>
              <w:t>begroting</w:t>
            </w:r>
            <w:r w:rsidRPr="00264552">
              <w:rPr>
                <w:rFonts w:ascii="Arial" w:eastAsia="Times New Roman" w:hAnsi="Arial" w:cs="Arial"/>
                <w:b/>
                <w:bCs/>
                <w:sz w:val="12"/>
                <w:szCs w:val="12"/>
                <w:lang w:eastAsia="nl-NL"/>
              </w:rPr>
              <w:br/>
              <w:t>(4)=(2+3)</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Verplichtingen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3.222.131</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3.297.269</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-12.000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-96.807</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3.188.462</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i/>
                <w:iCs/>
                <w:sz w:val="12"/>
                <w:szCs w:val="12"/>
                <w:lang w:eastAsia="nl-NL"/>
              </w:rPr>
            </w:pPr>
            <w:r w:rsidRPr="00264552">
              <w:rPr>
                <w:rFonts w:ascii="Arial" w:eastAsia="Times New Roman" w:hAnsi="Arial" w:cs="Arial"/>
                <w:b/>
                <w:bCs/>
                <w:i/>
                <w:iCs/>
                <w:sz w:val="12"/>
                <w:szCs w:val="12"/>
                <w:lang w:eastAsia="nl-NL"/>
              </w:rPr>
              <w:t>Uitgaven (1) + (2)</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3.222.131</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3.297.269</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-12.000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-96.807</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3.188.462</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i/>
                <w:iCs/>
                <w:sz w:val="12"/>
                <w:szCs w:val="12"/>
                <w:lang w:eastAsia="nl-NL"/>
              </w:rPr>
            </w:pPr>
            <w:r w:rsidRPr="00264552">
              <w:rPr>
                <w:rFonts w:ascii="Arial" w:eastAsia="Times New Roman" w:hAnsi="Arial" w:cs="Arial"/>
                <w:i/>
                <w:iCs/>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 Programma-uitgaven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392.664</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279.664</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-86.000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193.664</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auto" w:fill="auto"/>
            <w:noWrap/>
            <w:hideMark/>
          </w:tcPr>
          <w:p w:rsidR="002375F3" w:rsidRPr="00264552" w:rsidRDefault="002375F3" w:rsidP="00D66A40">
            <w:pPr>
              <w:spacing w:after="0" w:line="240" w:lineRule="auto"/>
              <w:rPr>
                <w:rFonts w:ascii="Arial" w:eastAsia="Times New Roman" w:hAnsi="Arial" w:cs="Arial"/>
                <w:i/>
                <w:iCs/>
                <w:color w:val="000000"/>
                <w:sz w:val="12"/>
                <w:szCs w:val="12"/>
                <w:lang w:eastAsia="nl-NL"/>
              </w:rPr>
            </w:pPr>
            <w:r w:rsidRPr="00264552">
              <w:rPr>
                <w:rFonts w:ascii="Arial" w:eastAsia="Times New Roman" w:hAnsi="Arial" w:cs="Arial"/>
                <w:i/>
                <w:iCs/>
                <w:color w:val="000000"/>
                <w:sz w:val="12"/>
                <w:szCs w:val="12"/>
                <w:lang w:eastAsia="nl-NL"/>
              </w:rPr>
              <w:t>waarvan juridisch verplicht</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100%</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Rente</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386.750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273.750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-86.600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187.150</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Belasting- en invorderingsrente</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379.750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273.750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-86.600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187.150</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Rentevergoeding depotstelsel</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7.000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0</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Bekostiging</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5.914</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5.914</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600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6.514</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Proceskosten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3.536</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3.536</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1.300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4.836</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Overige programma-uitgaven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2.378</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2.378</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-700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1.678</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i/>
                <w:iCs/>
                <w:sz w:val="12"/>
                <w:szCs w:val="12"/>
                <w:lang w:eastAsia="nl-NL"/>
              </w:rPr>
            </w:pPr>
            <w:r w:rsidRPr="00264552">
              <w:rPr>
                <w:rFonts w:ascii="Arial" w:eastAsia="Times New Roman" w:hAnsi="Arial" w:cs="Arial"/>
                <w:i/>
                <w:iCs/>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 Apparaatsuitgaven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2.829.467</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3.017.605</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-12.000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-10.807</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2.994.798</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xml:space="preserve"> Personele uitgaven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2.102.492</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2.175.959</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52.052</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2.228.011</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xml:space="preserve">             waarvan:    Eigen personeel</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1.961.505</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1.993.870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Cs w:val="18"/>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19.052</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2.012.922</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xml:space="preserve">             waarvan:    Inhuur externen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140.987</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182.089</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33.000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215.089</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Materiële uitgaven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726.975</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841.646</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-12.000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-62.859</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766.787</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xml:space="preserve">             waarvan:    ICT</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212.880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232.207</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-12.000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2.010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222.217</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xml:space="preserve">             waarvan:    Bijdrage </w:t>
            </w:r>
            <w:proofErr w:type="spellStart"/>
            <w:r w:rsidRPr="00264552">
              <w:rPr>
                <w:rFonts w:ascii="Arial" w:eastAsia="Times New Roman" w:hAnsi="Arial" w:cs="Arial"/>
                <w:sz w:val="12"/>
                <w:szCs w:val="12"/>
                <w:lang w:eastAsia="nl-NL"/>
              </w:rPr>
              <w:t>SSO's</w:t>
            </w:r>
            <w:proofErr w:type="spellEnd"/>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208.640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208.640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-13.772</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194.868</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xml:space="preserve">             waarvan:    Overige</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305.455</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400.799</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-51.097</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349.702</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i/>
                <w:iCs/>
                <w:sz w:val="12"/>
                <w:szCs w:val="12"/>
                <w:lang w:eastAsia="nl-NL"/>
              </w:rPr>
            </w:pPr>
            <w:r w:rsidRPr="00264552">
              <w:rPr>
                <w:rFonts w:ascii="Arial" w:eastAsia="Times New Roman" w:hAnsi="Arial" w:cs="Arial"/>
                <w:b/>
                <w:bCs/>
                <w:i/>
                <w:iCs/>
                <w:sz w:val="12"/>
                <w:szCs w:val="12"/>
                <w:lang w:eastAsia="nl-NL"/>
              </w:rPr>
              <w:t>Ontvangsten (3) + (4)</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115.547.130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116.202.250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-156.918</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116.045.332</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i/>
                <w:iCs/>
                <w:sz w:val="12"/>
                <w:szCs w:val="12"/>
                <w:lang w:eastAsia="nl-NL"/>
              </w:rPr>
            </w:pPr>
            <w:r w:rsidRPr="00264552">
              <w:rPr>
                <w:rFonts w:ascii="Arial" w:eastAsia="Times New Roman" w:hAnsi="Arial" w:cs="Arial"/>
                <w:i/>
                <w:iCs/>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 Programma-ontvangsten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115.521.508</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116.177.585</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-154.927</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116.022.658</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Waarvan: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Belastingontvangsten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2"/>
                <w:szCs w:val="12"/>
                <w:lang w:eastAsia="nl-NL"/>
              </w:rPr>
            </w:pPr>
            <w:r w:rsidRPr="00264552">
              <w:rPr>
                <w:rFonts w:ascii="Arial" w:eastAsia="Times New Roman" w:hAnsi="Arial" w:cs="Arial"/>
                <w:color w:val="000000"/>
                <w:sz w:val="12"/>
                <w:szCs w:val="12"/>
                <w:lang w:eastAsia="nl-NL"/>
              </w:rPr>
              <w:t>114.549.910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2"/>
                <w:szCs w:val="12"/>
                <w:lang w:eastAsia="nl-NL"/>
              </w:rPr>
            </w:pPr>
            <w:r w:rsidRPr="00264552">
              <w:rPr>
                <w:rFonts w:ascii="Arial" w:eastAsia="Times New Roman" w:hAnsi="Arial" w:cs="Arial"/>
                <w:color w:val="000000"/>
                <w:sz w:val="12"/>
                <w:szCs w:val="12"/>
                <w:lang w:eastAsia="nl-NL"/>
              </w:rPr>
              <w:t>115.281.987</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color w:val="000000"/>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-68.927</w:t>
            </w:r>
          </w:p>
        </w:tc>
        <w:tc>
          <w:tcPr>
            <w:tcW w:w="1097" w:type="dxa"/>
            <w:tcBorders>
              <w:top w:val="nil"/>
              <w:left w:val="nil"/>
              <w:bottom w:val="nil"/>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2"/>
                <w:szCs w:val="12"/>
                <w:lang w:eastAsia="nl-NL"/>
              </w:rPr>
            </w:pPr>
            <w:r w:rsidRPr="00264552">
              <w:rPr>
                <w:rFonts w:ascii="Arial" w:eastAsia="Times New Roman" w:hAnsi="Arial" w:cs="Arial"/>
                <w:color w:val="000000"/>
                <w:sz w:val="12"/>
                <w:szCs w:val="12"/>
                <w:lang w:eastAsia="nl-NL"/>
              </w:rPr>
              <w:t>115.213.060</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Rente</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546.000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440.000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-90.000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350.000</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Belasting- en invorderingsrente</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546.000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440.000</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-90.000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350.000</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Boetes en schikkingen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218.322</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238.322</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16.000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254.322</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Ontvangsten boetes en schikkingen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218.322</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238.322</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16.000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254.322</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Bekostiging</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207.276</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217.276</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-12.000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205.276</w:t>
            </w: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r w:rsidRPr="00264552">
              <w:rPr>
                <w:rFonts w:ascii="Arial" w:eastAsia="Times New Roman" w:hAnsi="Arial" w:cs="Arial"/>
                <w:sz w:val="12"/>
                <w:szCs w:val="12"/>
                <w:lang w:eastAsia="nl-NL"/>
              </w:rPr>
              <w:t>Kosten vervolging</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207.276</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217.276</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-12.000</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2"/>
                <w:szCs w:val="12"/>
                <w:lang w:eastAsia="nl-NL"/>
              </w:rPr>
            </w:pPr>
            <w:r w:rsidRPr="00264552">
              <w:rPr>
                <w:rFonts w:ascii="Arial" w:eastAsia="Times New Roman" w:hAnsi="Arial" w:cs="Arial"/>
                <w:sz w:val="12"/>
                <w:szCs w:val="12"/>
                <w:lang w:eastAsia="nl-NL"/>
              </w:rPr>
              <w:t>205.276</w:t>
            </w:r>
          </w:p>
        </w:tc>
      </w:tr>
      <w:tr w:rsidR="002375F3" w:rsidRPr="00264552" w:rsidTr="00D66A40">
        <w:trPr>
          <w:trHeight w:val="240"/>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 </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sz w:val="12"/>
                <w:szCs w:val="12"/>
                <w:lang w:eastAsia="nl-NL"/>
              </w:rPr>
            </w:pPr>
          </w:p>
        </w:tc>
      </w:tr>
      <w:tr w:rsidR="002375F3" w:rsidRPr="00264552" w:rsidTr="00D66A40">
        <w:trPr>
          <w:trHeight w:val="225"/>
        </w:trPr>
        <w:tc>
          <w:tcPr>
            <w:tcW w:w="1921" w:type="dxa"/>
            <w:tcBorders>
              <w:top w:val="nil"/>
              <w:left w:val="nil"/>
              <w:bottom w:val="nil"/>
              <w:right w:val="nil"/>
            </w:tcBorders>
            <w:shd w:val="clear" w:color="000000" w:fill="FFFFFF"/>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(4) Apparaatsontvangsten</w:t>
            </w:r>
          </w:p>
        </w:tc>
        <w:tc>
          <w:tcPr>
            <w:tcW w:w="111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25.622</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24.665</w:t>
            </w: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b/>
                <w:bCs/>
                <w:sz w:val="12"/>
                <w:szCs w:val="12"/>
                <w:lang w:eastAsia="nl-NL"/>
              </w:rPr>
            </w:pPr>
          </w:p>
        </w:tc>
        <w:tc>
          <w:tcPr>
            <w:tcW w:w="1095"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-1.991</w:t>
            </w:r>
          </w:p>
        </w:tc>
        <w:tc>
          <w:tcPr>
            <w:tcW w:w="1097"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b/>
                <w:bCs/>
                <w:sz w:val="12"/>
                <w:szCs w:val="12"/>
                <w:lang w:eastAsia="nl-NL"/>
              </w:rPr>
            </w:pPr>
            <w:r w:rsidRPr="00264552">
              <w:rPr>
                <w:rFonts w:ascii="Arial" w:eastAsia="Times New Roman" w:hAnsi="Arial" w:cs="Arial"/>
                <w:b/>
                <w:bCs/>
                <w:sz w:val="12"/>
                <w:szCs w:val="12"/>
                <w:lang w:eastAsia="nl-NL"/>
              </w:rPr>
              <w:t>22.674</w:t>
            </w:r>
          </w:p>
        </w:tc>
      </w:tr>
      <w:tr w:rsidR="002375F3" w:rsidRPr="00264552" w:rsidTr="00D66A40">
        <w:trPr>
          <w:trHeight w:val="240"/>
        </w:trPr>
        <w:tc>
          <w:tcPr>
            <w:tcW w:w="1921" w:type="dxa"/>
            <w:tcBorders>
              <w:top w:val="nil"/>
              <w:left w:val="nil"/>
              <w:bottom w:val="single" w:sz="8" w:space="0" w:color="auto"/>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 w:val="12"/>
                <w:szCs w:val="12"/>
                <w:lang w:eastAsia="nl-NL"/>
              </w:rPr>
            </w:pPr>
            <w:r w:rsidRPr="00264552">
              <w:rPr>
                <w:rFonts w:eastAsia="Times New Roman" w:cs="Times New Roman"/>
                <w:color w:val="000000"/>
                <w:sz w:val="12"/>
                <w:szCs w:val="12"/>
                <w:lang w:eastAsia="nl-NL"/>
              </w:rPr>
              <w:t> </w:t>
            </w:r>
          </w:p>
        </w:tc>
        <w:tc>
          <w:tcPr>
            <w:tcW w:w="1115" w:type="dxa"/>
            <w:tcBorders>
              <w:top w:val="nil"/>
              <w:left w:val="nil"/>
              <w:bottom w:val="single" w:sz="8" w:space="0" w:color="auto"/>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 w:val="12"/>
                <w:szCs w:val="12"/>
                <w:lang w:eastAsia="nl-NL"/>
              </w:rPr>
            </w:pPr>
            <w:r w:rsidRPr="00264552">
              <w:rPr>
                <w:rFonts w:eastAsia="Times New Roman" w:cs="Times New Roman"/>
                <w:color w:val="000000"/>
                <w:sz w:val="12"/>
                <w:szCs w:val="12"/>
                <w:lang w:eastAsia="nl-NL"/>
              </w:rPr>
              <w:t> </w:t>
            </w:r>
          </w:p>
        </w:tc>
        <w:tc>
          <w:tcPr>
            <w:tcW w:w="1097" w:type="dxa"/>
            <w:tcBorders>
              <w:top w:val="nil"/>
              <w:left w:val="nil"/>
              <w:bottom w:val="single" w:sz="8" w:space="0" w:color="auto"/>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 w:val="12"/>
                <w:szCs w:val="12"/>
                <w:lang w:eastAsia="nl-NL"/>
              </w:rPr>
            </w:pPr>
            <w:r w:rsidRPr="00264552">
              <w:rPr>
                <w:rFonts w:eastAsia="Times New Roman" w:cs="Times New Roman"/>
                <w:color w:val="000000"/>
                <w:sz w:val="12"/>
                <w:szCs w:val="12"/>
                <w:lang w:eastAsia="nl-NL"/>
              </w:rPr>
              <w:t> </w:t>
            </w:r>
          </w:p>
        </w:tc>
        <w:tc>
          <w:tcPr>
            <w:tcW w:w="1095" w:type="dxa"/>
            <w:tcBorders>
              <w:top w:val="nil"/>
              <w:left w:val="nil"/>
              <w:bottom w:val="single" w:sz="8" w:space="0" w:color="auto"/>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 w:val="12"/>
                <w:szCs w:val="12"/>
                <w:lang w:eastAsia="nl-NL"/>
              </w:rPr>
            </w:pPr>
            <w:r w:rsidRPr="00264552">
              <w:rPr>
                <w:rFonts w:eastAsia="Times New Roman" w:cs="Times New Roman"/>
                <w:color w:val="000000"/>
                <w:sz w:val="12"/>
                <w:szCs w:val="12"/>
                <w:lang w:eastAsia="nl-NL"/>
              </w:rPr>
              <w:t> </w:t>
            </w:r>
          </w:p>
        </w:tc>
        <w:tc>
          <w:tcPr>
            <w:tcW w:w="1095" w:type="dxa"/>
            <w:tcBorders>
              <w:top w:val="nil"/>
              <w:left w:val="nil"/>
              <w:bottom w:val="single" w:sz="8" w:space="0" w:color="auto"/>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 w:val="12"/>
                <w:szCs w:val="12"/>
                <w:lang w:eastAsia="nl-NL"/>
              </w:rPr>
            </w:pPr>
            <w:r w:rsidRPr="00264552">
              <w:rPr>
                <w:rFonts w:eastAsia="Times New Roman" w:cs="Times New Roman"/>
                <w:color w:val="000000"/>
                <w:sz w:val="12"/>
                <w:szCs w:val="12"/>
                <w:lang w:eastAsia="nl-NL"/>
              </w:rPr>
              <w:t> </w:t>
            </w:r>
          </w:p>
        </w:tc>
        <w:tc>
          <w:tcPr>
            <w:tcW w:w="1097" w:type="dxa"/>
            <w:tcBorders>
              <w:top w:val="nil"/>
              <w:left w:val="nil"/>
              <w:bottom w:val="single" w:sz="8" w:space="0" w:color="auto"/>
              <w:right w:val="nil"/>
            </w:tcBorders>
            <w:shd w:val="clear" w:color="auto" w:fill="auto"/>
            <w:noWrap/>
            <w:vAlign w:val="bottom"/>
            <w:hideMark/>
          </w:tcPr>
          <w:p w:rsidR="002375F3" w:rsidRPr="00264552" w:rsidRDefault="002375F3" w:rsidP="00D66A40">
            <w:pPr>
              <w:spacing w:after="0" w:line="240" w:lineRule="auto"/>
              <w:rPr>
                <w:rFonts w:eastAsia="Times New Roman" w:cs="Times New Roman"/>
                <w:color w:val="000000"/>
                <w:sz w:val="12"/>
                <w:szCs w:val="12"/>
                <w:lang w:eastAsia="nl-NL"/>
              </w:rPr>
            </w:pPr>
            <w:r w:rsidRPr="00264552">
              <w:rPr>
                <w:rFonts w:eastAsia="Times New Roman" w:cs="Times New Roman"/>
                <w:color w:val="000000"/>
                <w:sz w:val="12"/>
                <w:szCs w:val="12"/>
                <w:lang w:eastAsia="nl-NL"/>
              </w:rPr>
              <w:t> </w:t>
            </w:r>
          </w:p>
        </w:tc>
      </w:tr>
    </w:tbl>
    <w:p w:rsidR="002375F3" w:rsidRPr="001650DC" w:rsidRDefault="002375F3" w:rsidP="002375F3">
      <w:pPr>
        <w:rPr>
          <w:b/>
          <w:szCs w:val="18"/>
        </w:rPr>
      </w:pPr>
      <w:r w:rsidRPr="001650DC">
        <w:rPr>
          <w:b/>
          <w:szCs w:val="18"/>
        </w:rPr>
        <w:t>Toelichting</w:t>
      </w:r>
    </w:p>
    <w:p w:rsidR="002375F3" w:rsidRPr="001650DC" w:rsidRDefault="002375F3" w:rsidP="002375F3">
      <w:pPr>
        <w:rPr>
          <w:b/>
          <w:szCs w:val="18"/>
        </w:rPr>
      </w:pPr>
      <w:r w:rsidRPr="001650DC">
        <w:rPr>
          <w:b/>
          <w:szCs w:val="18"/>
        </w:rPr>
        <w:lastRenderedPageBreak/>
        <w:t>Verplichtingen en uitgaven</w:t>
      </w:r>
      <w:r>
        <w:rPr>
          <w:b/>
          <w:szCs w:val="18"/>
        </w:rPr>
        <w:t xml:space="preserve"> (- € 96,8 mln.)</w:t>
      </w:r>
    </w:p>
    <w:p w:rsidR="002375F3" w:rsidRPr="00B47DE9" w:rsidRDefault="002375F3" w:rsidP="002375F3">
      <w:pPr>
        <w:spacing w:after="0" w:line="240" w:lineRule="exact"/>
        <w:rPr>
          <w:i/>
          <w:szCs w:val="18"/>
        </w:rPr>
      </w:pPr>
      <w:r>
        <w:rPr>
          <w:i/>
          <w:szCs w:val="18"/>
        </w:rPr>
        <w:t>Rente</w:t>
      </w:r>
      <w:r w:rsidRPr="00B47DE9">
        <w:rPr>
          <w:i/>
          <w:szCs w:val="18"/>
        </w:rPr>
        <w:t xml:space="preserve"> </w:t>
      </w:r>
      <w:r>
        <w:rPr>
          <w:i/>
          <w:szCs w:val="18"/>
        </w:rPr>
        <w:t>(- € 86,6 mln.)</w:t>
      </w:r>
    </w:p>
    <w:p w:rsidR="002375F3" w:rsidRDefault="002375F3" w:rsidP="002375F3">
      <w:pPr>
        <w:spacing w:after="0" w:line="240" w:lineRule="exact"/>
        <w:rPr>
          <w:szCs w:val="18"/>
        </w:rPr>
      </w:pPr>
      <w:r w:rsidRPr="00B47DE9">
        <w:rPr>
          <w:szCs w:val="18"/>
        </w:rPr>
        <w:t>De uitgaven belasting- en invorderingsrente worden met 86,6 mln. naar beneden bijgesteld</w:t>
      </w:r>
      <w:r>
        <w:rPr>
          <w:szCs w:val="18"/>
        </w:rPr>
        <w:t>.</w:t>
      </w:r>
      <w:r w:rsidRPr="00B47DE9">
        <w:rPr>
          <w:szCs w:val="18"/>
        </w:rPr>
        <w:t xml:space="preserve"> </w:t>
      </w:r>
    </w:p>
    <w:p w:rsidR="002375F3" w:rsidRDefault="002375F3" w:rsidP="002375F3">
      <w:pPr>
        <w:spacing w:after="0" w:line="240" w:lineRule="exact"/>
        <w:rPr>
          <w:szCs w:val="18"/>
        </w:rPr>
      </w:pPr>
      <w:r w:rsidRPr="00B47DE9">
        <w:rPr>
          <w:szCs w:val="18"/>
        </w:rPr>
        <w:t xml:space="preserve">Dit </w:t>
      </w:r>
      <w:r>
        <w:rPr>
          <w:szCs w:val="18"/>
        </w:rPr>
        <w:t>komt</w:t>
      </w:r>
      <w:r w:rsidRPr="00B47DE9">
        <w:rPr>
          <w:szCs w:val="18"/>
        </w:rPr>
        <w:t xml:space="preserve"> door</w:t>
      </w:r>
      <w:r>
        <w:rPr>
          <w:szCs w:val="18"/>
        </w:rPr>
        <w:t xml:space="preserve">dat de Belastingdienst </w:t>
      </w:r>
      <w:r w:rsidRPr="00B47DE9">
        <w:rPr>
          <w:szCs w:val="18"/>
        </w:rPr>
        <w:t xml:space="preserve">minder rente </w:t>
      </w:r>
      <w:r>
        <w:rPr>
          <w:szCs w:val="18"/>
        </w:rPr>
        <w:t xml:space="preserve">hoeft </w:t>
      </w:r>
      <w:r w:rsidRPr="00B47DE9">
        <w:rPr>
          <w:szCs w:val="18"/>
        </w:rPr>
        <w:t xml:space="preserve">te </w:t>
      </w:r>
      <w:r>
        <w:rPr>
          <w:szCs w:val="18"/>
        </w:rPr>
        <w:t>vergoeden bij het vaststellen van definitieve aanslagen</w:t>
      </w:r>
      <w:r w:rsidRPr="00B47DE9">
        <w:rPr>
          <w:szCs w:val="18"/>
        </w:rPr>
        <w:t>.</w:t>
      </w:r>
      <w:r>
        <w:rPr>
          <w:szCs w:val="18"/>
        </w:rPr>
        <w:t xml:space="preserve"> De reden hiervoor is een lagere gerealiseerde grondslag dan de oorspronkelijk geraamd. </w:t>
      </w:r>
    </w:p>
    <w:p w:rsidR="002375F3" w:rsidRDefault="002375F3" w:rsidP="002375F3">
      <w:pPr>
        <w:spacing w:after="0" w:line="240" w:lineRule="exact"/>
        <w:rPr>
          <w:szCs w:val="18"/>
        </w:rPr>
      </w:pPr>
    </w:p>
    <w:p w:rsidR="002375F3" w:rsidRPr="00DE43B9" w:rsidRDefault="002375F3" w:rsidP="002375F3">
      <w:pPr>
        <w:spacing w:after="0" w:line="240" w:lineRule="exact"/>
        <w:rPr>
          <w:i/>
          <w:szCs w:val="18"/>
        </w:rPr>
      </w:pPr>
      <w:r>
        <w:rPr>
          <w:i/>
          <w:szCs w:val="18"/>
        </w:rPr>
        <w:t xml:space="preserve">Bekostiging </w:t>
      </w:r>
      <w:r w:rsidRPr="00DE43B9">
        <w:rPr>
          <w:i/>
          <w:szCs w:val="18"/>
        </w:rPr>
        <w:t xml:space="preserve"> </w:t>
      </w:r>
      <w:r>
        <w:rPr>
          <w:i/>
          <w:szCs w:val="18"/>
        </w:rPr>
        <w:t>(+ € 0,6 mln.)</w:t>
      </w:r>
    </w:p>
    <w:p w:rsidR="002375F3" w:rsidRDefault="002375F3" w:rsidP="002375F3">
      <w:pPr>
        <w:spacing w:after="0" w:line="240" w:lineRule="exact"/>
        <w:rPr>
          <w:szCs w:val="18"/>
        </w:rPr>
      </w:pPr>
      <w:r w:rsidRPr="00083A11">
        <w:rPr>
          <w:szCs w:val="18"/>
        </w:rPr>
        <w:t>Het gebruik van de vergoedingsregeling is € 1,3 mln. hoger dan geraamd.</w:t>
      </w:r>
      <w:r>
        <w:rPr>
          <w:szCs w:val="18"/>
        </w:rPr>
        <w:t xml:space="preserve"> De overig programma-uitgaven zijn 0,7 mln. lager uitgevallen.</w:t>
      </w:r>
    </w:p>
    <w:p w:rsidR="002375F3" w:rsidRDefault="002375F3" w:rsidP="002375F3">
      <w:pPr>
        <w:spacing w:after="0" w:line="240" w:lineRule="exact"/>
        <w:rPr>
          <w:szCs w:val="18"/>
        </w:rPr>
      </w:pPr>
    </w:p>
    <w:p w:rsidR="002375F3" w:rsidRPr="00DE43B9" w:rsidRDefault="002375F3" w:rsidP="002375F3">
      <w:pPr>
        <w:spacing w:after="0" w:line="240" w:lineRule="exact"/>
        <w:rPr>
          <w:i/>
          <w:szCs w:val="18"/>
        </w:rPr>
      </w:pPr>
      <w:r w:rsidRPr="00DE43B9">
        <w:rPr>
          <w:i/>
          <w:szCs w:val="18"/>
        </w:rPr>
        <w:t xml:space="preserve">Apparaatsuitgaven </w:t>
      </w:r>
      <w:r>
        <w:rPr>
          <w:i/>
          <w:szCs w:val="18"/>
        </w:rPr>
        <w:t>(- € 10,8 mln.)</w:t>
      </w:r>
    </w:p>
    <w:p w:rsidR="002375F3" w:rsidRDefault="002375F3" w:rsidP="002375F3">
      <w:pPr>
        <w:spacing w:after="0" w:line="240" w:lineRule="exact"/>
        <w:rPr>
          <w:szCs w:val="18"/>
        </w:rPr>
      </w:pPr>
      <w:r w:rsidRPr="00B47DE9">
        <w:rPr>
          <w:szCs w:val="18"/>
        </w:rPr>
        <w:t xml:space="preserve">De apparaatsuitgaven worden per saldo met € </w:t>
      </w:r>
      <w:r>
        <w:rPr>
          <w:szCs w:val="18"/>
        </w:rPr>
        <w:t>11</w:t>
      </w:r>
      <w:r w:rsidRPr="00B47DE9">
        <w:rPr>
          <w:szCs w:val="18"/>
        </w:rPr>
        <w:t xml:space="preserve"> mln. naar beneden bijgesteld. Dit betreft een aantal mutaties: </w:t>
      </w:r>
    </w:p>
    <w:p w:rsidR="002375F3" w:rsidRDefault="002375F3" w:rsidP="002375F3">
      <w:pPr>
        <w:spacing w:after="0" w:line="240" w:lineRule="exact"/>
        <w:rPr>
          <w:szCs w:val="18"/>
        </w:rPr>
      </w:pPr>
    </w:p>
    <w:p w:rsidR="002375F3" w:rsidRPr="003F5578" w:rsidRDefault="002375F3" w:rsidP="002375F3">
      <w:pPr>
        <w:pStyle w:val="Lijstalinea"/>
        <w:numPr>
          <w:ilvl w:val="0"/>
          <w:numId w:val="6"/>
        </w:numPr>
        <w:spacing w:after="0" w:line="240" w:lineRule="exact"/>
        <w:rPr>
          <w:szCs w:val="18"/>
        </w:rPr>
      </w:pPr>
      <w:r w:rsidRPr="003F5578">
        <w:rPr>
          <w:szCs w:val="18"/>
        </w:rPr>
        <w:t xml:space="preserve">een </w:t>
      </w:r>
      <w:proofErr w:type="spellStart"/>
      <w:r w:rsidRPr="003F5578">
        <w:rPr>
          <w:szCs w:val="18"/>
        </w:rPr>
        <w:t>onderuitputting</w:t>
      </w:r>
      <w:proofErr w:type="spellEnd"/>
      <w:r w:rsidRPr="003F5578">
        <w:rPr>
          <w:szCs w:val="18"/>
        </w:rPr>
        <w:t xml:space="preserve"> van € 31 mln. op personele uitgaven als gevolg van met name later in het jaar op gang gekomen noodzakelijke werving van personeel en een hoger dan verwachte uitstroom</w:t>
      </w:r>
      <w:r>
        <w:rPr>
          <w:szCs w:val="18"/>
        </w:rPr>
        <w:t xml:space="preserve"> (budget hierdoor neemt af)</w:t>
      </w:r>
      <w:r w:rsidRPr="003F5578">
        <w:rPr>
          <w:szCs w:val="18"/>
        </w:rPr>
        <w:t>;</w:t>
      </w:r>
    </w:p>
    <w:p w:rsidR="002375F3" w:rsidRPr="00840B39" w:rsidRDefault="002375F3" w:rsidP="002375F3">
      <w:pPr>
        <w:pStyle w:val="Lijstalinea"/>
        <w:numPr>
          <w:ilvl w:val="0"/>
          <w:numId w:val="6"/>
        </w:numPr>
        <w:spacing w:after="0" w:line="240" w:lineRule="exact"/>
        <w:rPr>
          <w:szCs w:val="18"/>
        </w:rPr>
      </w:pPr>
      <w:r w:rsidRPr="00840B39">
        <w:rPr>
          <w:szCs w:val="18"/>
        </w:rPr>
        <w:t>ontvangen loon- en prijscompensatie ad € 28 mln. inclusief compensatie CAO deal (</w:t>
      </w:r>
      <w:r>
        <w:rPr>
          <w:szCs w:val="18"/>
        </w:rPr>
        <w:t>budget hierdoor neemt toe</w:t>
      </w:r>
      <w:r w:rsidRPr="00840B39">
        <w:rPr>
          <w:szCs w:val="18"/>
        </w:rPr>
        <w:t xml:space="preserve">); </w:t>
      </w:r>
    </w:p>
    <w:p w:rsidR="002375F3" w:rsidRPr="00840B39" w:rsidRDefault="002375F3" w:rsidP="002375F3">
      <w:pPr>
        <w:pStyle w:val="Lijstalinea"/>
        <w:numPr>
          <w:ilvl w:val="0"/>
          <w:numId w:val="6"/>
        </w:numPr>
        <w:spacing w:after="0" w:line="240" w:lineRule="exact"/>
        <w:rPr>
          <w:szCs w:val="18"/>
        </w:rPr>
      </w:pPr>
      <w:r w:rsidRPr="00840B39">
        <w:rPr>
          <w:szCs w:val="18"/>
        </w:rPr>
        <w:t>een desaldering met de lagere ontvangsten kosten vervolging ad - € 12 mln. (</w:t>
      </w:r>
      <w:r>
        <w:rPr>
          <w:szCs w:val="18"/>
        </w:rPr>
        <w:t>budget hierdoor neemt af</w:t>
      </w:r>
      <w:r w:rsidRPr="00840B39">
        <w:rPr>
          <w:szCs w:val="18"/>
        </w:rPr>
        <w:t>);</w:t>
      </w:r>
    </w:p>
    <w:p w:rsidR="002375F3" w:rsidRPr="003F5578" w:rsidRDefault="002375F3" w:rsidP="002375F3">
      <w:pPr>
        <w:pStyle w:val="Lijstalinea"/>
        <w:numPr>
          <w:ilvl w:val="0"/>
          <w:numId w:val="6"/>
        </w:numPr>
        <w:spacing w:after="0" w:line="240" w:lineRule="exact"/>
        <w:rPr>
          <w:szCs w:val="18"/>
        </w:rPr>
      </w:pPr>
      <w:r w:rsidRPr="003F5578">
        <w:rPr>
          <w:szCs w:val="18"/>
        </w:rPr>
        <w:t xml:space="preserve">een aantal (technische) mutaties en overboekingen van in totaal € </w:t>
      </w:r>
      <w:r>
        <w:rPr>
          <w:szCs w:val="18"/>
        </w:rPr>
        <w:t>4</w:t>
      </w:r>
      <w:r w:rsidRPr="003F5578">
        <w:rPr>
          <w:szCs w:val="18"/>
        </w:rPr>
        <w:t xml:space="preserve"> mln.</w:t>
      </w:r>
      <w:r>
        <w:rPr>
          <w:szCs w:val="18"/>
        </w:rPr>
        <w:t xml:space="preserve"> (budget hierdoor neemt toe).</w:t>
      </w:r>
    </w:p>
    <w:p w:rsidR="002375F3" w:rsidRPr="00B47DE9" w:rsidRDefault="002375F3" w:rsidP="002375F3">
      <w:pPr>
        <w:spacing w:after="0" w:line="240" w:lineRule="exact"/>
        <w:rPr>
          <w:szCs w:val="18"/>
        </w:rPr>
      </w:pPr>
      <w:r w:rsidRPr="00B47DE9">
        <w:rPr>
          <w:szCs w:val="18"/>
        </w:rPr>
        <w:t xml:space="preserve">  </w:t>
      </w:r>
    </w:p>
    <w:p w:rsidR="002375F3" w:rsidRPr="001C256E" w:rsidRDefault="002375F3" w:rsidP="002375F3">
      <w:pPr>
        <w:spacing w:after="0" w:line="240" w:lineRule="exact"/>
        <w:rPr>
          <w:b/>
          <w:szCs w:val="18"/>
        </w:rPr>
      </w:pPr>
      <w:r>
        <w:rPr>
          <w:b/>
          <w:szCs w:val="18"/>
        </w:rPr>
        <w:t>Ontvangsten (- € 156,9 mln.)</w:t>
      </w:r>
    </w:p>
    <w:p w:rsidR="002375F3" w:rsidRDefault="002375F3" w:rsidP="002375F3">
      <w:pPr>
        <w:spacing w:after="0" w:line="240" w:lineRule="exact"/>
        <w:rPr>
          <w:i/>
          <w:szCs w:val="18"/>
        </w:rPr>
      </w:pPr>
    </w:p>
    <w:p w:rsidR="002375F3" w:rsidRPr="00CF3D85" w:rsidRDefault="002375F3" w:rsidP="002375F3">
      <w:pPr>
        <w:spacing w:after="0" w:line="240" w:lineRule="exact"/>
        <w:outlineLvl w:val="3"/>
        <w:rPr>
          <w:rFonts w:asciiTheme="minorHAnsi" w:eastAsia="Times New Roman" w:hAnsiTheme="minorHAnsi" w:cs="Times New Roman"/>
          <w:bCs/>
          <w:i/>
          <w:szCs w:val="18"/>
          <w:lang w:eastAsia="nl-NL"/>
        </w:rPr>
      </w:pPr>
      <w:r>
        <w:rPr>
          <w:rFonts w:asciiTheme="minorHAnsi" w:eastAsia="Times New Roman" w:hAnsiTheme="minorHAnsi" w:cs="Times New Roman"/>
          <w:bCs/>
          <w:i/>
          <w:szCs w:val="18"/>
          <w:lang w:eastAsia="nl-NL"/>
        </w:rPr>
        <w:t>Belastingontvangsten (- € 68,9</w:t>
      </w:r>
      <w:r w:rsidRPr="00CF3D85">
        <w:rPr>
          <w:rFonts w:asciiTheme="minorHAnsi" w:eastAsia="Times New Roman" w:hAnsiTheme="minorHAnsi" w:cs="Times New Roman"/>
          <w:bCs/>
          <w:i/>
          <w:szCs w:val="18"/>
          <w:lang w:eastAsia="nl-NL"/>
        </w:rPr>
        <w:t xml:space="preserve"> mln.)</w:t>
      </w:r>
    </w:p>
    <w:p w:rsidR="002375F3" w:rsidRPr="003906AD" w:rsidRDefault="002375F3" w:rsidP="002375F3">
      <w:pPr>
        <w:spacing w:after="0" w:line="240" w:lineRule="exact"/>
        <w:rPr>
          <w:rFonts w:asciiTheme="minorHAnsi" w:eastAsia="Times New Roman" w:hAnsiTheme="minorHAnsi" w:cs="Times New Roman"/>
          <w:szCs w:val="18"/>
          <w:lang w:eastAsia="nl-NL"/>
        </w:rPr>
      </w:pPr>
      <w:r w:rsidRPr="00CF3D85">
        <w:rPr>
          <w:rFonts w:asciiTheme="minorHAnsi" w:eastAsia="Times New Roman" w:hAnsiTheme="minorHAnsi" w:cs="Times New Roman"/>
          <w:szCs w:val="18"/>
          <w:lang w:eastAsia="nl-NL"/>
        </w:rPr>
        <w:t>In de Najaarsnota 201</w:t>
      </w:r>
      <w:r>
        <w:rPr>
          <w:rFonts w:asciiTheme="minorHAnsi" w:eastAsia="Times New Roman" w:hAnsiTheme="minorHAnsi" w:cs="Times New Roman"/>
          <w:szCs w:val="18"/>
          <w:lang w:eastAsia="nl-NL"/>
        </w:rPr>
        <w:t xml:space="preserve">5 </w:t>
      </w:r>
      <w:r w:rsidRPr="00CF3D85">
        <w:rPr>
          <w:rFonts w:asciiTheme="minorHAnsi" w:eastAsia="Times New Roman" w:hAnsiTheme="minorHAnsi" w:cs="Times New Roman"/>
          <w:szCs w:val="18"/>
          <w:lang w:eastAsia="nl-NL"/>
        </w:rPr>
        <w:t>worden de mutaties van de belastingontvangsten toegelicht. De aansluiting met de bedragen in de begrotingstoelichting (artikel 1 Belastingen, tabel budgettaire gevolgen van beleid) ziet er als volgt uit;</w:t>
      </w:r>
    </w:p>
    <w:p w:rsidR="002375F3" w:rsidRDefault="002375F3" w:rsidP="002375F3">
      <w:pPr>
        <w:spacing w:after="0" w:line="240" w:lineRule="exact"/>
        <w:rPr>
          <w:i/>
        </w:rPr>
      </w:pPr>
    </w:p>
    <w:tbl>
      <w:tblPr>
        <w:tblW w:w="9780" w:type="dxa"/>
        <w:tblInd w:w="56" w:type="dxa"/>
        <w:tblCellMar>
          <w:left w:w="70" w:type="dxa"/>
          <w:right w:w="70" w:type="dxa"/>
        </w:tblCellMar>
        <w:tblLook w:val="04A0" w:firstRow="1" w:lastRow="0" w:firstColumn="1" w:lastColumn="0" w:noHBand="0" w:noVBand="1"/>
      </w:tblPr>
      <w:tblGrid>
        <w:gridCol w:w="2160"/>
        <w:gridCol w:w="1540"/>
        <w:gridCol w:w="1600"/>
        <w:gridCol w:w="1500"/>
        <w:gridCol w:w="1380"/>
        <w:gridCol w:w="1600"/>
      </w:tblGrid>
      <w:tr w:rsidR="002375F3" w:rsidRPr="00264552" w:rsidTr="00D66A40">
        <w:trPr>
          <w:trHeight w:val="900"/>
        </w:trPr>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b/>
                <w:bCs/>
                <w:color w:val="000000"/>
                <w:sz w:val="16"/>
                <w:szCs w:val="16"/>
                <w:lang w:eastAsia="nl-NL"/>
              </w:rPr>
            </w:pPr>
          </w:p>
        </w:tc>
        <w:tc>
          <w:tcPr>
            <w:tcW w:w="1540" w:type="dxa"/>
            <w:tcBorders>
              <w:top w:val="single" w:sz="4" w:space="0" w:color="000000"/>
              <w:left w:val="nil"/>
              <w:bottom w:val="single" w:sz="4" w:space="0" w:color="000000"/>
              <w:right w:val="single" w:sz="4" w:space="0" w:color="000000"/>
            </w:tcBorders>
            <w:shd w:val="clear" w:color="auto" w:fill="auto"/>
            <w:hideMark/>
          </w:tcPr>
          <w:p w:rsidR="002375F3" w:rsidRPr="00264552" w:rsidRDefault="002375F3" w:rsidP="00D66A40">
            <w:pPr>
              <w:spacing w:after="0" w:line="240" w:lineRule="auto"/>
              <w:jc w:val="center"/>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Stand vastgestelde begroting (</w:t>
            </w:r>
            <w:proofErr w:type="spellStart"/>
            <w:r w:rsidRPr="00264552">
              <w:rPr>
                <w:rFonts w:ascii="Arial" w:eastAsia="Times New Roman" w:hAnsi="Arial" w:cs="Arial"/>
                <w:b/>
                <w:bCs/>
                <w:color w:val="000000"/>
                <w:sz w:val="16"/>
                <w:szCs w:val="16"/>
                <w:lang w:eastAsia="nl-NL"/>
              </w:rPr>
              <w:t>NvW</w:t>
            </w:r>
            <w:proofErr w:type="spellEnd"/>
            <w:r w:rsidRPr="00264552">
              <w:rPr>
                <w:rFonts w:ascii="Arial" w:eastAsia="Times New Roman" w:hAnsi="Arial" w:cs="Arial"/>
                <w:b/>
                <w:bCs/>
                <w:color w:val="000000"/>
                <w:sz w:val="16"/>
                <w:szCs w:val="16"/>
                <w:lang w:eastAsia="nl-NL"/>
              </w:rPr>
              <w:t>) 2015 (1)</w:t>
            </w:r>
          </w:p>
        </w:tc>
        <w:tc>
          <w:tcPr>
            <w:tcW w:w="1600" w:type="dxa"/>
            <w:tcBorders>
              <w:top w:val="single" w:sz="4" w:space="0" w:color="000000"/>
              <w:left w:val="nil"/>
              <w:bottom w:val="single" w:sz="4" w:space="0" w:color="000000"/>
              <w:right w:val="single" w:sz="4" w:space="0" w:color="000000"/>
            </w:tcBorders>
            <w:shd w:val="clear" w:color="auto" w:fill="auto"/>
            <w:hideMark/>
          </w:tcPr>
          <w:p w:rsidR="002375F3" w:rsidRPr="00264552" w:rsidRDefault="002375F3" w:rsidP="00D66A40">
            <w:pPr>
              <w:spacing w:after="0" w:line="240" w:lineRule="auto"/>
              <w:jc w:val="center"/>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Mutaties 1ste suppletoire begroting (2)</w:t>
            </w:r>
          </w:p>
        </w:tc>
        <w:tc>
          <w:tcPr>
            <w:tcW w:w="1500" w:type="dxa"/>
            <w:tcBorders>
              <w:top w:val="single" w:sz="4" w:space="0" w:color="000000"/>
              <w:left w:val="nil"/>
              <w:bottom w:val="single" w:sz="4" w:space="0" w:color="000000"/>
              <w:right w:val="single" w:sz="4" w:space="0" w:color="000000"/>
            </w:tcBorders>
            <w:shd w:val="clear" w:color="auto" w:fill="auto"/>
            <w:hideMark/>
          </w:tcPr>
          <w:p w:rsidR="002375F3" w:rsidRPr="00264552" w:rsidRDefault="002375F3" w:rsidP="00D66A40">
            <w:pPr>
              <w:spacing w:after="0" w:line="240" w:lineRule="auto"/>
              <w:jc w:val="center"/>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Stand 1ste suppletoire begroting (3)=(1+2)</w:t>
            </w:r>
          </w:p>
        </w:tc>
        <w:tc>
          <w:tcPr>
            <w:tcW w:w="1380" w:type="dxa"/>
            <w:tcBorders>
              <w:top w:val="single" w:sz="4" w:space="0" w:color="000000"/>
              <w:left w:val="nil"/>
              <w:bottom w:val="nil"/>
              <w:right w:val="single" w:sz="4" w:space="0" w:color="000000"/>
            </w:tcBorders>
            <w:shd w:val="clear" w:color="auto" w:fill="auto"/>
            <w:hideMark/>
          </w:tcPr>
          <w:p w:rsidR="002375F3" w:rsidRPr="00264552" w:rsidRDefault="002375F3" w:rsidP="00D66A40">
            <w:pPr>
              <w:spacing w:after="0" w:line="240" w:lineRule="auto"/>
              <w:jc w:val="center"/>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Mutaties 2e suppletoire begroting (4)</w:t>
            </w:r>
          </w:p>
        </w:tc>
        <w:tc>
          <w:tcPr>
            <w:tcW w:w="1600" w:type="dxa"/>
            <w:tcBorders>
              <w:top w:val="single" w:sz="4" w:space="0" w:color="000000"/>
              <w:left w:val="nil"/>
              <w:bottom w:val="nil"/>
              <w:right w:val="single" w:sz="4" w:space="0" w:color="000000"/>
            </w:tcBorders>
            <w:shd w:val="clear" w:color="auto" w:fill="auto"/>
            <w:hideMark/>
          </w:tcPr>
          <w:p w:rsidR="002375F3" w:rsidRPr="00264552" w:rsidRDefault="002375F3" w:rsidP="00D66A40">
            <w:pPr>
              <w:spacing w:after="0" w:line="240" w:lineRule="auto"/>
              <w:jc w:val="center"/>
              <w:rPr>
                <w:rFonts w:ascii="Arial" w:eastAsia="Times New Roman" w:hAnsi="Arial" w:cs="Arial"/>
                <w:b/>
                <w:bCs/>
                <w:color w:val="000000"/>
                <w:sz w:val="16"/>
                <w:szCs w:val="16"/>
                <w:lang w:eastAsia="nl-NL"/>
              </w:rPr>
            </w:pPr>
            <w:r w:rsidRPr="00264552">
              <w:rPr>
                <w:rFonts w:ascii="Arial" w:eastAsia="Times New Roman" w:hAnsi="Arial" w:cs="Arial"/>
                <w:b/>
                <w:bCs/>
                <w:color w:val="000000"/>
                <w:sz w:val="16"/>
                <w:szCs w:val="16"/>
                <w:lang w:eastAsia="nl-NL"/>
              </w:rPr>
              <w:t>Stand 2e suppletoire begroting (5)=(3+4)</w:t>
            </w:r>
          </w:p>
        </w:tc>
      </w:tr>
      <w:tr w:rsidR="002375F3" w:rsidRPr="00264552" w:rsidTr="00D66A40">
        <w:trPr>
          <w:trHeight w:val="240"/>
        </w:trPr>
        <w:tc>
          <w:tcPr>
            <w:tcW w:w="2160" w:type="dxa"/>
            <w:tcBorders>
              <w:top w:val="nil"/>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Totaal belastingontvangsten</w:t>
            </w:r>
          </w:p>
        </w:tc>
        <w:tc>
          <w:tcPr>
            <w:tcW w:w="154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145.707.872</w:t>
            </w:r>
          </w:p>
        </w:tc>
        <w:tc>
          <w:tcPr>
            <w:tcW w:w="16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168.484</w:t>
            </w:r>
          </w:p>
        </w:tc>
        <w:tc>
          <w:tcPr>
            <w:tcW w:w="1500" w:type="dxa"/>
            <w:tcBorders>
              <w:top w:val="nil"/>
              <w:left w:val="nil"/>
              <w:bottom w:val="single" w:sz="4" w:space="0" w:color="000000"/>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145.876.356</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664.116</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146.540.472</w:t>
            </w:r>
          </w:p>
        </w:tc>
      </w:tr>
      <w:tr w:rsidR="002375F3" w:rsidRPr="00264552" w:rsidTr="00D66A40">
        <w:trPr>
          <w:trHeight w:val="450"/>
        </w:trPr>
        <w:tc>
          <w:tcPr>
            <w:tcW w:w="2160" w:type="dxa"/>
            <w:tcBorders>
              <w:top w:val="nil"/>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Afdracht Gemeentefonds</w:t>
            </w:r>
          </w:p>
        </w:tc>
        <w:tc>
          <w:tcPr>
            <w:tcW w:w="154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27.272.721</w:t>
            </w:r>
          </w:p>
        </w:tc>
        <w:tc>
          <w:tcPr>
            <w:tcW w:w="16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616.240</w:t>
            </w:r>
          </w:p>
        </w:tc>
        <w:tc>
          <w:tcPr>
            <w:tcW w:w="15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26.656.481</w:t>
            </w:r>
          </w:p>
        </w:tc>
        <w:tc>
          <w:tcPr>
            <w:tcW w:w="1380" w:type="dxa"/>
            <w:tcBorders>
              <w:top w:val="nil"/>
              <w:left w:val="nil"/>
              <w:bottom w:val="single" w:sz="4" w:space="0" w:color="000000"/>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651.415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6"/>
                <w:szCs w:val="16"/>
                <w:lang w:eastAsia="nl-NL"/>
              </w:rPr>
            </w:pPr>
            <w:r w:rsidRPr="00264552">
              <w:rPr>
                <w:rFonts w:ascii="Arial" w:eastAsia="Times New Roman" w:hAnsi="Arial" w:cs="Arial"/>
                <w:sz w:val="16"/>
                <w:szCs w:val="16"/>
                <w:lang w:eastAsia="nl-NL"/>
              </w:rPr>
              <w:t>27.307.896</w:t>
            </w:r>
          </w:p>
        </w:tc>
      </w:tr>
      <w:tr w:rsidR="002375F3" w:rsidRPr="00264552" w:rsidTr="00D66A40">
        <w:trPr>
          <w:trHeight w:val="240"/>
        </w:trPr>
        <w:tc>
          <w:tcPr>
            <w:tcW w:w="2160" w:type="dxa"/>
            <w:tcBorders>
              <w:top w:val="nil"/>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Afdracht Provinciefonds</w:t>
            </w:r>
          </w:p>
        </w:tc>
        <w:tc>
          <w:tcPr>
            <w:tcW w:w="154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952.181</w:t>
            </w:r>
          </w:p>
        </w:tc>
        <w:tc>
          <w:tcPr>
            <w:tcW w:w="16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50.945</w:t>
            </w:r>
          </w:p>
        </w:tc>
        <w:tc>
          <w:tcPr>
            <w:tcW w:w="15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xml:space="preserve">              1.003.126 </w:t>
            </w:r>
          </w:p>
        </w:tc>
        <w:tc>
          <w:tcPr>
            <w:tcW w:w="1380" w:type="dxa"/>
            <w:tcBorders>
              <w:top w:val="nil"/>
              <w:left w:val="nil"/>
              <w:bottom w:val="single" w:sz="4" w:space="0" w:color="000000"/>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111.468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6"/>
                <w:szCs w:val="16"/>
                <w:lang w:eastAsia="nl-NL"/>
              </w:rPr>
            </w:pPr>
            <w:r w:rsidRPr="00264552">
              <w:rPr>
                <w:rFonts w:ascii="Arial" w:eastAsia="Times New Roman" w:hAnsi="Arial" w:cs="Arial"/>
                <w:sz w:val="16"/>
                <w:szCs w:val="16"/>
                <w:lang w:eastAsia="nl-NL"/>
              </w:rPr>
              <w:t>1.114.594</w:t>
            </w:r>
          </w:p>
        </w:tc>
      </w:tr>
      <w:tr w:rsidR="002375F3" w:rsidRPr="00264552" w:rsidTr="00D66A40">
        <w:trPr>
          <w:trHeight w:val="450"/>
        </w:trPr>
        <w:tc>
          <w:tcPr>
            <w:tcW w:w="2160" w:type="dxa"/>
            <w:tcBorders>
              <w:top w:val="nil"/>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xml:space="preserve">-/- Afdracht </w:t>
            </w:r>
            <w:proofErr w:type="spellStart"/>
            <w:r w:rsidRPr="00264552">
              <w:rPr>
                <w:rFonts w:ascii="Arial" w:eastAsia="Times New Roman" w:hAnsi="Arial" w:cs="Arial"/>
                <w:color w:val="000000"/>
                <w:sz w:val="16"/>
                <w:szCs w:val="16"/>
                <w:lang w:eastAsia="nl-NL"/>
              </w:rPr>
              <w:t>BTW-Compensatiefonds</w:t>
            </w:r>
            <w:proofErr w:type="spellEnd"/>
          </w:p>
        </w:tc>
        <w:tc>
          <w:tcPr>
            <w:tcW w:w="154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2.901.122</w:t>
            </w:r>
          </w:p>
        </w:tc>
        <w:tc>
          <w:tcPr>
            <w:tcW w:w="16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0</w:t>
            </w:r>
          </w:p>
        </w:tc>
        <w:tc>
          <w:tcPr>
            <w:tcW w:w="15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2.901.122</w:t>
            </w:r>
          </w:p>
        </w:tc>
        <w:tc>
          <w:tcPr>
            <w:tcW w:w="1380" w:type="dxa"/>
            <w:tcBorders>
              <w:top w:val="nil"/>
              <w:left w:val="nil"/>
              <w:bottom w:val="single" w:sz="4" w:space="0" w:color="000000"/>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-38.678</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sz w:val="16"/>
                <w:szCs w:val="16"/>
                <w:lang w:eastAsia="nl-NL"/>
              </w:rPr>
            </w:pPr>
            <w:r w:rsidRPr="00264552">
              <w:rPr>
                <w:rFonts w:ascii="Arial" w:eastAsia="Times New Roman" w:hAnsi="Arial" w:cs="Arial"/>
                <w:sz w:val="16"/>
                <w:szCs w:val="16"/>
                <w:lang w:eastAsia="nl-NL"/>
              </w:rPr>
              <w:t>2.862.444</w:t>
            </w:r>
          </w:p>
        </w:tc>
      </w:tr>
      <w:tr w:rsidR="002375F3" w:rsidRPr="00264552" w:rsidTr="00D66A40">
        <w:trPr>
          <w:trHeight w:val="240"/>
        </w:trPr>
        <w:tc>
          <w:tcPr>
            <w:tcW w:w="2160" w:type="dxa"/>
            <w:tcBorders>
              <w:top w:val="nil"/>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Afdracht BES-fonds</w:t>
            </w:r>
          </w:p>
        </w:tc>
        <w:tc>
          <w:tcPr>
            <w:tcW w:w="154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31.938</w:t>
            </w:r>
          </w:p>
        </w:tc>
        <w:tc>
          <w:tcPr>
            <w:tcW w:w="16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1.702</w:t>
            </w:r>
          </w:p>
        </w:tc>
        <w:tc>
          <w:tcPr>
            <w:tcW w:w="1500" w:type="dxa"/>
            <w:tcBorders>
              <w:top w:val="nil"/>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33.640</w:t>
            </w:r>
          </w:p>
        </w:tc>
        <w:tc>
          <w:tcPr>
            <w:tcW w:w="1380" w:type="dxa"/>
            <w:tcBorders>
              <w:top w:val="nil"/>
              <w:left w:val="nil"/>
              <w:bottom w:val="single" w:sz="4" w:space="0" w:color="000000"/>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8.838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2375F3" w:rsidRPr="00264552" w:rsidRDefault="002375F3" w:rsidP="00D66A40">
            <w:pPr>
              <w:spacing w:after="0" w:line="240" w:lineRule="auto"/>
              <w:jc w:val="right"/>
              <w:rPr>
                <w:rFonts w:ascii="Arial" w:eastAsia="Times New Roman" w:hAnsi="Arial" w:cs="Arial"/>
                <w:sz w:val="16"/>
                <w:szCs w:val="16"/>
                <w:lang w:eastAsia="nl-NL"/>
              </w:rPr>
            </w:pPr>
            <w:r w:rsidRPr="00264552">
              <w:rPr>
                <w:rFonts w:ascii="Arial" w:eastAsia="Times New Roman" w:hAnsi="Arial" w:cs="Arial"/>
                <w:sz w:val="16"/>
                <w:szCs w:val="16"/>
                <w:lang w:eastAsia="nl-NL"/>
              </w:rPr>
              <w:t>42.478</w:t>
            </w:r>
          </w:p>
        </w:tc>
      </w:tr>
      <w:tr w:rsidR="002375F3" w:rsidRPr="00264552" w:rsidTr="00D66A40">
        <w:trPr>
          <w:trHeight w:val="240"/>
        </w:trPr>
        <w:tc>
          <w:tcPr>
            <w:tcW w:w="2160" w:type="dxa"/>
            <w:tcBorders>
              <w:top w:val="nil"/>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54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p>
        </w:tc>
        <w:tc>
          <w:tcPr>
            <w:tcW w:w="160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p>
        </w:tc>
        <w:tc>
          <w:tcPr>
            <w:tcW w:w="1500" w:type="dxa"/>
            <w:tcBorders>
              <w:top w:val="nil"/>
              <w:left w:val="nil"/>
              <w:bottom w:val="nil"/>
              <w:right w:val="nil"/>
            </w:tcBorders>
            <w:shd w:val="clear" w:color="auto" w:fill="auto"/>
            <w:noWrap/>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p>
        </w:tc>
        <w:tc>
          <w:tcPr>
            <w:tcW w:w="1380" w:type="dxa"/>
            <w:tcBorders>
              <w:top w:val="nil"/>
              <w:left w:val="single" w:sz="4" w:space="0" w:color="000000"/>
              <w:bottom w:val="single" w:sz="4" w:space="0" w:color="000000"/>
              <w:right w:val="nil"/>
            </w:tcBorders>
            <w:shd w:val="clear" w:color="auto" w:fill="auto"/>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 </w:t>
            </w:r>
          </w:p>
        </w:tc>
      </w:tr>
      <w:tr w:rsidR="002375F3" w:rsidRPr="00264552" w:rsidTr="00D66A40">
        <w:trPr>
          <w:trHeight w:val="240"/>
        </w:trPr>
        <w:tc>
          <w:tcPr>
            <w:tcW w:w="2160" w:type="dxa"/>
            <w:tcBorders>
              <w:top w:val="nil"/>
              <w:left w:val="single" w:sz="4" w:space="0" w:color="000000"/>
              <w:bottom w:val="single" w:sz="4" w:space="0" w:color="000000"/>
              <w:right w:val="single" w:sz="4" w:space="0" w:color="000000"/>
            </w:tcBorders>
            <w:shd w:val="clear" w:color="auto" w:fill="auto"/>
            <w:hideMark/>
          </w:tcPr>
          <w:p w:rsidR="002375F3" w:rsidRPr="00264552" w:rsidRDefault="002375F3" w:rsidP="00D66A40">
            <w:pPr>
              <w:spacing w:after="0" w:line="240" w:lineRule="auto"/>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Belastingontvangsten IX</w:t>
            </w:r>
          </w:p>
        </w:tc>
        <w:tc>
          <w:tcPr>
            <w:tcW w:w="1540" w:type="dxa"/>
            <w:tcBorders>
              <w:top w:val="single" w:sz="4" w:space="0" w:color="000000"/>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114.549.910</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732.077</w:t>
            </w:r>
          </w:p>
        </w:tc>
        <w:tc>
          <w:tcPr>
            <w:tcW w:w="1500" w:type="dxa"/>
            <w:tcBorders>
              <w:top w:val="single" w:sz="4" w:space="0" w:color="000000"/>
              <w:left w:val="nil"/>
              <w:bottom w:val="single" w:sz="4" w:space="0" w:color="000000"/>
              <w:right w:val="single" w:sz="4" w:space="0" w:color="000000"/>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115.281.987</w:t>
            </w:r>
          </w:p>
        </w:tc>
        <w:tc>
          <w:tcPr>
            <w:tcW w:w="1380" w:type="dxa"/>
            <w:tcBorders>
              <w:top w:val="nil"/>
              <w:left w:val="nil"/>
              <w:bottom w:val="single" w:sz="4" w:space="0" w:color="000000"/>
              <w:right w:val="nil"/>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-68.927</w:t>
            </w:r>
          </w:p>
        </w:tc>
        <w:tc>
          <w:tcPr>
            <w:tcW w:w="1600" w:type="dxa"/>
            <w:tcBorders>
              <w:top w:val="nil"/>
              <w:left w:val="single" w:sz="4" w:space="0" w:color="auto"/>
              <w:bottom w:val="single" w:sz="4" w:space="0" w:color="auto"/>
              <w:right w:val="single" w:sz="4" w:space="0" w:color="auto"/>
            </w:tcBorders>
            <w:shd w:val="clear" w:color="auto" w:fill="auto"/>
            <w:vAlign w:val="bottom"/>
            <w:hideMark/>
          </w:tcPr>
          <w:p w:rsidR="002375F3" w:rsidRPr="00264552" w:rsidRDefault="002375F3" w:rsidP="00D66A40">
            <w:pPr>
              <w:spacing w:after="0" w:line="240" w:lineRule="auto"/>
              <w:jc w:val="right"/>
              <w:rPr>
                <w:rFonts w:ascii="Arial" w:eastAsia="Times New Roman" w:hAnsi="Arial" w:cs="Arial"/>
                <w:color w:val="000000"/>
                <w:sz w:val="16"/>
                <w:szCs w:val="16"/>
                <w:lang w:eastAsia="nl-NL"/>
              </w:rPr>
            </w:pPr>
            <w:r w:rsidRPr="00264552">
              <w:rPr>
                <w:rFonts w:ascii="Arial" w:eastAsia="Times New Roman" w:hAnsi="Arial" w:cs="Arial"/>
                <w:color w:val="000000"/>
                <w:sz w:val="16"/>
                <w:szCs w:val="16"/>
                <w:lang w:eastAsia="nl-NL"/>
              </w:rPr>
              <w:t>115.213.060</w:t>
            </w:r>
          </w:p>
        </w:tc>
      </w:tr>
    </w:tbl>
    <w:p w:rsidR="002375F3" w:rsidRDefault="002375F3" w:rsidP="002375F3">
      <w:pPr>
        <w:spacing w:after="0" w:line="240" w:lineRule="exact"/>
        <w:rPr>
          <w:i/>
          <w:szCs w:val="18"/>
        </w:rPr>
      </w:pPr>
    </w:p>
    <w:p w:rsidR="002375F3" w:rsidRDefault="002375F3" w:rsidP="002375F3">
      <w:pPr>
        <w:rPr>
          <w:i/>
          <w:szCs w:val="18"/>
        </w:rPr>
      </w:pPr>
      <w:r>
        <w:rPr>
          <w:i/>
          <w:szCs w:val="18"/>
        </w:rPr>
        <w:br w:type="page"/>
      </w:r>
    </w:p>
    <w:p w:rsidR="002375F3" w:rsidRDefault="002375F3" w:rsidP="002375F3">
      <w:pPr>
        <w:spacing w:after="0" w:line="240" w:lineRule="exact"/>
        <w:rPr>
          <w:i/>
          <w:szCs w:val="18"/>
        </w:rPr>
      </w:pPr>
    </w:p>
    <w:p w:rsidR="002375F3" w:rsidRPr="00B47DE9" w:rsidRDefault="002375F3" w:rsidP="002375F3">
      <w:pPr>
        <w:spacing w:after="0" w:line="240" w:lineRule="exact"/>
        <w:rPr>
          <w:i/>
          <w:szCs w:val="18"/>
        </w:rPr>
      </w:pPr>
      <w:r w:rsidRPr="00B47DE9">
        <w:rPr>
          <w:i/>
          <w:szCs w:val="18"/>
        </w:rPr>
        <w:t xml:space="preserve">Belasting- en invorderingsrente </w:t>
      </w:r>
      <w:r>
        <w:rPr>
          <w:i/>
          <w:szCs w:val="18"/>
        </w:rPr>
        <w:t>(- € 90 mln.)</w:t>
      </w:r>
    </w:p>
    <w:p w:rsidR="002375F3" w:rsidRDefault="002375F3" w:rsidP="002375F3">
      <w:pPr>
        <w:spacing w:after="0" w:line="240" w:lineRule="exact"/>
        <w:rPr>
          <w:szCs w:val="18"/>
        </w:rPr>
      </w:pPr>
      <w:r w:rsidRPr="00B47DE9">
        <w:rPr>
          <w:szCs w:val="18"/>
        </w:rPr>
        <w:t xml:space="preserve">De ontvangsten uit belasting- en invorderingsrente worden met 90 mln. naar beneden bijgesteld Dit </w:t>
      </w:r>
      <w:r>
        <w:rPr>
          <w:szCs w:val="18"/>
        </w:rPr>
        <w:t>komt vooral</w:t>
      </w:r>
      <w:r w:rsidRPr="00B47DE9">
        <w:rPr>
          <w:szCs w:val="18"/>
        </w:rPr>
        <w:t xml:space="preserve"> door</w:t>
      </w:r>
      <w:r>
        <w:rPr>
          <w:szCs w:val="18"/>
        </w:rPr>
        <w:t xml:space="preserve">dat aangiften </w:t>
      </w:r>
      <w:r w:rsidRPr="00B47DE9">
        <w:rPr>
          <w:szCs w:val="18"/>
        </w:rPr>
        <w:t xml:space="preserve">sneller </w:t>
      </w:r>
      <w:r>
        <w:rPr>
          <w:szCs w:val="18"/>
        </w:rPr>
        <w:t>worden ontvangen (bijvoorbeeld door de vooraf ingevulde aangifte) en aanslagen hierdoor sneller worden opgelegd w</w:t>
      </w:r>
      <w:r w:rsidRPr="00B47DE9">
        <w:rPr>
          <w:szCs w:val="18"/>
        </w:rPr>
        <w:t>aardoor</w:t>
      </w:r>
      <w:r w:rsidRPr="00591C21">
        <w:rPr>
          <w:szCs w:val="18"/>
        </w:rPr>
        <w:t xml:space="preserve"> burgers en bedrijven minder rente hoeven te betalen dan eerder geraamd</w:t>
      </w:r>
      <w:r>
        <w:rPr>
          <w:szCs w:val="18"/>
        </w:rPr>
        <w:t xml:space="preserve">. Daarnaast is sprake van lagere renteontvangsten omdat veel bedrijven kiezen voor het betalen van een hogere voorlopige belastingaanslag, waardoor </w:t>
      </w:r>
      <w:r w:rsidRPr="00B47DE9">
        <w:rPr>
          <w:szCs w:val="18"/>
        </w:rPr>
        <w:t xml:space="preserve">bij de vaststelling van de definitieve aanslag minder rente </w:t>
      </w:r>
      <w:r>
        <w:rPr>
          <w:szCs w:val="18"/>
        </w:rPr>
        <w:t>verschuldigd is</w:t>
      </w:r>
      <w:r w:rsidRPr="00B47DE9">
        <w:rPr>
          <w:szCs w:val="18"/>
        </w:rPr>
        <w:t>.</w:t>
      </w:r>
    </w:p>
    <w:p w:rsidR="002375F3" w:rsidRDefault="002375F3" w:rsidP="002375F3">
      <w:pPr>
        <w:spacing w:after="0" w:line="240" w:lineRule="exact"/>
        <w:rPr>
          <w:i/>
          <w:szCs w:val="18"/>
        </w:rPr>
      </w:pPr>
    </w:p>
    <w:p w:rsidR="002375F3" w:rsidRPr="00B47DE9" w:rsidRDefault="002375F3" w:rsidP="002375F3">
      <w:pPr>
        <w:spacing w:after="0" w:line="240" w:lineRule="exact"/>
        <w:rPr>
          <w:i/>
          <w:szCs w:val="18"/>
        </w:rPr>
      </w:pPr>
      <w:r w:rsidRPr="00B47DE9">
        <w:rPr>
          <w:i/>
          <w:szCs w:val="18"/>
        </w:rPr>
        <w:t xml:space="preserve">Boetes en schikkingen </w:t>
      </w:r>
      <w:r>
        <w:rPr>
          <w:i/>
          <w:szCs w:val="18"/>
        </w:rPr>
        <w:t>(+ € 16 mln.)</w:t>
      </w:r>
    </w:p>
    <w:p w:rsidR="002375F3" w:rsidRPr="00B47DE9" w:rsidRDefault="002375F3" w:rsidP="002375F3">
      <w:pPr>
        <w:spacing w:after="0" w:line="240" w:lineRule="exact"/>
        <w:rPr>
          <w:szCs w:val="18"/>
        </w:rPr>
      </w:pPr>
      <w:r w:rsidRPr="00B47DE9">
        <w:rPr>
          <w:szCs w:val="18"/>
        </w:rPr>
        <w:t xml:space="preserve">De ontvangsten uit boetes en schikkingen laten een meevaller zien van 16 mln. Dit wordt met name veroorzaakt door </w:t>
      </w:r>
      <w:r>
        <w:rPr>
          <w:szCs w:val="18"/>
        </w:rPr>
        <w:t xml:space="preserve">de </w:t>
      </w:r>
      <w:r w:rsidRPr="00B47DE9">
        <w:rPr>
          <w:szCs w:val="18"/>
        </w:rPr>
        <w:t xml:space="preserve">hogere boetetarieven binnen de </w:t>
      </w:r>
      <w:r>
        <w:rPr>
          <w:szCs w:val="18"/>
        </w:rPr>
        <w:t>motor- en rijtuigenbelasting</w:t>
      </w:r>
      <w:r w:rsidRPr="00B47DE9">
        <w:rPr>
          <w:szCs w:val="18"/>
        </w:rPr>
        <w:t>.</w:t>
      </w:r>
    </w:p>
    <w:p w:rsidR="002375F3" w:rsidRDefault="002375F3" w:rsidP="002375F3">
      <w:pPr>
        <w:spacing w:after="0" w:line="240" w:lineRule="exact"/>
        <w:rPr>
          <w:rStyle w:val="Subtielebenadrukking"/>
          <w:szCs w:val="18"/>
        </w:rPr>
      </w:pPr>
    </w:p>
    <w:p w:rsidR="002375F3" w:rsidRPr="001C256E" w:rsidRDefault="002375F3" w:rsidP="002375F3">
      <w:pPr>
        <w:spacing w:after="0" w:line="240" w:lineRule="exact"/>
        <w:rPr>
          <w:rStyle w:val="Subtielebenadrukking"/>
          <w:szCs w:val="18"/>
        </w:rPr>
      </w:pPr>
      <w:r w:rsidRPr="001C256E">
        <w:rPr>
          <w:rStyle w:val="Subtielebenadrukking"/>
          <w:szCs w:val="18"/>
        </w:rPr>
        <w:t xml:space="preserve">Desaldering kosten vervolging </w:t>
      </w:r>
      <w:r>
        <w:rPr>
          <w:rStyle w:val="Subtielebenadrukking"/>
          <w:szCs w:val="18"/>
        </w:rPr>
        <w:t>(- € 12 mln.)</w:t>
      </w:r>
    </w:p>
    <w:p w:rsidR="002375F3" w:rsidRPr="00B47DE9" w:rsidRDefault="002375F3" w:rsidP="002375F3">
      <w:pPr>
        <w:spacing w:after="0" w:line="240" w:lineRule="exact"/>
        <w:rPr>
          <w:szCs w:val="18"/>
        </w:rPr>
      </w:pPr>
      <w:r w:rsidRPr="00B47DE9">
        <w:rPr>
          <w:szCs w:val="18"/>
        </w:rPr>
        <w:t>Als gevolg van tegenvalle</w:t>
      </w:r>
      <w:r>
        <w:rPr>
          <w:szCs w:val="18"/>
        </w:rPr>
        <w:t>nde</w:t>
      </w:r>
      <w:r w:rsidRPr="00B47DE9">
        <w:rPr>
          <w:szCs w:val="18"/>
        </w:rPr>
        <w:t xml:space="preserve"> ontvangsten uit kosten vervolging </w:t>
      </w:r>
      <w:r>
        <w:rPr>
          <w:szCs w:val="18"/>
        </w:rPr>
        <w:t xml:space="preserve">over heel 2015 </w:t>
      </w:r>
      <w:r w:rsidRPr="00B47DE9">
        <w:rPr>
          <w:szCs w:val="18"/>
        </w:rPr>
        <w:t>word</w:t>
      </w:r>
      <w:r>
        <w:rPr>
          <w:szCs w:val="18"/>
        </w:rPr>
        <w:t xml:space="preserve">t de raming van </w:t>
      </w:r>
      <w:r w:rsidRPr="00B47DE9">
        <w:rPr>
          <w:szCs w:val="18"/>
        </w:rPr>
        <w:t xml:space="preserve">de ontvangsten verlaagd met 12 mln. evenals de </w:t>
      </w:r>
      <w:r>
        <w:rPr>
          <w:szCs w:val="18"/>
        </w:rPr>
        <w:t>apparaatsuitgaven</w:t>
      </w:r>
      <w:r w:rsidRPr="00B47DE9">
        <w:rPr>
          <w:szCs w:val="18"/>
        </w:rPr>
        <w:t xml:space="preserve">. </w:t>
      </w:r>
    </w:p>
    <w:p w:rsidR="002375F3" w:rsidRPr="00881C6F" w:rsidRDefault="002375F3" w:rsidP="002375F3">
      <w:pPr>
        <w:spacing w:after="0" w:line="240" w:lineRule="exact"/>
        <w:rPr>
          <w:rFonts w:asciiTheme="minorHAnsi" w:hAnsiTheme="minorHAnsi"/>
          <w:b/>
          <w:szCs w:val="18"/>
        </w:rPr>
      </w:pPr>
      <w:r w:rsidRPr="00881C6F">
        <w:rPr>
          <w:rFonts w:asciiTheme="minorHAnsi" w:hAnsiTheme="minorHAnsi"/>
          <w:b/>
          <w:szCs w:val="18"/>
        </w:rPr>
        <w:br w:type="page"/>
      </w:r>
    </w:p>
    <w:p w:rsidR="002375F3" w:rsidRPr="00E72669" w:rsidRDefault="002375F3" w:rsidP="002375F3">
      <w:pPr>
        <w:spacing w:after="0" w:line="240" w:lineRule="exact"/>
        <w:rPr>
          <w:rFonts w:asciiTheme="minorHAnsi" w:hAnsiTheme="minorHAnsi"/>
          <w:b/>
          <w:szCs w:val="18"/>
        </w:rPr>
      </w:pPr>
      <w:r w:rsidRPr="00881C6F">
        <w:rPr>
          <w:rFonts w:asciiTheme="minorHAnsi" w:hAnsiTheme="minorHAnsi"/>
          <w:b/>
          <w:szCs w:val="18"/>
        </w:rPr>
        <w:lastRenderedPageBreak/>
        <w:t>Artikel 2</w:t>
      </w:r>
      <w:r>
        <w:rPr>
          <w:rFonts w:asciiTheme="minorHAnsi" w:hAnsiTheme="minorHAnsi"/>
          <w:b/>
          <w:szCs w:val="18"/>
        </w:rPr>
        <w:t xml:space="preserve"> </w:t>
      </w:r>
      <w:r w:rsidRPr="004B3999">
        <w:rPr>
          <w:b/>
        </w:rPr>
        <w:t>Financiële Markten</w:t>
      </w:r>
    </w:p>
    <w:tbl>
      <w:tblPr>
        <w:tblW w:w="8440" w:type="dxa"/>
        <w:tblInd w:w="70" w:type="dxa"/>
        <w:tblCellMar>
          <w:left w:w="70" w:type="dxa"/>
          <w:right w:w="70" w:type="dxa"/>
        </w:tblCellMar>
        <w:tblLook w:val="04A0" w:firstRow="1" w:lastRow="0" w:firstColumn="1" w:lastColumn="0" w:noHBand="0" w:noVBand="1"/>
      </w:tblPr>
      <w:tblGrid>
        <w:gridCol w:w="2481"/>
        <w:gridCol w:w="2251"/>
        <w:gridCol w:w="1376"/>
        <w:gridCol w:w="1136"/>
        <w:gridCol w:w="1196"/>
      </w:tblGrid>
      <w:tr w:rsidR="002375F3" w:rsidRPr="0051254E" w:rsidTr="00D66A40">
        <w:trPr>
          <w:trHeight w:val="390"/>
        </w:trPr>
        <w:tc>
          <w:tcPr>
            <w:tcW w:w="4732" w:type="dxa"/>
            <w:gridSpan w:val="2"/>
            <w:tcBorders>
              <w:top w:val="nil"/>
              <w:left w:val="nil"/>
              <w:bottom w:val="nil"/>
              <w:right w:val="nil"/>
            </w:tcBorders>
            <w:shd w:val="clear" w:color="000000" w:fill="FFFFFF"/>
            <w:vAlign w:val="bottom"/>
            <w:hideMark/>
          </w:tcPr>
          <w:p w:rsidR="002375F3" w:rsidRPr="0051254E" w:rsidRDefault="002375F3" w:rsidP="00D66A40">
            <w:pPr>
              <w:spacing w:after="0" w:line="240" w:lineRule="auto"/>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Budgettaire gevolgen van beleid  - beleidsartikel 2 Financiële Markten</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vAlign w:val="bottom"/>
            <w:hideMark/>
          </w:tcPr>
          <w:p w:rsidR="002375F3" w:rsidRPr="0051254E" w:rsidRDefault="002375F3" w:rsidP="00D66A40">
            <w:pPr>
              <w:spacing w:after="0" w:line="240" w:lineRule="auto"/>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Bedragen x € 1.000</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170"/>
        </w:trPr>
        <w:tc>
          <w:tcPr>
            <w:tcW w:w="2481" w:type="dxa"/>
            <w:tcBorders>
              <w:top w:val="single" w:sz="4" w:space="0" w:color="auto"/>
              <w:left w:val="nil"/>
              <w:bottom w:val="single" w:sz="8" w:space="0" w:color="auto"/>
              <w:right w:val="nil"/>
            </w:tcBorders>
            <w:shd w:val="clear" w:color="000000" w:fill="FFFFFF"/>
            <w:vAlign w:val="center"/>
            <w:hideMark/>
          </w:tcPr>
          <w:p w:rsidR="002375F3" w:rsidRPr="0051254E" w:rsidRDefault="002375F3" w:rsidP="00D66A40">
            <w:pPr>
              <w:spacing w:after="0" w:line="240" w:lineRule="auto"/>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 </w:t>
            </w:r>
          </w:p>
        </w:tc>
        <w:tc>
          <w:tcPr>
            <w:tcW w:w="2251" w:type="dxa"/>
            <w:tcBorders>
              <w:top w:val="single" w:sz="4" w:space="0" w:color="auto"/>
              <w:left w:val="nil"/>
              <w:bottom w:val="single" w:sz="8" w:space="0" w:color="auto"/>
              <w:right w:val="nil"/>
            </w:tcBorders>
            <w:shd w:val="clear" w:color="000000" w:fill="FFFFFF"/>
            <w:hideMark/>
          </w:tcPr>
          <w:p w:rsidR="002375F3" w:rsidRPr="0051254E" w:rsidRDefault="002375F3" w:rsidP="00D66A40">
            <w:pPr>
              <w:spacing w:after="0" w:line="240" w:lineRule="auto"/>
              <w:jc w:val="center"/>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Stand</w:t>
            </w:r>
            <w:r w:rsidRPr="0051254E">
              <w:rPr>
                <w:rFonts w:ascii="Arial" w:eastAsia="Times New Roman" w:hAnsi="Arial" w:cs="Arial"/>
                <w:b/>
                <w:bCs/>
                <w:sz w:val="12"/>
                <w:szCs w:val="12"/>
                <w:lang w:eastAsia="nl-NL"/>
              </w:rPr>
              <w:br/>
              <w:t>vastgestelde</w:t>
            </w:r>
            <w:r w:rsidRPr="0051254E">
              <w:rPr>
                <w:rFonts w:ascii="Arial" w:eastAsia="Times New Roman" w:hAnsi="Arial" w:cs="Arial"/>
                <w:b/>
                <w:bCs/>
                <w:sz w:val="12"/>
                <w:szCs w:val="12"/>
                <w:lang w:eastAsia="nl-NL"/>
              </w:rPr>
              <w:br/>
              <w:t>begroting (na</w:t>
            </w:r>
            <w:r w:rsidRPr="0051254E">
              <w:rPr>
                <w:rFonts w:ascii="Arial" w:eastAsia="Times New Roman" w:hAnsi="Arial" w:cs="Arial"/>
                <w:b/>
                <w:bCs/>
                <w:sz w:val="12"/>
                <w:szCs w:val="12"/>
                <w:lang w:eastAsia="nl-NL"/>
              </w:rPr>
              <w:br/>
              <w:t>Nota</w:t>
            </w:r>
            <w:r w:rsidRPr="0051254E">
              <w:rPr>
                <w:rFonts w:ascii="Arial" w:eastAsia="Times New Roman" w:hAnsi="Arial" w:cs="Arial"/>
                <w:b/>
                <w:bCs/>
                <w:sz w:val="12"/>
                <w:szCs w:val="12"/>
                <w:lang w:eastAsia="nl-NL"/>
              </w:rPr>
              <w:br/>
              <w:t>van Wijziging,</w:t>
            </w:r>
            <w:r w:rsidRPr="0051254E">
              <w:rPr>
                <w:rFonts w:ascii="Arial" w:eastAsia="Times New Roman" w:hAnsi="Arial" w:cs="Arial"/>
                <w:b/>
                <w:bCs/>
                <w:sz w:val="12"/>
                <w:szCs w:val="12"/>
                <w:lang w:eastAsia="nl-NL"/>
              </w:rPr>
              <w:br/>
              <w:t>amendementen</w:t>
            </w:r>
            <w:r w:rsidRPr="0051254E">
              <w:rPr>
                <w:rFonts w:ascii="Arial" w:eastAsia="Times New Roman" w:hAnsi="Arial" w:cs="Arial"/>
                <w:b/>
                <w:bCs/>
                <w:sz w:val="12"/>
                <w:szCs w:val="12"/>
                <w:lang w:eastAsia="nl-NL"/>
              </w:rPr>
              <w:br/>
              <w:t>en ISB) (1)</w:t>
            </w:r>
          </w:p>
        </w:tc>
        <w:tc>
          <w:tcPr>
            <w:tcW w:w="1376" w:type="dxa"/>
            <w:tcBorders>
              <w:top w:val="single" w:sz="4" w:space="0" w:color="auto"/>
              <w:left w:val="nil"/>
              <w:bottom w:val="single" w:sz="8" w:space="0" w:color="auto"/>
              <w:right w:val="nil"/>
            </w:tcBorders>
            <w:shd w:val="clear" w:color="000000" w:fill="FFFFFF"/>
            <w:hideMark/>
          </w:tcPr>
          <w:p w:rsidR="002375F3" w:rsidRPr="0051254E" w:rsidRDefault="002375F3" w:rsidP="00D66A40">
            <w:pPr>
              <w:spacing w:after="0" w:line="240" w:lineRule="auto"/>
              <w:jc w:val="center"/>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Stand 1ste suppletoire begroting (2)</w:t>
            </w:r>
          </w:p>
        </w:tc>
        <w:tc>
          <w:tcPr>
            <w:tcW w:w="1136" w:type="dxa"/>
            <w:tcBorders>
              <w:top w:val="single" w:sz="4" w:space="0" w:color="auto"/>
              <w:left w:val="nil"/>
              <w:bottom w:val="single" w:sz="8" w:space="0" w:color="auto"/>
              <w:right w:val="nil"/>
            </w:tcBorders>
            <w:shd w:val="clear" w:color="000000" w:fill="FFFFFF"/>
            <w:hideMark/>
          </w:tcPr>
          <w:p w:rsidR="002375F3" w:rsidRPr="0051254E" w:rsidRDefault="002375F3" w:rsidP="00D66A40">
            <w:pPr>
              <w:spacing w:after="0" w:line="240" w:lineRule="auto"/>
              <w:jc w:val="center"/>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Mutaties</w:t>
            </w:r>
            <w:r w:rsidRPr="0051254E">
              <w:rPr>
                <w:rFonts w:ascii="Arial" w:eastAsia="Times New Roman" w:hAnsi="Arial" w:cs="Arial"/>
                <w:b/>
                <w:bCs/>
                <w:sz w:val="12"/>
                <w:szCs w:val="12"/>
                <w:lang w:eastAsia="nl-NL"/>
              </w:rPr>
              <w:br/>
              <w:t>2e suppletoire</w:t>
            </w:r>
            <w:r w:rsidRPr="0051254E">
              <w:rPr>
                <w:rFonts w:ascii="Arial" w:eastAsia="Times New Roman" w:hAnsi="Arial" w:cs="Arial"/>
                <w:b/>
                <w:bCs/>
                <w:sz w:val="12"/>
                <w:szCs w:val="12"/>
                <w:lang w:eastAsia="nl-NL"/>
              </w:rPr>
              <w:br/>
              <w:t>begroting (3)</w:t>
            </w:r>
          </w:p>
        </w:tc>
        <w:tc>
          <w:tcPr>
            <w:tcW w:w="1196" w:type="dxa"/>
            <w:tcBorders>
              <w:top w:val="single" w:sz="4" w:space="0" w:color="auto"/>
              <w:left w:val="nil"/>
              <w:bottom w:val="single" w:sz="8" w:space="0" w:color="auto"/>
              <w:right w:val="nil"/>
            </w:tcBorders>
            <w:shd w:val="clear" w:color="000000" w:fill="FFFFFF"/>
            <w:hideMark/>
          </w:tcPr>
          <w:p w:rsidR="002375F3" w:rsidRPr="0051254E" w:rsidRDefault="002375F3" w:rsidP="00D66A40">
            <w:pPr>
              <w:spacing w:after="0" w:line="240" w:lineRule="auto"/>
              <w:jc w:val="center"/>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Stand</w:t>
            </w:r>
            <w:r w:rsidRPr="0051254E">
              <w:rPr>
                <w:rFonts w:ascii="Arial" w:eastAsia="Times New Roman" w:hAnsi="Arial" w:cs="Arial"/>
                <w:b/>
                <w:bCs/>
                <w:sz w:val="12"/>
                <w:szCs w:val="12"/>
                <w:lang w:eastAsia="nl-NL"/>
              </w:rPr>
              <w:br/>
              <w:t>2e suppletoire</w:t>
            </w:r>
            <w:r w:rsidRPr="0051254E">
              <w:rPr>
                <w:rFonts w:ascii="Arial" w:eastAsia="Times New Roman" w:hAnsi="Arial" w:cs="Arial"/>
                <w:b/>
                <w:bCs/>
                <w:sz w:val="12"/>
                <w:szCs w:val="12"/>
                <w:lang w:eastAsia="nl-NL"/>
              </w:rPr>
              <w:br/>
              <w:t>begroting</w:t>
            </w:r>
            <w:r w:rsidRPr="0051254E">
              <w:rPr>
                <w:rFonts w:ascii="Arial" w:eastAsia="Times New Roman" w:hAnsi="Arial" w:cs="Arial"/>
                <w:b/>
                <w:bCs/>
                <w:sz w:val="12"/>
                <w:szCs w:val="12"/>
                <w:lang w:eastAsia="nl-NL"/>
              </w:rPr>
              <w:br/>
              <w:t>(4)=(2+3)</w:t>
            </w:r>
          </w:p>
        </w:tc>
      </w:tr>
      <w:tr w:rsidR="002375F3" w:rsidRPr="0051254E" w:rsidTr="00D66A40">
        <w:trPr>
          <w:trHeight w:val="165"/>
        </w:trPr>
        <w:tc>
          <w:tcPr>
            <w:tcW w:w="2481" w:type="dxa"/>
            <w:tcBorders>
              <w:top w:val="nil"/>
              <w:left w:val="nil"/>
              <w:bottom w:val="nil"/>
              <w:right w:val="nil"/>
            </w:tcBorders>
            <w:shd w:val="clear" w:color="000000" w:fill="FFFFFF"/>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Verplichtingen</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21.500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-4.228.792</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14.078</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-4.214.714</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330"/>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i/>
                <w:iCs/>
                <w:color w:val="000000"/>
                <w:sz w:val="12"/>
                <w:szCs w:val="12"/>
                <w:lang w:eastAsia="nl-NL"/>
              </w:rPr>
            </w:pPr>
            <w:r>
              <w:rPr>
                <w:rFonts w:ascii="Arial" w:eastAsia="Times New Roman" w:hAnsi="Arial" w:cs="Arial"/>
                <w:i/>
                <w:iCs/>
                <w:color w:val="000000"/>
                <w:sz w:val="12"/>
                <w:szCs w:val="12"/>
                <w:lang w:eastAsia="nl-NL"/>
              </w:rPr>
              <w:t xml:space="preserve">Waarvan afboeking </w:t>
            </w:r>
            <w:r w:rsidRPr="0051254E">
              <w:rPr>
                <w:rFonts w:ascii="Arial" w:eastAsia="Times New Roman" w:hAnsi="Arial" w:cs="Arial"/>
                <w:i/>
                <w:iCs/>
                <w:color w:val="000000"/>
                <w:sz w:val="12"/>
                <w:szCs w:val="12"/>
                <w:lang w:eastAsia="nl-NL"/>
              </w:rPr>
              <w:t>garantie WAKO</w:t>
            </w:r>
          </w:p>
        </w:tc>
        <w:tc>
          <w:tcPr>
            <w:tcW w:w="2251" w:type="dxa"/>
            <w:tcBorders>
              <w:top w:val="nil"/>
              <w:left w:val="nil"/>
              <w:bottom w:val="nil"/>
              <w:right w:val="nil"/>
            </w:tcBorders>
            <w:shd w:val="clear" w:color="000000" w:fill="FFFFFF"/>
            <w:noWrap/>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hideMark/>
          </w:tcPr>
          <w:p w:rsidR="002375F3" w:rsidRPr="0051254E" w:rsidRDefault="002375F3" w:rsidP="00D66A40">
            <w:pPr>
              <w:spacing w:after="0" w:line="240" w:lineRule="auto"/>
              <w:jc w:val="right"/>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-4.253.959</w:t>
            </w:r>
          </w:p>
        </w:tc>
        <w:tc>
          <w:tcPr>
            <w:tcW w:w="1136" w:type="dxa"/>
            <w:tcBorders>
              <w:top w:val="nil"/>
              <w:left w:val="nil"/>
              <w:bottom w:val="nil"/>
              <w:right w:val="nil"/>
            </w:tcBorders>
            <w:shd w:val="clear" w:color="auto" w:fill="auto"/>
            <w:noWrap/>
            <w:hideMark/>
          </w:tcPr>
          <w:p w:rsidR="002375F3" w:rsidRPr="0051254E" w:rsidRDefault="002375F3" w:rsidP="00D66A40">
            <w:pPr>
              <w:spacing w:after="0" w:line="240" w:lineRule="auto"/>
              <w:jc w:val="right"/>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0</w:t>
            </w:r>
          </w:p>
        </w:tc>
        <w:tc>
          <w:tcPr>
            <w:tcW w:w="1196" w:type="dxa"/>
            <w:tcBorders>
              <w:top w:val="nil"/>
              <w:left w:val="nil"/>
              <w:bottom w:val="nil"/>
              <w:right w:val="nil"/>
            </w:tcBorders>
            <w:shd w:val="clear" w:color="auto" w:fill="auto"/>
            <w:noWrap/>
            <w:hideMark/>
          </w:tcPr>
          <w:p w:rsidR="002375F3" w:rsidRPr="0051254E" w:rsidRDefault="002375F3" w:rsidP="00D66A40">
            <w:pPr>
              <w:spacing w:after="0" w:line="240" w:lineRule="auto"/>
              <w:jc w:val="right"/>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-4.253.959</w:t>
            </w:r>
          </w:p>
        </w:tc>
      </w:tr>
      <w:tr w:rsidR="002375F3" w:rsidRPr="0051254E" w:rsidTr="00D66A40">
        <w:trPr>
          <w:trHeight w:val="210"/>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i/>
                <w:iCs/>
                <w:color w:val="000000"/>
                <w:sz w:val="12"/>
                <w:szCs w:val="12"/>
                <w:lang w:eastAsia="nl-NL"/>
              </w:rPr>
            </w:pPr>
            <w:r w:rsidRPr="0051254E">
              <w:rPr>
                <w:rFonts w:ascii="Arial" w:eastAsia="Times New Roman" w:hAnsi="Arial" w:cs="Arial"/>
                <w:b/>
                <w:bCs/>
                <w:i/>
                <w:iCs/>
                <w:color w:val="000000"/>
                <w:sz w:val="12"/>
                <w:szCs w:val="12"/>
                <w:lang w:eastAsia="nl-NL"/>
              </w:rPr>
              <w:t>Uitgaven</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21.500</w:t>
            </w:r>
          </w:p>
        </w:tc>
        <w:tc>
          <w:tcPr>
            <w:tcW w:w="137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25.307</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-3.922</w:t>
            </w:r>
          </w:p>
        </w:tc>
        <w:tc>
          <w:tcPr>
            <w:tcW w:w="119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21.385</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i/>
                <w:iCs/>
                <w:color w:val="000000"/>
                <w:sz w:val="12"/>
                <w:szCs w:val="12"/>
                <w:lang w:eastAsia="nl-NL"/>
              </w:rPr>
            </w:pPr>
            <w:r w:rsidRPr="0051254E">
              <w:rPr>
                <w:rFonts w:ascii="Arial" w:eastAsia="Times New Roman" w:hAnsi="Arial" w:cs="Arial"/>
                <w:b/>
                <w:bCs/>
                <w:i/>
                <w:iCs/>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i/>
                <w:iCs/>
                <w:color w:val="000000"/>
                <w:sz w:val="12"/>
                <w:szCs w:val="12"/>
                <w:lang w:eastAsia="nl-NL"/>
              </w:rPr>
            </w:pPr>
            <w:r w:rsidRPr="0051254E">
              <w:rPr>
                <w:rFonts w:ascii="Arial" w:eastAsia="Times New Roman" w:hAnsi="Arial" w:cs="Arial"/>
                <w:i/>
                <w:iCs/>
                <w:color w:val="000000"/>
                <w:sz w:val="12"/>
                <w:szCs w:val="12"/>
                <w:lang w:eastAsia="nl-NL"/>
              </w:rPr>
              <w:t>waarvan juridisch verplicht</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60%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60%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Pr>
                <w:rFonts w:ascii="Arial" w:eastAsia="Times New Roman" w:hAnsi="Arial" w:cs="Arial"/>
                <w:sz w:val="12"/>
                <w:szCs w:val="12"/>
                <w:lang w:eastAsia="nl-NL"/>
              </w:rPr>
              <w:t>83</w:t>
            </w:r>
            <w:r w:rsidRPr="0051254E">
              <w:rPr>
                <w:rFonts w:ascii="Arial" w:eastAsia="Times New Roman" w:hAnsi="Arial" w:cs="Arial"/>
                <w:sz w:val="12"/>
                <w:szCs w:val="12"/>
                <w:lang w:eastAsia="nl-NL"/>
              </w:rPr>
              <w:t>%</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Subsidies </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4.642</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6.755</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344</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7.099</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Vakbekwaamheid</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4.642</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6.755</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344</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7.099</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Bekostiging</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13.775</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13.775</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-4.177</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9.598</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Rechtspraak Financiële Markten</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1.250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1.250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-175</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1.075</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Muntcirculatie</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12.385</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12.385</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-3.885</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8.500</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Afname munten in circulatie</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b/>
                <w:bCs/>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Overig</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140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140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-117</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23</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Opdrachten</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270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1.964</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1.964</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Wijzer in geldzaken</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270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1.964</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1.964</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 xml:space="preserve">Bijdrage aan ZBO’s en </w:t>
            </w:r>
            <w:proofErr w:type="spellStart"/>
            <w:r w:rsidRPr="0051254E">
              <w:rPr>
                <w:rFonts w:ascii="Arial" w:eastAsia="Times New Roman" w:hAnsi="Arial" w:cs="Arial"/>
                <w:b/>
                <w:bCs/>
                <w:color w:val="000000"/>
                <w:sz w:val="12"/>
                <w:szCs w:val="12"/>
                <w:lang w:eastAsia="nl-NL"/>
              </w:rPr>
              <w:t>RWT’s</w:t>
            </w:r>
            <w:proofErr w:type="spellEnd"/>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2.413</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2.413</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-89</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2.324</w:t>
            </w:r>
          </w:p>
        </w:tc>
      </w:tr>
      <w:tr w:rsidR="002375F3" w:rsidRPr="0051254E" w:rsidTr="00D66A40">
        <w:trPr>
          <w:trHeight w:val="165"/>
        </w:trPr>
        <w:tc>
          <w:tcPr>
            <w:tcW w:w="2481" w:type="dxa"/>
            <w:tcBorders>
              <w:top w:val="nil"/>
              <w:left w:val="nil"/>
              <w:bottom w:val="nil"/>
              <w:right w:val="nil"/>
            </w:tcBorders>
            <w:shd w:val="clear" w:color="000000" w:fill="FFFFFF"/>
            <w:noWrap/>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Bijdrage BES-toezicht en FEC</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2.413</w:t>
            </w:r>
          </w:p>
        </w:tc>
        <w:tc>
          <w:tcPr>
            <w:tcW w:w="137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2.413</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-89</w:t>
            </w:r>
          </w:p>
        </w:tc>
        <w:tc>
          <w:tcPr>
            <w:tcW w:w="119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2.324</w:t>
            </w:r>
          </w:p>
        </w:tc>
      </w:tr>
      <w:tr w:rsidR="002375F3" w:rsidRPr="0051254E" w:rsidTr="00D66A40">
        <w:trPr>
          <w:trHeight w:val="165"/>
        </w:trPr>
        <w:tc>
          <w:tcPr>
            <w:tcW w:w="2481" w:type="dxa"/>
            <w:tcBorders>
              <w:top w:val="nil"/>
              <w:left w:val="nil"/>
              <w:bottom w:val="nil"/>
              <w:right w:val="nil"/>
            </w:tcBorders>
            <w:shd w:val="clear" w:color="000000" w:fill="FFFFFF"/>
            <w:noWrap/>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19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r>
      <w:tr w:rsidR="002375F3" w:rsidRPr="0051254E" w:rsidTr="00D66A40">
        <w:trPr>
          <w:trHeight w:val="330"/>
        </w:trPr>
        <w:tc>
          <w:tcPr>
            <w:tcW w:w="2481" w:type="dxa"/>
            <w:tcBorders>
              <w:top w:val="nil"/>
              <w:left w:val="nil"/>
              <w:bottom w:val="nil"/>
              <w:right w:val="nil"/>
            </w:tcBorders>
            <w:shd w:val="clear" w:color="000000" w:fill="FFFFFF"/>
            <w:vAlign w:val="bottom"/>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Bijdrage aan (</w:t>
            </w:r>
            <w:proofErr w:type="spellStart"/>
            <w:r w:rsidRPr="0051254E">
              <w:rPr>
                <w:rFonts w:ascii="Arial" w:eastAsia="Times New Roman" w:hAnsi="Arial" w:cs="Arial"/>
                <w:b/>
                <w:bCs/>
                <w:color w:val="000000"/>
                <w:sz w:val="12"/>
                <w:szCs w:val="12"/>
                <w:lang w:eastAsia="nl-NL"/>
              </w:rPr>
              <w:t>inter</w:t>
            </w:r>
            <w:proofErr w:type="spellEnd"/>
            <w:r w:rsidRPr="0051254E">
              <w:rPr>
                <w:rFonts w:ascii="Arial" w:eastAsia="Times New Roman" w:hAnsi="Arial" w:cs="Arial"/>
                <w:b/>
                <w:bCs/>
                <w:color w:val="000000"/>
                <w:sz w:val="12"/>
                <w:szCs w:val="12"/>
                <w:lang w:eastAsia="nl-NL"/>
              </w:rPr>
              <w:t>)nationale organisaties</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400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400</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400</w:t>
            </w:r>
          </w:p>
        </w:tc>
      </w:tr>
      <w:tr w:rsidR="002375F3" w:rsidRPr="0051254E" w:rsidTr="00D66A40">
        <w:trPr>
          <w:trHeight w:val="165"/>
        </w:trPr>
        <w:tc>
          <w:tcPr>
            <w:tcW w:w="2481" w:type="dxa"/>
            <w:tcBorders>
              <w:top w:val="nil"/>
              <w:left w:val="nil"/>
              <w:bottom w:val="nil"/>
              <w:right w:val="nil"/>
            </w:tcBorders>
            <w:shd w:val="clear" w:color="000000" w:fill="FFFFFF"/>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roofErr w:type="spellStart"/>
            <w:r w:rsidRPr="0051254E">
              <w:rPr>
                <w:rFonts w:ascii="Arial" w:eastAsia="Times New Roman" w:hAnsi="Arial" w:cs="Arial"/>
                <w:sz w:val="12"/>
                <w:szCs w:val="12"/>
                <w:lang w:eastAsia="nl-NL"/>
              </w:rPr>
              <w:t>Caribean</w:t>
            </w:r>
            <w:proofErr w:type="spellEnd"/>
            <w:r w:rsidRPr="0051254E">
              <w:rPr>
                <w:rFonts w:ascii="Arial" w:eastAsia="Times New Roman" w:hAnsi="Arial" w:cs="Arial"/>
                <w:sz w:val="12"/>
                <w:szCs w:val="12"/>
                <w:lang w:eastAsia="nl-NL"/>
              </w:rPr>
              <w:t xml:space="preserve"> Financial Action Taskforce</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20</w:t>
            </w:r>
          </w:p>
        </w:tc>
      </w:tr>
      <w:tr w:rsidR="002375F3" w:rsidRPr="0051254E" w:rsidTr="00D66A40">
        <w:trPr>
          <w:trHeight w:val="165"/>
        </w:trPr>
        <w:tc>
          <w:tcPr>
            <w:tcW w:w="2481" w:type="dxa"/>
            <w:tcBorders>
              <w:top w:val="nil"/>
              <w:left w:val="nil"/>
              <w:bottom w:val="nil"/>
              <w:right w:val="nil"/>
            </w:tcBorders>
            <w:shd w:val="clear" w:color="000000" w:fill="FFFFFF"/>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IASB</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380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380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380</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i/>
                <w:iCs/>
                <w:color w:val="000000"/>
                <w:sz w:val="12"/>
                <w:szCs w:val="12"/>
                <w:lang w:eastAsia="nl-NL"/>
              </w:rPr>
            </w:pPr>
            <w:r w:rsidRPr="0051254E">
              <w:rPr>
                <w:rFonts w:ascii="Arial" w:eastAsia="Times New Roman" w:hAnsi="Arial" w:cs="Arial"/>
                <w:b/>
                <w:bCs/>
                <w:i/>
                <w:iCs/>
                <w:color w:val="000000"/>
                <w:sz w:val="12"/>
                <w:szCs w:val="12"/>
                <w:lang w:eastAsia="nl-NL"/>
              </w:rPr>
              <w:t>Ontvangsten</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12.515</w:t>
            </w:r>
          </w:p>
        </w:tc>
        <w:tc>
          <w:tcPr>
            <w:tcW w:w="137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18.003</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55.924</w:t>
            </w:r>
          </w:p>
        </w:tc>
        <w:tc>
          <w:tcPr>
            <w:tcW w:w="119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73.927</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Garanties</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proofErr w:type="spellStart"/>
            <w:r w:rsidRPr="0051254E">
              <w:rPr>
                <w:rFonts w:ascii="Arial" w:eastAsia="Times New Roman" w:hAnsi="Arial" w:cs="Arial"/>
                <w:color w:val="000000"/>
                <w:sz w:val="12"/>
                <w:szCs w:val="12"/>
                <w:lang w:eastAsia="nl-NL"/>
              </w:rPr>
              <w:t>feeopbrengsten</w:t>
            </w:r>
            <w:proofErr w:type="spellEnd"/>
            <w:r w:rsidRPr="0051254E">
              <w:rPr>
                <w:rFonts w:ascii="Arial" w:eastAsia="Times New Roman" w:hAnsi="Arial" w:cs="Arial"/>
                <w:color w:val="000000"/>
                <w:sz w:val="12"/>
                <w:szCs w:val="12"/>
                <w:lang w:eastAsia="nl-NL"/>
              </w:rPr>
              <w:t xml:space="preserve"> </w:t>
            </w:r>
            <w:proofErr w:type="spellStart"/>
            <w:r w:rsidRPr="0051254E">
              <w:rPr>
                <w:rFonts w:ascii="Arial" w:eastAsia="Times New Roman" w:hAnsi="Arial" w:cs="Arial"/>
                <w:color w:val="000000"/>
                <w:sz w:val="12"/>
                <w:szCs w:val="12"/>
                <w:lang w:eastAsia="nl-NL"/>
              </w:rPr>
              <w:t>gar</w:t>
            </w:r>
            <w:proofErr w:type="spellEnd"/>
            <w:r w:rsidRPr="0051254E">
              <w:rPr>
                <w:rFonts w:ascii="Arial" w:eastAsia="Times New Roman" w:hAnsi="Arial" w:cs="Arial"/>
                <w:color w:val="000000"/>
                <w:sz w:val="12"/>
                <w:szCs w:val="12"/>
                <w:lang w:eastAsia="nl-NL"/>
              </w:rPr>
              <w:t xml:space="preserve">. </w:t>
            </w:r>
            <w:proofErr w:type="spellStart"/>
            <w:r w:rsidRPr="0051254E">
              <w:rPr>
                <w:rFonts w:ascii="Arial" w:eastAsia="Times New Roman" w:hAnsi="Arial" w:cs="Arial"/>
                <w:color w:val="000000"/>
                <w:sz w:val="12"/>
                <w:szCs w:val="12"/>
                <w:lang w:eastAsia="nl-NL"/>
              </w:rPr>
              <w:t>banc</w:t>
            </w:r>
            <w:proofErr w:type="spellEnd"/>
            <w:r w:rsidRPr="0051254E">
              <w:rPr>
                <w:rFonts w:ascii="Arial" w:eastAsia="Times New Roman" w:hAnsi="Arial" w:cs="Arial"/>
                <w:color w:val="000000"/>
                <w:sz w:val="12"/>
                <w:szCs w:val="12"/>
                <w:lang w:eastAsia="nl-NL"/>
              </w:rPr>
              <w:t>. leningen</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Leningen</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58.491</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58.491</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ontvangsten IJsland</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58.491</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58.491</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Bekostiging</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5.184</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5.184</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5.184</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ontvangsten muntwezen</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5.184</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5.184</w:t>
            </w: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0</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5.184</w:t>
            </w: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toename munten in circulatie</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b/>
                <w:bCs/>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 </w:t>
            </w:r>
          </w:p>
        </w:tc>
        <w:tc>
          <w:tcPr>
            <w:tcW w:w="2251"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sz w:val="12"/>
                <w:szCs w:val="12"/>
                <w:lang w:eastAsia="nl-NL"/>
              </w:rPr>
            </w:pPr>
          </w:p>
        </w:tc>
        <w:tc>
          <w:tcPr>
            <w:tcW w:w="113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b/>
                <w:bCs/>
                <w:sz w:val="12"/>
                <w:szCs w:val="12"/>
                <w:lang w:eastAsia="nl-NL"/>
              </w:rPr>
            </w:pPr>
          </w:p>
        </w:tc>
      </w:tr>
      <w:tr w:rsidR="002375F3" w:rsidRPr="0051254E" w:rsidTr="00D66A40">
        <w:trPr>
          <w:trHeight w:val="165"/>
        </w:trPr>
        <w:tc>
          <w:tcPr>
            <w:tcW w:w="2481" w:type="dxa"/>
            <w:tcBorders>
              <w:top w:val="nil"/>
              <w:left w:val="nil"/>
              <w:bottom w:val="nil"/>
              <w:right w:val="nil"/>
            </w:tcBorders>
            <w:shd w:val="clear" w:color="000000" w:fill="FFFFFF"/>
            <w:hideMark/>
          </w:tcPr>
          <w:p w:rsidR="002375F3" w:rsidRPr="0051254E" w:rsidRDefault="002375F3" w:rsidP="00D66A40">
            <w:pPr>
              <w:spacing w:after="0" w:line="240" w:lineRule="auto"/>
              <w:rPr>
                <w:rFonts w:ascii="Arial" w:eastAsia="Times New Roman" w:hAnsi="Arial" w:cs="Arial"/>
                <w:b/>
                <w:bCs/>
                <w:color w:val="000000"/>
                <w:sz w:val="12"/>
                <w:szCs w:val="12"/>
                <w:lang w:eastAsia="nl-NL"/>
              </w:rPr>
            </w:pPr>
            <w:r w:rsidRPr="0051254E">
              <w:rPr>
                <w:rFonts w:ascii="Arial" w:eastAsia="Times New Roman" w:hAnsi="Arial" w:cs="Arial"/>
                <w:b/>
                <w:bCs/>
                <w:color w:val="000000"/>
                <w:sz w:val="12"/>
                <w:szCs w:val="12"/>
                <w:lang w:eastAsia="nl-NL"/>
              </w:rPr>
              <w:t>Overig</w:t>
            </w:r>
          </w:p>
        </w:tc>
        <w:tc>
          <w:tcPr>
            <w:tcW w:w="2251"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7.331</w:t>
            </w:r>
          </w:p>
        </w:tc>
        <w:tc>
          <w:tcPr>
            <w:tcW w:w="137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12.819</w:t>
            </w:r>
          </w:p>
        </w:tc>
        <w:tc>
          <w:tcPr>
            <w:tcW w:w="1136" w:type="dxa"/>
            <w:tcBorders>
              <w:top w:val="nil"/>
              <w:left w:val="nil"/>
              <w:bottom w:val="nil"/>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-2.567</w:t>
            </w:r>
          </w:p>
        </w:tc>
        <w:tc>
          <w:tcPr>
            <w:tcW w:w="1196" w:type="dxa"/>
            <w:tcBorders>
              <w:top w:val="nil"/>
              <w:left w:val="nil"/>
              <w:bottom w:val="nil"/>
              <w:right w:val="nil"/>
            </w:tcBorders>
            <w:shd w:val="clear" w:color="auto" w:fill="auto"/>
            <w:noWrap/>
            <w:vAlign w:val="bottom"/>
            <w:hideMark/>
          </w:tcPr>
          <w:p w:rsidR="002375F3" w:rsidRPr="0051254E" w:rsidRDefault="002375F3" w:rsidP="00D66A40">
            <w:pPr>
              <w:spacing w:after="0" w:line="240" w:lineRule="auto"/>
              <w:jc w:val="right"/>
              <w:rPr>
                <w:rFonts w:ascii="Arial" w:eastAsia="Times New Roman" w:hAnsi="Arial" w:cs="Arial"/>
                <w:b/>
                <w:bCs/>
                <w:sz w:val="12"/>
                <w:szCs w:val="12"/>
                <w:lang w:eastAsia="nl-NL"/>
              </w:rPr>
            </w:pPr>
            <w:r w:rsidRPr="0051254E">
              <w:rPr>
                <w:rFonts w:ascii="Arial" w:eastAsia="Times New Roman" w:hAnsi="Arial" w:cs="Arial"/>
                <w:b/>
                <w:bCs/>
                <w:sz w:val="12"/>
                <w:szCs w:val="12"/>
                <w:lang w:eastAsia="nl-NL"/>
              </w:rPr>
              <w:t>10.252</w:t>
            </w:r>
          </w:p>
        </w:tc>
      </w:tr>
      <w:tr w:rsidR="002375F3" w:rsidRPr="0051254E" w:rsidTr="00D66A40">
        <w:trPr>
          <w:trHeight w:val="180"/>
        </w:trPr>
        <w:tc>
          <w:tcPr>
            <w:tcW w:w="2481" w:type="dxa"/>
            <w:tcBorders>
              <w:top w:val="nil"/>
              <w:left w:val="nil"/>
              <w:bottom w:val="single" w:sz="8" w:space="0" w:color="auto"/>
              <w:right w:val="nil"/>
            </w:tcBorders>
            <w:shd w:val="clear" w:color="000000" w:fill="FFFFFF"/>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2251" w:type="dxa"/>
            <w:tcBorders>
              <w:top w:val="nil"/>
              <w:left w:val="nil"/>
              <w:bottom w:val="single" w:sz="8" w:space="0" w:color="auto"/>
              <w:right w:val="nil"/>
            </w:tcBorders>
            <w:shd w:val="clear" w:color="000000" w:fill="FFFFFF"/>
            <w:noWrap/>
            <w:vAlign w:val="bottom"/>
            <w:hideMark/>
          </w:tcPr>
          <w:p w:rsidR="002375F3" w:rsidRPr="0051254E" w:rsidRDefault="002375F3" w:rsidP="00D66A40">
            <w:pPr>
              <w:spacing w:after="0" w:line="240" w:lineRule="auto"/>
              <w:jc w:val="right"/>
              <w:rPr>
                <w:rFonts w:ascii="Arial" w:eastAsia="Times New Roman" w:hAnsi="Arial" w:cs="Arial"/>
                <w:sz w:val="12"/>
                <w:szCs w:val="12"/>
                <w:lang w:eastAsia="nl-NL"/>
              </w:rPr>
            </w:pPr>
            <w:r w:rsidRPr="0051254E">
              <w:rPr>
                <w:rFonts w:ascii="Arial" w:eastAsia="Times New Roman" w:hAnsi="Arial" w:cs="Arial"/>
                <w:sz w:val="12"/>
                <w:szCs w:val="12"/>
                <w:lang w:eastAsia="nl-NL"/>
              </w:rPr>
              <w:t> </w:t>
            </w:r>
          </w:p>
        </w:tc>
        <w:tc>
          <w:tcPr>
            <w:tcW w:w="1376" w:type="dxa"/>
            <w:tcBorders>
              <w:top w:val="nil"/>
              <w:left w:val="nil"/>
              <w:bottom w:val="single" w:sz="8" w:space="0" w:color="auto"/>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1136" w:type="dxa"/>
            <w:tcBorders>
              <w:top w:val="nil"/>
              <w:left w:val="nil"/>
              <w:bottom w:val="single" w:sz="8" w:space="0" w:color="auto"/>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c>
          <w:tcPr>
            <w:tcW w:w="1196" w:type="dxa"/>
            <w:tcBorders>
              <w:top w:val="nil"/>
              <w:left w:val="nil"/>
              <w:bottom w:val="single" w:sz="8" w:space="0" w:color="auto"/>
              <w:right w:val="nil"/>
            </w:tcBorders>
            <w:shd w:val="clear" w:color="auto" w:fill="auto"/>
            <w:noWrap/>
            <w:vAlign w:val="bottom"/>
            <w:hideMark/>
          </w:tcPr>
          <w:p w:rsidR="002375F3" w:rsidRPr="0051254E" w:rsidRDefault="002375F3" w:rsidP="00D66A40">
            <w:pPr>
              <w:spacing w:after="0" w:line="240" w:lineRule="auto"/>
              <w:rPr>
                <w:rFonts w:ascii="Arial" w:eastAsia="Times New Roman" w:hAnsi="Arial" w:cs="Arial"/>
                <w:color w:val="000000"/>
                <w:sz w:val="12"/>
                <w:szCs w:val="12"/>
                <w:lang w:eastAsia="nl-NL"/>
              </w:rPr>
            </w:pPr>
            <w:r w:rsidRPr="0051254E">
              <w:rPr>
                <w:rFonts w:ascii="Arial" w:eastAsia="Times New Roman" w:hAnsi="Arial" w:cs="Arial"/>
                <w:color w:val="000000"/>
                <w:sz w:val="12"/>
                <w:szCs w:val="12"/>
                <w:lang w:eastAsia="nl-NL"/>
              </w:rPr>
              <w:t> </w:t>
            </w:r>
          </w:p>
        </w:tc>
      </w:tr>
    </w:tbl>
    <w:p w:rsidR="002375F3" w:rsidRDefault="002375F3" w:rsidP="002375F3">
      <w:pPr>
        <w:rPr>
          <w:rFonts w:asciiTheme="minorHAnsi" w:hAnsiTheme="minorHAnsi"/>
          <w:i/>
          <w:szCs w:val="18"/>
        </w:rPr>
      </w:pPr>
    </w:p>
    <w:p w:rsidR="002375F3" w:rsidRPr="00DC5291" w:rsidRDefault="002375F3" w:rsidP="002375F3">
      <w:pPr>
        <w:spacing w:after="0" w:line="240" w:lineRule="exact"/>
        <w:rPr>
          <w:rFonts w:asciiTheme="minorHAnsi" w:hAnsiTheme="minorHAnsi"/>
          <w:b/>
          <w:szCs w:val="18"/>
        </w:rPr>
      </w:pPr>
      <w:r w:rsidRPr="00DC5291">
        <w:rPr>
          <w:rFonts w:asciiTheme="minorHAnsi" w:hAnsiTheme="minorHAnsi"/>
          <w:b/>
          <w:szCs w:val="18"/>
        </w:rPr>
        <w:t>Toelichting</w:t>
      </w:r>
    </w:p>
    <w:p w:rsidR="002375F3" w:rsidRDefault="002375F3" w:rsidP="002375F3">
      <w:pPr>
        <w:spacing w:after="0" w:line="240" w:lineRule="exact"/>
        <w:rPr>
          <w:rFonts w:asciiTheme="minorHAnsi" w:hAnsiTheme="minorHAnsi"/>
          <w:b/>
          <w:i/>
          <w:szCs w:val="18"/>
        </w:rPr>
      </w:pPr>
    </w:p>
    <w:p w:rsidR="002375F3" w:rsidRPr="00DC5291" w:rsidRDefault="002375F3" w:rsidP="002375F3">
      <w:pPr>
        <w:spacing w:after="0" w:line="240" w:lineRule="exact"/>
        <w:rPr>
          <w:b/>
          <w:bCs/>
          <w:iCs/>
        </w:rPr>
      </w:pPr>
      <w:r>
        <w:rPr>
          <w:b/>
          <w:bCs/>
          <w:iCs/>
        </w:rPr>
        <w:t>Verplichting (+ € 14,</w:t>
      </w:r>
      <w:r w:rsidRPr="00DC5291">
        <w:rPr>
          <w:b/>
          <w:bCs/>
          <w:iCs/>
        </w:rPr>
        <w:t>1 mln.)</w:t>
      </w:r>
    </w:p>
    <w:p w:rsidR="002375F3" w:rsidRPr="00824322" w:rsidRDefault="002375F3" w:rsidP="002375F3">
      <w:pPr>
        <w:spacing w:after="0" w:line="240" w:lineRule="exact"/>
        <w:rPr>
          <w:iCs/>
        </w:rPr>
      </w:pPr>
      <w:r w:rsidRPr="00824322">
        <w:rPr>
          <w:iCs/>
        </w:rPr>
        <w:t>De verplichtingen zijn vooral hoger bijgesteld door een verhoging van de kredietfaciliteit van AFM.</w:t>
      </w:r>
    </w:p>
    <w:p w:rsidR="002375F3" w:rsidRDefault="002375F3" w:rsidP="002375F3">
      <w:pPr>
        <w:spacing w:after="0" w:line="240" w:lineRule="exact"/>
        <w:rPr>
          <w:rFonts w:asciiTheme="minorHAnsi" w:hAnsiTheme="minorHAnsi"/>
          <w:b/>
          <w:i/>
          <w:szCs w:val="18"/>
        </w:rPr>
      </w:pPr>
    </w:p>
    <w:p w:rsidR="002375F3" w:rsidRPr="00DC5291" w:rsidRDefault="002375F3" w:rsidP="002375F3">
      <w:pPr>
        <w:spacing w:after="0" w:line="240" w:lineRule="exact"/>
        <w:rPr>
          <w:rFonts w:asciiTheme="minorHAnsi" w:hAnsiTheme="minorHAnsi"/>
          <w:b/>
          <w:szCs w:val="18"/>
        </w:rPr>
      </w:pPr>
      <w:r w:rsidRPr="00DC5291">
        <w:rPr>
          <w:rFonts w:asciiTheme="minorHAnsi" w:hAnsiTheme="minorHAnsi"/>
          <w:b/>
          <w:szCs w:val="18"/>
        </w:rPr>
        <w:t>Uitgaven (- € 3,9 mln.)</w:t>
      </w:r>
    </w:p>
    <w:p w:rsidR="002375F3" w:rsidRDefault="002375F3" w:rsidP="002375F3">
      <w:pPr>
        <w:spacing w:after="0" w:line="240" w:lineRule="exact"/>
        <w:rPr>
          <w:rFonts w:asciiTheme="minorHAnsi" w:hAnsiTheme="minorHAnsi"/>
          <w:szCs w:val="18"/>
        </w:rPr>
      </w:pPr>
      <w:r>
        <w:rPr>
          <w:rFonts w:asciiTheme="minorHAnsi" w:hAnsiTheme="minorHAnsi"/>
          <w:i/>
          <w:szCs w:val="18"/>
        </w:rPr>
        <w:t>Vakbekwaamheid (+ € 0,3 mln.)</w:t>
      </w:r>
      <w:r w:rsidRPr="00881C6F">
        <w:rPr>
          <w:rFonts w:asciiTheme="minorHAnsi" w:hAnsiTheme="minorHAnsi"/>
          <w: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p>
    <w:p w:rsidR="002375F3" w:rsidRDefault="002375F3" w:rsidP="002375F3">
      <w:pPr>
        <w:spacing w:after="0" w:line="240" w:lineRule="exact"/>
        <w:rPr>
          <w:rFonts w:asciiTheme="minorHAnsi" w:hAnsiTheme="minorHAnsi"/>
          <w:szCs w:val="18"/>
        </w:rPr>
      </w:pPr>
      <w:r>
        <w:rPr>
          <w:rFonts w:asciiTheme="minorHAnsi" w:hAnsiTheme="minorHAnsi"/>
          <w:szCs w:val="18"/>
        </w:rPr>
        <w:t xml:space="preserve">De </w:t>
      </w:r>
      <w:r w:rsidRPr="00881C6F">
        <w:rPr>
          <w:rFonts w:asciiTheme="minorHAnsi" w:hAnsiTheme="minorHAnsi"/>
          <w:szCs w:val="18"/>
        </w:rPr>
        <w:t xml:space="preserve">uitvoeringskosten van </w:t>
      </w:r>
      <w:r>
        <w:rPr>
          <w:rFonts w:asciiTheme="minorHAnsi" w:hAnsiTheme="minorHAnsi"/>
          <w:szCs w:val="18"/>
        </w:rPr>
        <w:t xml:space="preserve">DUO komen </w:t>
      </w:r>
      <w:r w:rsidRPr="00881C6F">
        <w:rPr>
          <w:rFonts w:asciiTheme="minorHAnsi" w:hAnsiTheme="minorHAnsi"/>
          <w:szCs w:val="18"/>
        </w:rPr>
        <w:t>€</w:t>
      </w:r>
      <w:r>
        <w:rPr>
          <w:rFonts w:asciiTheme="minorHAnsi" w:hAnsiTheme="minorHAnsi"/>
          <w:szCs w:val="18"/>
        </w:rPr>
        <w:t xml:space="preserve"> </w:t>
      </w:r>
      <w:r w:rsidRPr="00881C6F">
        <w:rPr>
          <w:rFonts w:asciiTheme="minorHAnsi" w:hAnsiTheme="minorHAnsi"/>
          <w:szCs w:val="18"/>
        </w:rPr>
        <w:t>0,3 mln. hoger uit dan het overeengekomen budget van</w:t>
      </w:r>
    </w:p>
    <w:p w:rsidR="002375F3" w:rsidRPr="00881C6F" w:rsidRDefault="002375F3" w:rsidP="002375F3">
      <w:pPr>
        <w:spacing w:after="0" w:line="240" w:lineRule="exact"/>
        <w:rPr>
          <w:rFonts w:asciiTheme="minorHAnsi" w:hAnsiTheme="minorHAnsi"/>
          <w:i/>
          <w:szCs w:val="18"/>
        </w:rPr>
      </w:pPr>
      <w:r w:rsidRPr="00881C6F">
        <w:rPr>
          <w:rFonts w:asciiTheme="minorHAnsi" w:hAnsiTheme="minorHAnsi"/>
          <w:szCs w:val="18"/>
        </w:rPr>
        <w:t>€ 4,3 mln. Dit wordt onder meer veroorzaakt doordat er meer uren benodigd zijn voor het functioneel beheer van de examenafname applicatie JUNO. Voorts moesten bij het diplomaproces extra uitzendkrachten worden ingezet om 35.000 extra diploma’s te printen naar aanleiding van de aanpassingen van de examenafname applicatie JUNO eind juli.  </w:t>
      </w:r>
    </w:p>
    <w:p w:rsidR="002375F3" w:rsidRDefault="002375F3" w:rsidP="002375F3">
      <w:pPr>
        <w:spacing w:after="0" w:line="240" w:lineRule="exact"/>
        <w:rPr>
          <w:rFonts w:asciiTheme="minorHAnsi" w:hAnsiTheme="minorHAnsi"/>
          <w:i/>
          <w:szCs w:val="18"/>
        </w:rPr>
      </w:pPr>
    </w:p>
    <w:p w:rsidR="002375F3" w:rsidRDefault="002375F3" w:rsidP="002375F3">
      <w:pPr>
        <w:spacing w:after="0" w:line="240" w:lineRule="exact"/>
        <w:rPr>
          <w:rFonts w:asciiTheme="minorHAnsi" w:hAnsiTheme="minorHAnsi"/>
          <w:i/>
          <w:szCs w:val="18"/>
        </w:rPr>
      </w:pPr>
      <w:r w:rsidRPr="00881C6F">
        <w:rPr>
          <w:rFonts w:asciiTheme="minorHAnsi" w:hAnsiTheme="minorHAnsi"/>
          <w:i/>
          <w:szCs w:val="18"/>
        </w:rPr>
        <w:t>Rechtspraak financiële markten</w:t>
      </w:r>
      <w:r>
        <w:rPr>
          <w:rFonts w:asciiTheme="minorHAnsi" w:hAnsiTheme="minorHAnsi"/>
          <w:i/>
          <w:szCs w:val="18"/>
        </w:rPr>
        <w:t xml:space="preserve"> (- € 0,2 mln.)</w:t>
      </w:r>
      <w:r w:rsidRPr="00881C6F">
        <w:rPr>
          <w:rFonts w:asciiTheme="minorHAnsi" w:hAnsiTheme="minorHAnsi"/>
          <w:i/>
          <w:szCs w:val="18"/>
        </w:rPr>
        <w:t xml:space="preserve"> </w:t>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p>
    <w:p w:rsidR="002375F3" w:rsidRPr="00881C6F" w:rsidRDefault="002375F3" w:rsidP="002375F3">
      <w:pPr>
        <w:spacing w:after="0" w:line="240" w:lineRule="exact"/>
        <w:rPr>
          <w:rFonts w:asciiTheme="minorHAnsi" w:hAnsiTheme="minorHAnsi"/>
          <w:i/>
          <w:szCs w:val="18"/>
        </w:rPr>
      </w:pPr>
      <w:r w:rsidRPr="00903B56">
        <w:rPr>
          <w:szCs w:val="18"/>
        </w:rPr>
        <w:t>De mutatie houdt verband met het overschot dat de accountantskamer in 201</w:t>
      </w:r>
      <w:r w:rsidRPr="00903B56">
        <w:rPr>
          <w:color w:val="1F497D"/>
          <w:szCs w:val="18"/>
        </w:rPr>
        <w:t>4</w:t>
      </w:r>
      <w:r w:rsidRPr="00903B56">
        <w:rPr>
          <w:szCs w:val="18"/>
        </w:rPr>
        <w:t xml:space="preserve"> heeft gerealiseerd. Het overschot is met name toe te schrijven aan een zuinig uitgavenbeleid van de accountantskamer.</w:t>
      </w:r>
    </w:p>
    <w:p w:rsidR="002375F3" w:rsidRDefault="002375F3" w:rsidP="002375F3">
      <w:pPr>
        <w:spacing w:after="0" w:line="240" w:lineRule="exact"/>
        <w:rPr>
          <w:rFonts w:asciiTheme="minorHAnsi" w:hAnsiTheme="minorHAnsi"/>
          <w:i/>
          <w:szCs w:val="18"/>
        </w:rPr>
      </w:pPr>
    </w:p>
    <w:p w:rsidR="002375F3" w:rsidRDefault="002375F3" w:rsidP="002375F3">
      <w:pPr>
        <w:spacing w:after="0" w:line="240" w:lineRule="exact"/>
        <w:rPr>
          <w:rFonts w:asciiTheme="minorHAnsi" w:hAnsiTheme="minorHAnsi"/>
          <w:i/>
          <w:szCs w:val="18"/>
        </w:rPr>
      </w:pPr>
    </w:p>
    <w:p w:rsidR="002375F3" w:rsidRDefault="002375F3" w:rsidP="002375F3">
      <w:pPr>
        <w:spacing w:after="0" w:line="240" w:lineRule="exact"/>
        <w:rPr>
          <w:rFonts w:asciiTheme="minorHAnsi" w:hAnsiTheme="minorHAnsi"/>
          <w:i/>
          <w:szCs w:val="18"/>
        </w:rPr>
      </w:pPr>
    </w:p>
    <w:p w:rsidR="002375F3" w:rsidRDefault="002375F3" w:rsidP="002375F3">
      <w:pPr>
        <w:spacing w:after="0" w:line="240" w:lineRule="exact"/>
        <w:rPr>
          <w:rFonts w:asciiTheme="minorHAnsi" w:hAnsiTheme="minorHAnsi"/>
          <w:szCs w:val="18"/>
        </w:rPr>
      </w:pPr>
      <w:r w:rsidRPr="00881C6F">
        <w:rPr>
          <w:rFonts w:asciiTheme="minorHAnsi" w:hAnsiTheme="minorHAnsi"/>
          <w:i/>
          <w:szCs w:val="18"/>
        </w:rPr>
        <w:t>Muntcirculatie</w:t>
      </w:r>
      <w:r>
        <w:rPr>
          <w:rFonts w:asciiTheme="minorHAnsi" w:hAnsiTheme="minorHAnsi"/>
          <w:i/>
          <w:szCs w:val="18"/>
        </w:rPr>
        <w:t xml:space="preserve"> (- € 3,9 mln.)</w:t>
      </w:r>
      <w:r w:rsidRPr="00881C6F">
        <w:rPr>
          <w:rFonts w:asciiTheme="minorHAnsi" w:hAnsiTheme="minorHAnsi"/>
          <w: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r>
        <w:rPr>
          <w:rFonts w:asciiTheme="minorHAnsi" w:hAnsiTheme="minorHAnsi"/>
          <w:szCs w:val="18"/>
        </w:rPr>
        <w:tab/>
      </w: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szCs w:val="18"/>
        </w:rPr>
        <w:t xml:space="preserve">De afgelopen periode is een </w:t>
      </w:r>
      <w:proofErr w:type="spellStart"/>
      <w:r w:rsidRPr="00881C6F">
        <w:rPr>
          <w:rFonts w:asciiTheme="minorHAnsi" w:hAnsiTheme="minorHAnsi"/>
          <w:szCs w:val="18"/>
        </w:rPr>
        <w:t>beperker</w:t>
      </w:r>
      <w:proofErr w:type="spellEnd"/>
      <w:r w:rsidRPr="00881C6F">
        <w:rPr>
          <w:rFonts w:asciiTheme="minorHAnsi" w:hAnsiTheme="minorHAnsi"/>
          <w:szCs w:val="18"/>
        </w:rPr>
        <w:t xml:space="preserve"> aantal nieuwe munten geslagen dan waarmee rekening werd gehouden in de begroting. De kosten vallen daardoor lager uit dan geraamd. </w:t>
      </w:r>
    </w:p>
    <w:p w:rsidR="002375F3" w:rsidRDefault="002375F3" w:rsidP="002375F3">
      <w:pPr>
        <w:spacing w:after="0" w:line="240" w:lineRule="exact"/>
        <w:rPr>
          <w:rFonts w:asciiTheme="minorHAnsi" w:hAnsiTheme="minorHAnsi"/>
          <w:i/>
          <w:szCs w:val="18"/>
        </w:rPr>
      </w:pPr>
    </w:p>
    <w:p w:rsidR="002375F3" w:rsidRDefault="002375F3" w:rsidP="002375F3">
      <w:pPr>
        <w:spacing w:after="0" w:line="240" w:lineRule="exact"/>
        <w:rPr>
          <w:rFonts w:asciiTheme="minorHAnsi" w:hAnsiTheme="minorHAnsi"/>
          <w:i/>
          <w:szCs w:val="18"/>
        </w:rPr>
      </w:pPr>
      <w:r w:rsidRPr="00881C6F">
        <w:rPr>
          <w:rFonts w:asciiTheme="minorHAnsi" w:hAnsiTheme="minorHAnsi"/>
          <w:i/>
          <w:szCs w:val="18"/>
        </w:rPr>
        <w:t>Overig</w:t>
      </w:r>
      <w:r>
        <w:rPr>
          <w:rFonts w:asciiTheme="minorHAnsi" w:hAnsiTheme="minorHAnsi"/>
          <w:i/>
          <w:szCs w:val="18"/>
        </w:rPr>
        <w:t xml:space="preserve"> (- € 0,1 mln.)</w:t>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p>
    <w:p w:rsidR="002375F3" w:rsidRPr="00881C6F" w:rsidRDefault="002375F3" w:rsidP="002375F3">
      <w:pPr>
        <w:spacing w:after="0" w:line="240" w:lineRule="exact"/>
        <w:rPr>
          <w:rFonts w:asciiTheme="minorHAnsi" w:hAnsiTheme="minorHAnsi" w:cs="Times New Roman"/>
          <w:szCs w:val="18"/>
        </w:rPr>
      </w:pPr>
      <w:r>
        <w:rPr>
          <w:rFonts w:asciiTheme="minorHAnsi" w:hAnsiTheme="minorHAnsi" w:cs="Times New Roman"/>
          <w:szCs w:val="18"/>
        </w:rPr>
        <w:t>Er</w:t>
      </w:r>
      <w:r w:rsidRPr="00881C6F">
        <w:rPr>
          <w:rFonts w:asciiTheme="minorHAnsi" w:hAnsiTheme="minorHAnsi" w:cs="Times New Roman"/>
          <w:szCs w:val="18"/>
        </w:rPr>
        <w:t xml:space="preserve"> was € 140.000 voorzien voor commissies. Dit jaar is er voor de Commissie verzekeraars € 23.000 nodig. Het overige gedeelte van het budget valt vrij.</w:t>
      </w:r>
    </w:p>
    <w:p w:rsidR="002375F3" w:rsidRDefault="002375F3" w:rsidP="002375F3">
      <w:pPr>
        <w:spacing w:after="0" w:line="240" w:lineRule="exact"/>
        <w:rPr>
          <w:rFonts w:asciiTheme="minorHAnsi" w:hAnsiTheme="minorHAnsi"/>
          <w:i/>
          <w:szCs w:val="18"/>
        </w:rPr>
      </w:pPr>
    </w:p>
    <w:p w:rsidR="002375F3" w:rsidRPr="00DC5291" w:rsidRDefault="002375F3" w:rsidP="002375F3">
      <w:pPr>
        <w:spacing w:after="0" w:line="240" w:lineRule="exact"/>
        <w:rPr>
          <w:rFonts w:asciiTheme="minorHAnsi" w:hAnsiTheme="minorHAnsi"/>
          <w:b/>
          <w:szCs w:val="18"/>
        </w:rPr>
      </w:pPr>
      <w:r w:rsidRPr="00DC5291">
        <w:rPr>
          <w:rFonts w:asciiTheme="minorHAnsi" w:hAnsiTheme="minorHAnsi"/>
          <w:b/>
          <w:szCs w:val="18"/>
        </w:rPr>
        <w:t>Ontvangsten (+ € 55,9 mln.)</w:t>
      </w:r>
    </w:p>
    <w:p w:rsidR="002375F3" w:rsidRDefault="002375F3" w:rsidP="002375F3">
      <w:pPr>
        <w:spacing w:after="0" w:line="240" w:lineRule="exact"/>
        <w:rPr>
          <w:rFonts w:asciiTheme="minorHAnsi" w:hAnsiTheme="minorHAnsi"/>
          <w:i/>
          <w:szCs w:val="18"/>
        </w:rPr>
      </w:pPr>
    </w:p>
    <w:p w:rsidR="002375F3" w:rsidRPr="00881C6F" w:rsidRDefault="002375F3" w:rsidP="002375F3">
      <w:pPr>
        <w:spacing w:after="0" w:line="240" w:lineRule="exact"/>
        <w:rPr>
          <w:rFonts w:asciiTheme="minorHAnsi" w:hAnsiTheme="minorHAnsi"/>
          <w:i/>
          <w:szCs w:val="18"/>
        </w:rPr>
      </w:pPr>
      <w:r w:rsidRPr="00881C6F">
        <w:rPr>
          <w:rFonts w:asciiTheme="minorHAnsi" w:hAnsiTheme="minorHAnsi"/>
          <w:i/>
          <w:szCs w:val="18"/>
        </w:rPr>
        <w:t>Ontvangsten IJsland</w:t>
      </w:r>
      <w:r>
        <w:rPr>
          <w:rFonts w:asciiTheme="minorHAnsi" w:hAnsiTheme="minorHAnsi"/>
          <w:i/>
          <w:szCs w:val="18"/>
        </w:rPr>
        <w:t xml:space="preserve"> (+ € 58,5 mln.)</w:t>
      </w:r>
      <w:r w:rsidRPr="00881C6F">
        <w:rPr>
          <w:rFonts w:asciiTheme="minorHAnsi" w:hAnsiTheme="minorHAnsi"/>
          <w:i/>
          <w:szCs w:val="18"/>
        </w:rPr>
        <w:tab/>
      </w:r>
    </w:p>
    <w:p w:rsidR="002375F3" w:rsidRPr="00881C6F" w:rsidRDefault="002375F3" w:rsidP="002375F3">
      <w:pPr>
        <w:spacing w:after="0" w:line="240" w:lineRule="exact"/>
        <w:rPr>
          <w:rFonts w:asciiTheme="minorHAnsi" w:hAnsiTheme="minorHAnsi"/>
          <w:i/>
          <w:szCs w:val="18"/>
        </w:rPr>
      </w:pPr>
      <w:r w:rsidRPr="00881C6F">
        <w:rPr>
          <w:rFonts w:asciiTheme="minorHAnsi" w:hAnsiTheme="minorHAnsi"/>
          <w:szCs w:val="18"/>
        </w:rPr>
        <w:t xml:space="preserve">Het dossier </w:t>
      </w:r>
      <w:proofErr w:type="spellStart"/>
      <w:r w:rsidRPr="00881C6F">
        <w:rPr>
          <w:rFonts w:asciiTheme="minorHAnsi" w:hAnsiTheme="minorHAnsi"/>
          <w:szCs w:val="18"/>
        </w:rPr>
        <w:t>Icesave</w:t>
      </w:r>
      <w:proofErr w:type="spellEnd"/>
      <w:r w:rsidRPr="00881C6F">
        <w:rPr>
          <w:rFonts w:asciiTheme="minorHAnsi" w:hAnsiTheme="minorHAnsi"/>
          <w:szCs w:val="18"/>
        </w:rPr>
        <w:t xml:space="preserve"> is na zeven jaar gesloten. Met het IJslandse DGS is een schikking overeengekomen van omgerekend €48,6 mln. Door deze schikking is de rechtszaak tegen het IJslandse DGS, over de vergoeding van rente- en uitvoeringskosten, beëindigd. Tevens is een onderdeel van de schikking dat de kronen die op een geblokkeerde rekening stonden zijn geconverteerd en overgeboekt naar een rekening buiten IJsland. Het totaalbedrag dat deze schikking oplevert voor de Nederlandse staat is ongeveer €61 mln. Op deze opbrengst worden de juridische en proceskosten die vanaf 2011 zijn gemaakt in mindering gebracht. Het nettoresultaat bedraagt ruim €58 mln.</w:t>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t xml:space="preserve">      </w:t>
      </w:r>
    </w:p>
    <w:p w:rsidR="002375F3" w:rsidRPr="00881C6F" w:rsidRDefault="002375F3" w:rsidP="002375F3">
      <w:pPr>
        <w:spacing w:after="0" w:line="240" w:lineRule="exact"/>
        <w:rPr>
          <w:rFonts w:asciiTheme="minorHAnsi" w:hAnsiTheme="minorHAnsi"/>
          <w:szCs w:val="18"/>
        </w:rPr>
      </w:pPr>
    </w:p>
    <w:p w:rsidR="002375F3" w:rsidRDefault="002375F3" w:rsidP="002375F3">
      <w:pPr>
        <w:spacing w:after="0" w:line="240" w:lineRule="exact"/>
        <w:rPr>
          <w:rFonts w:asciiTheme="minorHAnsi" w:hAnsiTheme="minorHAnsi"/>
          <w:i/>
          <w:szCs w:val="18"/>
        </w:rPr>
      </w:pPr>
      <w:r w:rsidRPr="00881C6F">
        <w:rPr>
          <w:rFonts w:asciiTheme="minorHAnsi" w:hAnsiTheme="minorHAnsi"/>
          <w:i/>
          <w:szCs w:val="18"/>
        </w:rPr>
        <w:t>Overig</w:t>
      </w:r>
      <w:r>
        <w:rPr>
          <w:rFonts w:asciiTheme="minorHAnsi" w:hAnsiTheme="minorHAnsi"/>
          <w:i/>
          <w:szCs w:val="18"/>
        </w:rPr>
        <w:t xml:space="preserve"> (- € 2,6 mln.)</w:t>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r w:rsidRPr="00881C6F">
        <w:rPr>
          <w:rFonts w:asciiTheme="minorHAnsi" w:hAnsiTheme="minorHAnsi"/>
          <w:i/>
          <w:szCs w:val="18"/>
        </w:rPr>
        <w:tab/>
      </w: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szCs w:val="18"/>
        </w:rPr>
        <w:t xml:space="preserve">Naar aanleiding van een door de Tweede Kamer aanvaarde motie, is juli jl. de overgangstermijn waarbinnen financieel adviseurs examens moeten afleggen om te voldoen aan de nieuwe vakbekwaamheidseisen met één jaar verlengd tot 2017. Het effect hiervan is dat een deel van de examinandi er voor kiest in 2016  examen af te leggen. Naar verwachting worden ultimo 2015 waarschijnlijk 155.000 examens afgenomen waar eerder uitgegaan werd van </w:t>
      </w:r>
      <w:proofErr w:type="spellStart"/>
      <w:r w:rsidRPr="00881C6F">
        <w:rPr>
          <w:rFonts w:asciiTheme="minorHAnsi" w:hAnsiTheme="minorHAnsi"/>
          <w:szCs w:val="18"/>
        </w:rPr>
        <w:t>ca</w:t>
      </w:r>
      <w:proofErr w:type="spellEnd"/>
      <w:r w:rsidRPr="00881C6F">
        <w:rPr>
          <w:rFonts w:asciiTheme="minorHAnsi" w:hAnsiTheme="minorHAnsi"/>
          <w:szCs w:val="18"/>
        </w:rPr>
        <w:t xml:space="preserve"> 210.000 examens. De inkomsten uit de examenleges dalen hierdoor vermoedelijk met ca. € 2,6 mln. </w:t>
      </w:r>
    </w:p>
    <w:p w:rsidR="002375F3" w:rsidRPr="00881C6F" w:rsidRDefault="002375F3" w:rsidP="002375F3">
      <w:pPr>
        <w:spacing w:after="0" w:line="240" w:lineRule="exact"/>
        <w:rPr>
          <w:rFonts w:asciiTheme="minorHAnsi" w:hAnsiTheme="minorHAnsi"/>
          <w:szCs w:val="18"/>
        </w:rPr>
      </w:pPr>
    </w:p>
    <w:p w:rsidR="002375F3" w:rsidRPr="00881C6F" w:rsidRDefault="002375F3" w:rsidP="002375F3">
      <w:pPr>
        <w:spacing w:after="0" w:line="240" w:lineRule="exact"/>
        <w:rPr>
          <w:rFonts w:asciiTheme="minorHAnsi" w:hAnsiTheme="minorHAnsi"/>
          <w:b/>
          <w:szCs w:val="18"/>
        </w:rPr>
      </w:pPr>
      <w:r w:rsidRPr="00881C6F">
        <w:rPr>
          <w:rFonts w:asciiTheme="minorHAnsi" w:hAnsiTheme="minorHAnsi"/>
          <w:b/>
          <w:szCs w:val="18"/>
        </w:rPr>
        <w:br w:type="page"/>
      </w:r>
    </w:p>
    <w:p w:rsidR="002375F3" w:rsidRPr="003F0DEF" w:rsidRDefault="002375F3" w:rsidP="002375F3">
      <w:pPr>
        <w:spacing w:after="0" w:line="240" w:lineRule="exact"/>
        <w:rPr>
          <w:rFonts w:asciiTheme="minorHAnsi" w:hAnsiTheme="minorHAnsi"/>
          <w:b/>
          <w:szCs w:val="18"/>
        </w:rPr>
      </w:pPr>
      <w:r w:rsidRPr="003F0DEF">
        <w:rPr>
          <w:b/>
        </w:rPr>
        <w:lastRenderedPageBreak/>
        <w:t xml:space="preserve">Artikel 3 </w:t>
      </w:r>
      <w:proofErr w:type="spellStart"/>
      <w:r w:rsidRPr="003F0DEF">
        <w:rPr>
          <w:b/>
        </w:rPr>
        <w:t>Financierings-activiteiten</w:t>
      </w:r>
      <w:proofErr w:type="spellEnd"/>
      <w:r w:rsidRPr="003F0DEF">
        <w:rPr>
          <w:b/>
        </w:rPr>
        <w:t xml:space="preserve"> publieke sector</w:t>
      </w:r>
    </w:p>
    <w:p w:rsidR="002375F3" w:rsidRDefault="002375F3" w:rsidP="002375F3">
      <w:pPr>
        <w:rPr>
          <w:rFonts w:asciiTheme="minorHAnsi" w:hAnsiTheme="minorHAnsi"/>
          <w:b/>
          <w:szCs w:val="18"/>
        </w:rPr>
      </w:pPr>
    </w:p>
    <w:tbl>
      <w:tblPr>
        <w:tblW w:w="7780" w:type="dxa"/>
        <w:tblInd w:w="70" w:type="dxa"/>
        <w:tblCellMar>
          <w:left w:w="70" w:type="dxa"/>
          <w:right w:w="70" w:type="dxa"/>
        </w:tblCellMar>
        <w:tblLook w:val="04A0" w:firstRow="1" w:lastRow="0" w:firstColumn="1" w:lastColumn="0" w:noHBand="0" w:noVBand="1"/>
      </w:tblPr>
      <w:tblGrid>
        <w:gridCol w:w="3220"/>
        <w:gridCol w:w="1140"/>
        <w:gridCol w:w="1140"/>
        <w:gridCol w:w="1140"/>
        <w:gridCol w:w="1140"/>
      </w:tblGrid>
      <w:tr w:rsidR="002375F3" w:rsidRPr="004B6587" w:rsidTr="00D66A40">
        <w:trPr>
          <w:trHeight w:val="225"/>
        </w:trPr>
        <w:tc>
          <w:tcPr>
            <w:tcW w:w="7780" w:type="dxa"/>
            <w:gridSpan w:val="5"/>
            <w:tcBorders>
              <w:top w:val="nil"/>
              <w:left w:val="nil"/>
              <w:bottom w:val="nil"/>
              <w:right w:val="nil"/>
            </w:tcBorders>
            <w:shd w:val="clear" w:color="000000" w:fill="FFFFFF"/>
            <w:vAlign w:val="bottom"/>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 xml:space="preserve">Budgettaire gevolgen van beleid  - beleidsartikel 3 </w:t>
            </w:r>
            <w:proofErr w:type="spellStart"/>
            <w:r w:rsidRPr="004B6587">
              <w:rPr>
                <w:rFonts w:ascii="Arial" w:eastAsia="Times New Roman" w:hAnsi="Arial" w:cs="Arial"/>
                <w:b/>
                <w:bCs/>
                <w:sz w:val="12"/>
                <w:szCs w:val="12"/>
                <w:lang w:eastAsia="nl-NL"/>
              </w:rPr>
              <w:t>Financierings-activiteiten</w:t>
            </w:r>
            <w:proofErr w:type="spellEnd"/>
            <w:r w:rsidRPr="004B6587">
              <w:rPr>
                <w:rFonts w:ascii="Arial" w:eastAsia="Times New Roman" w:hAnsi="Arial" w:cs="Arial"/>
                <w:b/>
                <w:bCs/>
                <w:sz w:val="12"/>
                <w:szCs w:val="12"/>
                <w:lang w:eastAsia="nl-NL"/>
              </w:rPr>
              <w:t xml:space="preserve"> publiek private sector </w:t>
            </w:r>
          </w:p>
        </w:tc>
      </w:tr>
      <w:tr w:rsidR="002375F3" w:rsidRPr="004B6587" w:rsidTr="00D66A40">
        <w:trPr>
          <w:trHeight w:val="225"/>
        </w:trPr>
        <w:tc>
          <w:tcPr>
            <w:tcW w:w="3220" w:type="dxa"/>
            <w:tcBorders>
              <w:top w:val="nil"/>
              <w:left w:val="nil"/>
              <w:bottom w:val="nil"/>
              <w:right w:val="nil"/>
            </w:tcBorders>
            <w:shd w:val="clear" w:color="000000" w:fill="FFFFFF"/>
            <w:vAlign w:val="bottom"/>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Bedragen x € 1.000</w:t>
            </w:r>
          </w:p>
        </w:tc>
        <w:tc>
          <w:tcPr>
            <w:tcW w:w="1140" w:type="dxa"/>
            <w:tcBorders>
              <w:top w:val="nil"/>
              <w:left w:val="nil"/>
              <w:bottom w:val="nil"/>
              <w:right w:val="nil"/>
            </w:tcBorders>
            <w:shd w:val="clear" w:color="000000" w:fill="FFFFFF"/>
            <w:noWrap/>
            <w:vAlign w:val="bottom"/>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4B6587" w:rsidRDefault="002375F3" w:rsidP="00D66A40">
            <w:pPr>
              <w:spacing w:after="0" w:line="240" w:lineRule="auto"/>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4B6587" w:rsidRDefault="002375F3" w:rsidP="00D66A40">
            <w:pPr>
              <w:spacing w:after="0" w:line="240" w:lineRule="auto"/>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4B6587" w:rsidRDefault="002375F3" w:rsidP="00D66A40">
            <w:pPr>
              <w:spacing w:after="0" w:line="240" w:lineRule="auto"/>
              <w:rPr>
                <w:rFonts w:eastAsia="Times New Roman" w:cs="Times New Roman"/>
                <w:color w:val="000000"/>
                <w:sz w:val="12"/>
                <w:szCs w:val="12"/>
                <w:lang w:eastAsia="nl-NL"/>
              </w:rPr>
            </w:pPr>
          </w:p>
        </w:tc>
      </w:tr>
      <w:tr w:rsidR="002375F3" w:rsidRPr="004B6587" w:rsidTr="00D66A40">
        <w:trPr>
          <w:trHeight w:val="1170"/>
        </w:trPr>
        <w:tc>
          <w:tcPr>
            <w:tcW w:w="3220" w:type="dxa"/>
            <w:tcBorders>
              <w:top w:val="single" w:sz="4" w:space="0" w:color="auto"/>
              <w:left w:val="nil"/>
              <w:bottom w:val="single" w:sz="8" w:space="0" w:color="auto"/>
              <w:right w:val="nil"/>
            </w:tcBorders>
            <w:shd w:val="clear" w:color="000000" w:fill="FFFFFF"/>
            <w:vAlign w:val="center"/>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 </w:t>
            </w:r>
          </w:p>
        </w:tc>
        <w:tc>
          <w:tcPr>
            <w:tcW w:w="1140" w:type="dxa"/>
            <w:tcBorders>
              <w:top w:val="single" w:sz="4" w:space="0" w:color="auto"/>
              <w:left w:val="nil"/>
              <w:bottom w:val="single" w:sz="8" w:space="0" w:color="auto"/>
              <w:right w:val="nil"/>
            </w:tcBorders>
            <w:shd w:val="clear" w:color="000000" w:fill="FFFFFF"/>
            <w:hideMark/>
          </w:tcPr>
          <w:p w:rsidR="002375F3" w:rsidRPr="004B6587" w:rsidRDefault="002375F3" w:rsidP="00D66A40">
            <w:pPr>
              <w:spacing w:after="0" w:line="240" w:lineRule="auto"/>
              <w:jc w:val="center"/>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Stand</w:t>
            </w:r>
            <w:r w:rsidRPr="004B6587">
              <w:rPr>
                <w:rFonts w:ascii="Arial" w:eastAsia="Times New Roman" w:hAnsi="Arial" w:cs="Arial"/>
                <w:b/>
                <w:bCs/>
                <w:sz w:val="12"/>
                <w:szCs w:val="12"/>
                <w:lang w:eastAsia="nl-NL"/>
              </w:rPr>
              <w:br/>
              <w:t>vastgestelde</w:t>
            </w:r>
            <w:r w:rsidRPr="004B6587">
              <w:rPr>
                <w:rFonts w:ascii="Arial" w:eastAsia="Times New Roman" w:hAnsi="Arial" w:cs="Arial"/>
                <w:b/>
                <w:bCs/>
                <w:sz w:val="12"/>
                <w:szCs w:val="12"/>
                <w:lang w:eastAsia="nl-NL"/>
              </w:rPr>
              <w:br/>
              <w:t>begroting (na</w:t>
            </w:r>
            <w:r w:rsidRPr="004B6587">
              <w:rPr>
                <w:rFonts w:ascii="Arial" w:eastAsia="Times New Roman" w:hAnsi="Arial" w:cs="Arial"/>
                <w:b/>
                <w:bCs/>
                <w:sz w:val="12"/>
                <w:szCs w:val="12"/>
                <w:lang w:eastAsia="nl-NL"/>
              </w:rPr>
              <w:br/>
              <w:t>Nota</w:t>
            </w:r>
            <w:r w:rsidRPr="004B6587">
              <w:rPr>
                <w:rFonts w:ascii="Arial" w:eastAsia="Times New Roman" w:hAnsi="Arial" w:cs="Arial"/>
                <w:b/>
                <w:bCs/>
                <w:sz w:val="12"/>
                <w:szCs w:val="12"/>
                <w:lang w:eastAsia="nl-NL"/>
              </w:rPr>
              <w:br/>
              <w:t>van Wijziging,</w:t>
            </w:r>
            <w:r w:rsidRPr="004B6587">
              <w:rPr>
                <w:rFonts w:ascii="Arial" w:eastAsia="Times New Roman" w:hAnsi="Arial" w:cs="Arial"/>
                <w:b/>
                <w:bCs/>
                <w:sz w:val="12"/>
                <w:szCs w:val="12"/>
                <w:lang w:eastAsia="nl-NL"/>
              </w:rPr>
              <w:br/>
              <w:t>amendementen</w:t>
            </w:r>
            <w:r w:rsidRPr="004B6587">
              <w:rPr>
                <w:rFonts w:ascii="Arial" w:eastAsia="Times New Roman" w:hAnsi="Arial" w:cs="Arial"/>
                <w:b/>
                <w:bCs/>
                <w:sz w:val="12"/>
                <w:szCs w:val="12"/>
                <w:lang w:eastAsia="nl-NL"/>
              </w:rPr>
              <w:br/>
              <w:t>en ISB) (1)</w:t>
            </w:r>
          </w:p>
        </w:tc>
        <w:tc>
          <w:tcPr>
            <w:tcW w:w="1140" w:type="dxa"/>
            <w:tcBorders>
              <w:top w:val="single" w:sz="4" w:space="0" w:color="auto"/>
              <w:left w:val="nil"/>
              <w:bottom w:val="single" w:sz="8" w:space="0" w:color="auto"/>
              <w:right w:val="nil"/>
            </w:tcBorders>
            <w:shd w:val="clear" w:color="000000" w:fill="FFFFFF"/>
            <w:hideMark/>
          </w:tcPr>
          <w:p w:rsidR="002375F3" w:rsidRPr="004B6587" w:rsidRDefault="002375F3" w:rsidP="00D66A40">
            <w:pPr>
              <w:spacing w:after="0" w:line="240" w:lineRule="auto"/>
              <w:jc w:val="center"/>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Stand 1ste suppletoire begroting (2)</w:t>
            </w:r>
          </w:p>
        </w:tc>
        <w:tc>
          <w:tcPr>
            <w:tcW w:w="1140" w:type="dxa"/>
            <w:tcBorders>
              <w:top w:val="single" w:sz="4" w:space="0" w:color="auto"/>
              <w:left w:val="nil"/>
              <w:bottom w:val="single" w:sz="8" w:space="0" w:color="auto"/>
              <w:right w:val="nil"/>
            </w:tcBorders>
            <w:shd w:val="clear" w:color="000000" w:fill="FFFFFF"/>
            <w:hideMark/>
          </w:tcPr>
          <w:p w:rsidR="002375F3" w:rsidRPr="004B6587" w:rsidRDefault="002375F3" w:rsidP="00D66A40">
            <w:pPr>
              <w:spacing w:after="0" w:line="240" w:lineRule="auto"/>
              <w:jc w:val="center"/>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Mutaties</w:t>
            </w:r>
            <w:r w:rsidRPr="004B6587">
              <w:rPr>
                <w:rFonts w:ascii="Arial" w:eastAsia="Times New Roman" w:hAnsi="Arial" w:cs="Arial"/>
                <w:b/>
                <w:bCs/>
                <w:sz w:val="12"/>
                <w:szCs w:val="12"/>
                <w:lang w:eastAsia="nl-NL"/>
              </w:rPr>
              <w:br/>
              <w:t>2e suppletoire</w:t>
            </w:r>
            <w:r w:rsidRPr="004B6587">
              <w:rPr>
                <w:rFonts w:ascii="Arial" w:eastAsia="Times New Roman" w:hAnsi="Arial" w:cs="Arial"/>
                <w:b/>
                <w:bCs/>
                <w:sz w:val="12"/>
                <w:szCs w:val="12"/>
                <w:lang w:eastAsia="nl-NL"/>
              </w:rPr>
              <w:br/>
              <w:t>begroting (3)</w:t>
            </w:r>
          </w:p>
        </w:tc>
        <w:tc>
          <w:tcPr>
            <w:tcW w:w="1140" w:type="dxa"/>
            <w:tcBorders>
              <w:top w:val="single" w:sz="4" w:space="0" w:color="auto"/>
              <w:left w:val="nil"/>
              <w:bottom w:val="single" w:sz="8" w:space="0" w:color="auto"/>
              <w:right w:val="nil"/>
            </w:tcBorders>
            <w:shd w:val="clear" w:color="000000" w:fill="FFFFFF"/>
            <w:hideMark/>
          </w:tcPr>
          <w:p w:rsidR="002375F3" w:rsidRPr="004B6587" w:rsidRDefault="002375F3" w:rsidP="00D66A40">
            <w:pPr>
              <w:spacing w:after="0" w:line="240" w:lineRule="auto"/>
              <w:jc w:val="center"/>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Stand</w:t>
            </w:r>
            <w:r w:rsidRPr="004B6587">
              <w:rPr>
                <w:rFonts w:ascii="Arial" w:eastAsia="Times New Roman" w:hAnsi="Arial" w:cs="Arial"/>
                <w:b/>
                <w:bCs/>
                <w:sz w:val="12"/>
                <w:szCs w:val="12"/>
                <w:lang w:eastAsia="nl-NL"/>
              </w:rPr>
              <w:br/>
              <w:t>2e suppletoire</w:t>
            </w:r>
            <w:r w:rsidRPr="004B6587">
              <w:rPr>
                <w:rFonts w:ascii="Arial" w:eastAsia="Times New Roman" w:hAnsi="Arial" w:cs="Arial"/>
                <w:b/>
                <w:bCs/>
                <w:sz w:val="12"/>
                <w:szCs w:val="12"/>
                <w:lang w:eastAsia="nl-NL"/>
              </w:rPr>
              <w:br/>
              <w:t>begroting</w:t>
            </w:r>
            <w:r w:rsidRPr="004B6587">
              <w:rPr>
                <w:rFonts w:ascii="Arial" w:eastAsia="Times New Roman" w:hAnsi="Arial" w:cs="Arial"/>
                <w:b/>
                <w:bCs/>
                <w:sz w:val="12"/>
                <w:szCs w:val="12"/>
                <w:lang w:eastAsia="nl-NL"/>
              </w:rPr>
              <w:br/>
              <w:t>(4)=(2+3)</w:t>
            </w:r>
          </w:p>
        </w:tc>
      </w:tr>
      <w:tr w:rsidR="002375F3" w:rsidRPr="004B6587" w:rsidTr="00D66A40">
        <w:trPr>
          <w:trHeight w:val="225"/>
        </w:trPr>
        <w:tc>
          <w:tcPr>
            <w:tcW w:w="3220" w:type="dxa"/>
            <w:tcBorders>
              <w:top w:val="nil"/>
              <w:left w:val="nil"/>
              <w:bottom w:val="nil"/>
              <w:right w:val="nil"/>
            </w:tcBorders>
            <w:shd w:val="clear" w:color="000000" w:fill="FFFFFF"/>
            <w:vAlign w:val="bottom"/>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noWrap/>
            <w:vAlign w:val="bottom"/>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4B6587" w:rsidRDefault="002375F3" w:rsidP="00D66A40">
            <w:pPr>
              <w:spacing w:after="0" w:line="240" w:lineRule="auto"/>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4B6587" w:rsidRDefault="002375F3" w:rsidP="00D66A40">
            <w:pPr>
              <w:spacing w:after="0" w:line="240" w:lineRule="auto"/>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4B6587" w:rsidRDefault="002375F3" w:rsidP="00D66A40">
            <w:pPr>
              <w:spacing w:after="0" w:line="240" w:lineRule="auto"/>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Verplichtingen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19.314</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28.898</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2.713.380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2.742.278</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F85F45" w:rsidRDefault="002375F3" w:rsidP="00D66A40">
            <w:pPr>
              <w:spacing w:after="0" w:line="240" w:lineRule="auto"/>
              <w:rPr>
                <w:rFonts w:ascii="Arial" w:eastAsia="Times New Roman" w:hAnsi="Arial" w:cs="Arial"/>
                <w:sz w:val="12"/>
                <w:szCs w:val="12"/>
                <w:lang w:eastAsia="nl-NL"/>
              </w:rPr>
            </w:pPr>
            <w:r w:rsidRPr="00F85F45">
              <w:rPr>
                <w:rFonts w:ascii="Arial" w:eastAsia="Times New Roman" w:hAnsi="Arial" w:cs="Arial"/>
                <w:sz w:val="12"/>
                <w:szCs w:val="12"/>
                <w:lang w:eastAsia="nl-NL"/>
              </w:rPr>
              <w:t>Waarvan: aankoop SNS Bank</w:t>
            </w:r>
          </w:p>
        </w:tc>
        <w:tc>
          <w:tcPr>
            <w:tcW w:w="1140" w:type="dxa"/>
            <w:tcBorders>
              <w:top w:val="nil"/>
              <w:left w:val="nil"/>
              <w:bottom w:val="nil"/>
              <w:right w:val="nil"/>
            </w:tcBorders>
            <w:shd w:val="clear" w:color="auto" w:fill="auto"/>
            <w:noWrap/>
            <w:hideMark/>
          </w:tcPr>
          <w:p w:rsidR="002375F3" w:rsidRPr="00F85F45" w:rsidRDefault="002375F3" w:rsidP="00D66A40">
            <w:pPr>
              <w:spacing w:after="0" w:line="240" w:lineRule="auto"/>
              <w:jc w:val="right"/>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F85F45" w:rsidRDefault="002375F3" w:rsidP="00D66A40">
            <w:pPr>
              <w:spacing w:after="0" w:line="240" w:lineRule="auto"/>
              <w:jc w:val="right"/>
              <w:rPr>
                <w:rFonts w:ascii="Arial" w:eastAsia="Times New Roman" w:hAnsi="Arial" w:cs="Arial"/>
                <w:color w:val="000000"/>
                <w:sz w:val="12"/>
                <w:szCs w:val="12"/>
                <w:lang w:eastAsia="nl-NL"/>
              </w:rPr>
            </w:pPr>
            <w:r w:rsidRPr="00F85F45">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F85F45" w:rsidRDefault="002375F3" w:rsidP="00D66A40">
            <w:pPr>
              <w:spacing w:after="0" w:line="240" w:lineRule="auto"/>
              <w:jc w:val="right"/>
              <w:rPr>
                <w:rFonts w:ascii="Arial" w:eastAsia="Times New Roman" w:hAnsi="Arial" w:cs="Arial"/>
                <w:color w:val="000000"/>
                <w:sz w:val="12"/>
                <w:szCs w:val="12"/>
                <w:lang w:eastAsia="nl-NL"/>
              </w:rPr>
            </w:pPr>
            <w:r w:rsidRPr="00F85F45">
              <w:rPr>
                <w:rFonts w:ascii="Arial" w:eastAsia="Times New Roman" w:hAnsi="Arial" w:cs="Arial"/>
                <w:color w:val="000000"/>
                <w:sz w:val="12"/>
                <w:szCs w:val="12"/>
                <w:lang w:eastAsia="nl-NL"/>
              </w:rPr>
              <w:t>2.700.000</w:t>
            </w:r>
          </w:p>
        </w:tc>
        <w:tc>
          <w:tcPr>
            <w:tcW w:w="1140" w:type="dxa"/>
            <w:tcBorders>
              <w:top w:val="nil"/>
              <w:left w:val="nil"/>
              <w:bottom w:val="nil"/>
              <w:right w:val="nil"/>
            </w:tcBorders>
            <w:shd w:val="clear" w:color="auto" w:fill="auto"/>
            <w:noWrap/>
            <w:hideMark/>
          </w:tcPr>
          <w:p w:rsidR="002375F3" w:rsidRPr="00F85F45" w:rsidRDefault="002375F3" w:rsidP="00D66A40">
            <w:pPr>
              <w:spacing w:after="0" w:line="240" w:lineRule="auto"/>
              <w:jc w:val="right"/>
              <w:rPr>
                <w:rFonts w:ascii="Arial" w:eastAsia="Times New Roman" w:hAnsi="Arial" w:cs="Arial"/>
                <w:color w:val="000000"/>
                <w:sz w:val="12"/>
                <w:szCs w:val="12"/>
                <w:lang w:eastAsia="nl-NL"/>
              </w:rPr>
            </w:pPr>
            <w:r w:rsidRPr="00F85F45">
              <w:rPr>
                <w:rFonts w:ascii="Arial" w:eastAsia="Times New Roman" w:hAnsi="Arial" w:cs="Arial"/>
                <w:color w:val="000000"/>
                <w:sz w:val="12"/>
                <w:szCs w:val="12"/>
                <w:lang w:eastAsia="nl-NL"/>
              </w:rPr>
              <w:t>2.700.000</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i/>
                <w:iCs/>
                <w:sz w:val="12"/>
                <w:szCs w:val="12"/>
                <w:lang w:eastAsia="nl-NL"/>
              </w:rPr>
            </w:pPr>
            <w:r w:rsidRPr="004B6587">
              <w:rPr>
                <w:rFonts w:ascii="Arial" w:eastAsia="Times New Roman" w:hAnsi="Arial" w:cs="Arial"/>
                <w:b/>
                <w:bCs/>
                <w:i/>
                <w:iCs/>
                <w:sz w:val="12"/>
                <w:szCs w:val="12"/>
                <w:lang w:eastAsia="nl-NL"/>
              </w:rPr>
              <w:t>Uitgaven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19.314</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28.898</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1.115.330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1.144.228</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i/>
                <w:iCs/>
                <w:sz w:val="12"/>
                <w:szCs w:val="12"/>
                <w:lang w:eastAsia="nl-NL"/>
              </w:rPr>
            </w:pPr>
            <w:r w:rsidRPr="004B6587">
              <w:rPr>
                <w:rFonts w:ascii="Arial" w:eastAsia="Times New Roman" w:hAnsi="Arial" w:cs="Arial"/>
                <w:i/>
                <w:iCs/>
                <w:sz w:val="12"/>
                <w:szCs w:val="12"/>
                <w:lang w:eastAsia="nl-NL"/>
              </w:rPr>
              <w:t>waarvan juridisch verplicht</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97%</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97%</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100%</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Bijdrage aan RWT</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10.000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17.920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17.920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xml:space="preserve">NLFI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10.000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17.920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17.920</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Verwerving vermogenstitels</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1.101.950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1.101.950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Aankoop SNS Bank</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1.101.950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1.101.950</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Garantie</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4.900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4.900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-50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4.850</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xml:space="preserve">Dotatie begrotingsreserve </w:t>
            </w:r>
            <w:proofErr w:type="spellStart"/>
            <w:r w:rsidRPr="004B6587">
              <w:rPr>
                <w:rFonts w:ascii="Arial" w:eastAsia="Times New Roman" w:hAnsi="Arial" w:cs="Arial"/>
                <w:sz w:val="12"/>
                <w:szCs w:val="12"/>
                <w:lang w:eastAsia="nl-NL"/>
              </w:rPr>
              <w:t>TenneT</w:t>
            </w:r>
            <w:proofErr w:type="spellEnd"/>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4.800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4.800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4.800</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Overig</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-50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50</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Opdrachten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4.414</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6.078</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13.430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19.508</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Uitvoeringskosten staatsdeelnemingen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4.414</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6.078</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13.430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19.508</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eastAsia="Times New Roman" w:cs="Times New Roman"/>
                <w:color w:val="000000"/>
                <w:sz w:val="12"/>
                <w:szCs w:val="12"/>
                <w:lang w:eastAsia="nl-NL"/>
              </w:rPr>
            </w:pPr>
            <w:r w:rsidRPr="004B6587">
              <w:rPr>
                <w:rFonts w:eastAsia="Times New Roman" w:cs="Times New Roman"/>
                <w:color w:val="000000"/>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i/>
                <w:iCs/>
                <w:sz w:val="12"/>
                <w:szCs w:val="12"/>
                <w:lang w:eastAsia="nl-NL"/>
              </w:rPr>
            </w:pPr>
            <w:r w:rsidRPr="004B6587">
              <w:rPr>
                <w:rFonts w:ascii="Arial" w:eastAsia="Times New Roman" w:hAnsi="Arial" w:cs="Arial"/>
                <w:b/>
                <w:bCs/>
                <w:i/>
                <w:iCs/>
                <w:sz w:val="12"/>
                <w:szCs w:val="12"/>
                <w:lang w:eastAsia="nl-NL"/>
              </w:rPr>
              <w:t>Ontvangsten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2.929.491</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2.324.861</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4.697.822</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7.022.683</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Bijdrage aan RWT</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9.250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16.263</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16.263</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xml:space="preserve">NLFI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9.250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16.263</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16.263</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Leningen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1.025.000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1.111.533</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1.111.533</w:t>
            </w:r>
          </w:p>
        </w:tc>
      </w:tr>
      <w:tr w:rsidR="002375F3" w:rsidRPr="004B6587" w:rsidTr="00D66A40">
        <w:trPr>
          <w:trHeight w:val="330"/>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Aflossing kapitaalversterkingen ING, Aegon en SNS Reaal</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683.333</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r>
      <w:tr w:rsidR="002375F3" w:rsidRPr="004B6587" w:rsidTr="00D66A40">
        <w:trPr>
          <w:trHeight w:val="330"/>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Couponbetaling en/of boetebetaling kapitaal-versterking ING, Aegon en SNS Reaal</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341.667</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Renteontvangsten SNS krediet</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11.533</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11.533</w:t>
            </w:r>
          </w:p>
        </w:tc>
      </w:tr>
      <w:tr w:rsidR="002375F3" w:rsidRPr="004B6587" w:rsidTr="00D66A40">
        <w:trPr>
          <w:trHeight w:val="225"/>
        </w:trPr>
        <w:tc>
          <w:tcPr>
            <w:tcW w:w="3220" w:type="dxa"/>
            <w:tcBorders>
              <w:top w:val="nil"/>
              <w:left w:val="nil"/>
              <w:bottom w:val="nil"/>
              <w:right w:val="nil"/>
            </w:tcBorders>
            <w:shd w:val="clear" w:color="auto" w:fill="auto"/>
            <w:noWrap/>
            <w:vAlign w:val="bottom"/>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Verrekening overbruggingskrediet SNS</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1.100.000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1.100.000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 xml:space="preserve">Garantie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11.241</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15.015</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15.015</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proofErr w:type="spellStart"/>
            <w:r w:rsidRPr="004B6587">
              <w:rPr>
                <w:rFonts w:ascii="Arial" w:eastAsia="Times New Roman" w:hAnsi="Arial" w:cs="Arial"/>
                <w:sz w:val="12"/>
                <w:szCs w:val="12"/>
                <w:lang w:eastAsia="nl-NL"/>
              </w:rPr>
              <w:t>Premie-ontvangsten</w:t>
            </w:r>
            <w:proofErr w:type="spellEnd"/>
            <w:r w:rsidRPr="004B6587">
              <w:rPr>
                <w:rFonts w:ascii="Arial" w:eastAsia="Times New Roman" w:hAnsi="Arial" w:cs="Arial"/>
                <w:sz w:val="12"/>
                <w:szCs w:val="12"/>
                <w:lang w:eastAsia="nl-NL"/>
              </w:rPr>
              <w:t xml:space="preserve"> garantie </w:t>
            </w:r>
            <w:proofErr w:type="spellStart"/>
            <w:r w:rsidRPr="004B6587">
              <w:rPr>
                <w:rFonts w:ascii="Arial" w:eastAsia="Times New Roman" w:hAnsi="Arial" w:cs="Arial"/>
                <w:sz w:val="12"/>
                <w:szCs w:val="12"/>
                <w:lang w:eastAsia="nl-NL"/>
              </w:rPr>
              <w:t>Tennet</w:t>
            </w:r>
            <w:proofErr w:type="spellEnd"/>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4.800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4.800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4.800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xml:space="preserve">Premie-inkomsten counter </w:t>
            </w:r>
            <w:proofErr w:type="spellStart"/>
            <w:r w:rsidRPr="004B6587">
              <w:rPr>
                <w:rFonts w:ascii="Arial" w:eastAsia="Times New Roman" w:hAnsi="Arial" w:cs="Arial"/>
                <w:sz w:val="12"/>
                <w:szCs w:val="12"/>
                <w:lang w:eastAsia="nl-NL"/>
              </w:rPr>
              <w:t>indemnity</w:t>
            </w:r>
            <w:proofErr w:type="spellEnd"/>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6.441</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proofErr w:type="spellStart"/>
            <w:r w:rsidRPr="004B6587">
              <w:rPr>
                <w:rFonts w:ascii="Arial" w:eastAsia="Times New Roman" w:hAnsi="Arial" w:cs="Arial"/>
                <w:sz w:val="12"/>
                <w:szCs w:val="12"/>
                <w:lang w:eastAsia="nl-NL"/>
              </w:rPr>
              <w:t>Garantiefee</w:t>
            </w:r>
            <w:proofErr w:type="spellEnd"/>
            <w:r w:rsidRPr="004B6587">
              <w:rPr>
                <w:rFonts w:ascii="Arial" w:eastAsia="Times New Roman" w:hAnsi="Arial" w:cs="Arial"/>
                <w:sz w:val="12"/>
                <w:szCs w:val="12"/>
                <w:lang w:eastAsia="nl-NL"/>
              </w:rPr>
              <w:t xml:space="preserve"> </w:t>
            </w:r>
            <w:proofErr w:type="spellStart"/>
            <w:r w:rsidRPr="004B6587">
              <w:rPr>
                <w:rFonts w:ascii="Arial" w:eastAsia="Times New Roman" w:hAnsi="Arial" w:cs="Arial"/>
                <w:sz w:val="12"/>
                <w:szCs w:val="12"/>
                <w:lang w:eastAsia="nl-NL"/>
              </w:rPr>
              <w:t>Propertize</w:t>
            </w:r>
            <w:proofErr w:type="spellEnd"/>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9.300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9.300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Garantie overig</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915</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915</w:t>
            </w:r>
          </w:p>
        </w:tc>
      </w:tr>
      <w:tr w:rsidR="002375F3" w:rsidRPr="004B6587" w:rsidTr="00D66A40">
        <w:trPr>
          <w:trHeight w:val="225"/>
        </w:trPr>
        <w:tc>
          <w:tcPr>
            <w:tcW w:w="3220" w:type="dxa"/>
            <w:tcBorders>
              <w:top w:val="nil"/>
              <w:left w:val="nil"/>
              <w:bottom w:val="nil"/>
              <w:right w:val="nil"/>
            </w:tcBorders>
            <w:shd w:val="clear" w:color="auto" w:fill="auto"/>
            <w:noWrap/>
            <w:hideMark/>
          </w:tcPr>
          <w:p w:rsidR="002375F3" w:rsidRPr="004B6587" w:rsidRDefault="002375F3" w:rsidP="00D66A40">
            <w:pPr>
              <w:spacing w:after="0" w:line="240" w:lineRule="auto"/>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Opdrachten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575</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575</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Terug te vorderen uitvoeringskosten staatsdeelnemingen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575</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575</w:t>
            </w:r>
          </w:p>
        </w:tc>
      </w:tr>
      <w:tr w:rsidR="002375F3" w:rsidRPr="004B6587" w:rsidTr="00D66A40">
        <w:trPr>
          <w:trHeight w:val="225"/>
        </w:trPr>
        <w:tc>
          <w:tcPr>
            <w:tcW w:w="3220" w:type="dxa"/>
            <w:tcBorders>
              <w:top w:val="nil"/>
              <w:left w:val="nil"/>
              <w:bottom w:val="nil"/>
              <w:right w:val="nil"/>
            </w:tcBorders>
            <w:shd w:val="clear" w:color="auto" w:fill="auto"/>
            <w:noWrap/>
            <w:hideMark/>
          </w:tcPr>
          <w:p w:rsidR="002375F3" w:rsidRPr="004B6587" w:rsidRDefault="002375F3" w:rsidP="00D66A40">
            <w:pPr>
              <w:spacing w:after="0" w:line="240" w:lineRule="auto"/>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eastAsia="Times New Roman" w:cs="Times New Roman"/>
                <w:color w:val="000000"/>
                <w:sz w:val="12"/>
                <w:szCs w:val="12"/>
                <w:lang w:eastAsia="nl-NL"/>
              </w:rPr>
            </w:pP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Vermogensonttrekking</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1.884.000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2.293.008</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color w:val="000000"/>
                <w:sz w:val="12"/>
                <w:szCs w:val="12"/>
                <w:lang w:eastAsia="nl-NL"/>
              </w:rPr>
            </w:pPr>
            <w:r w:rsidRPr="004B6587">
              <w:rPr>
                <w:rFonts w:ascii="Arial" w:eastAsia="Times New Roman" w:hAnsi="Arial" w:cs="Arial"/>
                <w:b/>
                <w:bCs/>
                <w:color w:val="000000"/>
                <w:sz w:val="12"/>
                <w:szCs w:val="12"/>
                <w:lang w:eastAsia="nl-NL"/>
              </w:rPr>
              <w:t>3.586.289</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b/>
                <w:bCs/>
                <w:sz w:val="12"/>
                <w:szCs w:val="12"/>
                <w:lang w:eastAsia="nl-NL"/>
              </w:rPr>
            </w:pPr>
            <w:r w:rsidRPr="004B6587">
              <w:rPr>
                <w:rFonts w:ascii="Arial" w:eastAsia="Times New Roman" w:hAnsi="Arial" w:cs="Arial"/>
                <w:b/>
                <w:bCs/>
                <w:sz w:val="12"/>
                <w:szCs w:val="12"/>
                <w:lang w:eastAsia="nl-NL"/>
              </w:rPr>
              <w:t>5.879.297</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Opbrengst verkoop vermogenstitels</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3.337.644</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3.337.644</w:t>
            </w:r>
          </w:p>
        </w:tc>
      </w:tr>
      <w:tr w:rsidR="002375F3" w:rsidRPr="004B6587" w:rsidTr="00D66A40">
        <w:trPr>
          <w:trHeight w:val="225"/>
        </w:trPr>
        <w:tc>
          <w:tcPr>
            <w:tcW w:w="3220" w:type="dxa"/>
            <w:tcBorders>
              <w:top w:val="nil"/>
              <w:left w:val="nil"/>
              <w:bottom w:val="nil"/>
              <w:right w:val="nil"/>
            </w:tcBorders>
            <w:shd w:val="clear" w:color="000000" w:fill="FFFFFF"/>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Dividend en afdrachten staatsdeelnemingen</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1.020.000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1.390.000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248.400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1.638.400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Winstafdracht DNB</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864.000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903.008</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245</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903.253</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Waarvan Griekse inkomsten SMP</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104.000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 xml:space="preserve">                   98.000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98000</w:t>
            </w:r>
          </w:p>
        </w:tc>
      </w:tr>
      <w:tr w:rsidR="002375F3" w:rsidRPr="004B6587" w:rsidTr="00D66A40">
        <w:trPr>
          <w:trHeight w:val="225"/>
        </w:trPr>
        <w:tc>
          <w:tcPr>
            <w:tcW w:w="3220" w:type="dxa"/>
            <w:tcBorders>
              <w:top w:val="nil"/>
              <w:left w:val="nil"/>
              <w:bottom w:val="nil"/>
              <w:right w:val="nil"/>
            </w:tcBorders>
            <w:shd w:val="clear" w:color="auto" w:fill="auto"/>
            <w:hideMark/>
          </w:tcPr>
          <w:p w:rsidR="002375F3" w:rsidRPr="004B6587" w:rsidRDefault="002375F3" w:rsidP="00D66A40">
            <w:pPr>
              <w:spacing w:after="0" w:line="240" w:lineRule="auto"/>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waarvan Griekse inkomsten ANFA</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44.000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 xml:space="preserve">                   52.000 </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sz w:val="12"/>
                <w:szCs w:val="12"/>
                <w:lang w:eastAsia="nl-NL"/>
              </w:rPr>
            </w:pPr>
            <w:r w:rsidRPr="004B6587">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4B6587" w:rsidRDefault="002375F3" w:rsidP="00D66A40">
            <w:pPr>
              <w:spacing w:after="0" w:line="240" w:lineRule="auto"/>
              <w:jc w:val="right"/>
              <w:rPr>
                <w:rFonts w:ascii="Arial" w:eastAsia="Times New Roman" w:hAnsi="Arial" w:cs="Arial"/>
                <w:i/>
                <w:iCs/>
                <w:color w:val="000000"/>
                <w:sz w:val="12"/>
                <w:szCs w:val="12"/>
                <w:lang w:eastAsia="nl-NL"/>
              </w:rPr>
            </w:pPr>
            <w:r w:rsidRPr="004B6587">
              <w:rPr>
                <w:rFonts w:ascii="Arial" w:eastAsia="Times New Roman" w:hAnsi="Arial" w:cs="Arial"/>
                <w:i/>
                <w:iCs/>
                <w:color w:val="000000"/>
                <w:sz w:val="12"/>
                <w:szCs w:val="12"/>
                <w:lang w:eastAsia="nl-NL"/>
              </w:rPr>
              <w:t>52000</w:t>
            </w:r>
          </w:p>
        </w:tc>
      </w:tr>
      <w:tr w:rsidR="002375F3" w:rsidRPr="004B6587" w:rsidTr="00D66A40">
        <w:trPr>
          <w:trHeight w:val="240"/>
        </w:trPr>
        <w:tc>
          <w:tcPr>
            <w:tcW w:w="3220" w:type="dxa"/>
            <w:tcBorders>
              <w:top w:val="nil"/>
              <w:left w:val="nil"/>
              <w:bottom w:val="single" w:sz="8" w:space="0" w:color="auto"/>
              <w:right w:val="nil"/>
            </w:tcBorders>
            <w:shd w:val="clear" w:color="auto" w:fill="auto"/>
            <w:vAlign w:val="bottom"/>
            <w:hideMark/>
          </w:tcPr>
          <w:p w:rsidR="002375F3" w:rsidRPr="004B6587" w:rsidRDefault="002375F3" w:rsidP="00D66A40">
            <w:pPr>
              <w:spacing w:after="0" w:line="240" w:lineRule="auto"/>
              <w:rPr>
                <w:rFonts w:eastAsia="Times New Roman" w:cs="Times New Roman"/>
                <w:color w:val="000000"/>
                <w:sz w:val="12"/>
                <w:szCs w:val="12"/>
                <w:lang w:eastAsia="nl-NL"/>
              </w:rPr>
            </w:pPr>
            <w:r w:rsidRPr="004B6587">
              <w:rPr>
                <w:rFonts w:eastAsia="Times New Roman" w:cs="Times New Roman"/>
                <w:color w:val="000000"/>
                <w:sz w:val="12"/>
                <w:szCs w:val="12"/>
                <w:lang w:eastAsia="nl-NL"/>
              </w:rPr>
              <w:t> </w:t>
            </w:r>
          </w:p>
        </w:tc>
        <w:tc>
          <w:tcPr>
            <w:tcW w:w="1140" w:type="dxa"/>
            <w:tcBorders>
              <w:top w:val="nil"/>
              <w:left w:val="nil"/>
              <w:bottom w:val="single" w:sz="8" w:space="0" w:color="auto"/>
              <w:right w:val="nil"/>
            </w:tcBorders>
            <w:shd w:val="clear" w:color="000000" w:fill="FFFFFF"/>
            <w:noWrap/>
            <w:hideMark/>
          </w:tcPr>
          <w:p w:rsidR="002375F3" w:rsidRPr="004B6587" w:rsidRDefault="002375F3" w:rsidP="00D66A40">
            <w:pPr>
              <w:spacing w:after="0" w:line="240" w:lineRule="auto"/>
              <w:rPr>
                <w:rFonts w:ascii="Arial" w:eastAsia="Times New Roman" w:hAnsi="Arial" w:cs="Arial"/>
                <w:sz w:val="12"/>
                <w:szCs w:val="12"/>
                <w:lang w:eastAsia="nl-NL"/>
              </w:rPr>
            </w:pPr>
            <w:r w:rsidRPr="004B6587">
              <w:rPr>
                <w:rFonts w:ascii="Arial" w:eastAsia="Times New Roman" w:hAnsi="Arial" w:cs="Arial"/>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4B6587" w:rsidRDefault="002375F3" w:rsidP="00D66A40">
            <w:pPr>
              <w:spacing w:after="0" w:line="240" w:lineRule="auto"/>
              <w:rPr>
                <w:rFonts w:eastAsia="Times New Roman" w:cs="Times New Roman"/>
                <w:color w:val="000000"/>
                <w:sz w:val="12"/>
                <w:szCs w:val="12"/>
                <w:lang w:eastAsia="nl-NL"/>
              </w:rPr>
            </w:pPr>
            <w:r w:rsidRPr="004B6587">
              <w:rPr>
                <w:rFonts w:eastAsia="Times New Roman" w:cs="Times New Roman"/>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4B6587" w:rsidRDefault="002375F3" w:rsidP="00D66A40">
            <w:pPr>
              <w:spacing w:after="0" w:line="240" w:lineRule="auto"/>
              <w:rPr>
                <w:rFonts w:eastAsia="Times New Roman" w:cs="Times New Roman"/>
                <w:color w:val="000000"/>
                <w:sz w:val="12"/>
                <w:szCs w:val="12"/>
                <w:lang w:eastAsia="nl-NL"/>
              </w:rPr>
            </w:pPr>
            <w:r w:rsidRPr="004B6587">
              <w:rPr>
                <w:rFonts w:eastAsia="Times New Roman" w:cs="Times New Roman"/>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4B6587" w:rsidRDefault="002375F3" w:rsidP="00D66A40">
            <w:pPr>
              <w:spacing w:after="0" w:line="240" w:lineRule="auto"/>
              <w:rPr>
                <w:rFonts w:eastAsia="Times New Roman" w:cs="Times New Roman"/>
                <w:color w:val="000000"/>
                <w:sz w:val="12"/>
                <w:szCs w:val="12"/>
                <w:lang w:eastAsia="nl-NL"/>
              </w:rPr>
            </w:pPr>
            <w:r w:rsidRPr="004B6587">
              <w:rPr>
                <w:rFonts w:eastAsia="Times New Roman" w:cs="Times New Roman"/>
                <w:color w:val="000000"/>
                <w:sz w:val="12"/>
                <w:szCs w:val="12"/>
                <w:lang w:eastAsia="nl-NL"/>
              </w:rPr>
              <w:t> </w:t>
            </w:r>
          </w:p>
        </w:tc>
      </w:tr>
    </w:tbl>
    <w:p w:rsidR="002375F3" w:rsidRDefault="002375F3" w:rsidP="002375F3">
      <w:pPr>
        <w:rPr>
          <w:rFonts w:asciiTheme="minorHAnsi" w:hAnsiTheme="minorHAnsi"/>
          <w:b/>
          <w:szCs w:val="18"/>
        </w:rPr>
      </w:pPr>
      <w:r>
        <w:rPr>
          <w:rFonts w:asciiTheme="minorHAnsi" w:hAnsiTheme="minorHAnsi"/>
          <w:b/>
          <w:szCs w:val="18"/>
        </w:rPr>
        <w:br w:type="page"/>
      </w:r>
    </w:p>
    <w:p w:rsidR="002375F3" w:rsidRDefault="002375F3" w:rsidP="002375F3">
      <w:pPr>
        <w:spacing w:after="0" w:line="240" w:lineRule="exact"/>
        <w:rPr>
          <w:rFonts w:asciiTheme="minorHAnsi" w:hAnsiTheme="minorHAnsi"/>
          <w:b/>
          <w:szCs w:val="18"/>
        </w:rPr>
      </w:pPr>
      <w:r>
        <w:rPr>
          <w:rFonts w:asciiTheme="minorHAnsi" w:hAnsiTheme="minorHAnsi"/>
          <w:b/>
          <w:szCs w:val="18"/>
        </w:rPr>
        <w:lastRenderedPageBreak/>
        <w:t xml:space="preserve">Toelichting </w:t>
      </w:r>
    </w:p>
    <w:p w:rsidR="002375F3" w:rsidRDefault="002375F3" w:rsidP="002375F3">
      <w:pPr>
        <w:spacing w:after="0" w:line="240" w:lineRule="exact"/>
        <w:rPr>
          <w:rFonts w:asciiTheme="minorHAnsi" w:hAnsiTheme="minorHAnsi"/>
          <w:b/>
          <w:szCs w:val="18"/>
        </w:rPr>
      </w:pPr>
    </w:p>
    <w:p w:rsidR="002375F3" w:rsidRPr="00881C6F" w:rsidRDefault="002375F3" w:rsidP="002375F3">
      <w:pPr>
        <w:spacing w:after="0" w:line="240" w:lineRule="exact"/>
        <w:rPr>
          <w:rFonts w:asciiTheme="minorHAnsi" w:hAnsiTheme="minorHAnsi"/>
          <w:b/>
          <w:szCs w:val="18"/>
        </w:rPr>
      </w:pPr>
      <w:r w:rsidRPr="00881C6F">
        <w:rPr>
          <w:rFonts w:asciiTheme="minorHAnsi" w:hAnsiTheme="minorHAnsi"/>
          <w:b/>
          <w:szCs w:val="18"/>
        </w:rPr>
        <w:t>Verplichting</w:t>
      </w:r>
      <w:r>
        <w:rPr>
          <w:rFonts w:asciiTheme="minorHAnsi" w:hAnsiTheme="minorHAnsi"/>
          <w:b/>
          <w:szCs w:val="18"/>
        </w:rPr>
        <w:t xml:space="preserve"> (+ € 2,7 mld.)</w:t>
      </w:r>
    </w:p>
    <w:p w:rsidR="002375F3" w:rsidRDefault="002375F3" w:rsidP="002375F3">
      <w:pPr>
        <w:pStyle w:val="Geenafstand"/>
        <w:spacing w:line="240" w:lineRule="exact"/>
        <w:rPr>
          <w:rFonts w:asciiTheme="minorHAnsi" w:hAnsiTheme="minorHAnsi"/>
          <w:i/>
          <w:szCs w:val="18"/>
        </w:rPr>
      </w:pP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Verwerving vermogenstitels</w:t>
      </w:r>
      <w:r>
        <w:rPr>
          <w:rFonts w:asciiTheme="minorHAnsi" w:hAnsiTheme="minorHAnsi"/>
          <w:i/>
          <w:szCs w:val="18"/>
        </w:rPr>
        <w:t xml:space="preserve"> </w:t>
      </w:r>
      <w:r w:rsidRPr="003F0DEF">
        <w:rPr>
          <w:rFonts w:asciiTheme="minorHAnsi" w:hAnsiTheme="minorHAnsi"/>
          <w:szCs w:val="18"/>
        </w:rPr>
        <w:t>(+ € 2,7 mld.)</w:t>
      </w:r>
    </w:p>
    <w:p w:rsidR="002375F3" w:rsidRPr="00881C6F" w:rsidRDefault="002375F3" w:rsidP="002375F3">
      <w:pPr>
        <w:pStyle w:val="Geenafstand"/>
        <w:spacing w:line="240" w:lineRule="exact"/>
        <w:rPr>
          <w:rFonts w:asciiTheme="minorHAnsi" w:hAnsiTheme="minorHAnsi"/>
          <w:szCs w:val="18"/>
        </w:rPr>
      </w:pPr>
      <w:r w:rsidRPr="00881C6F">
        <w:rPr>
          <w:rFonts w:asciiTheme="minorHAnsi" w:hAnsiTheme="minorHAnsi"/>
          <w:szCs w:val="18"/>
        </w:rPr>
        <w:t>In verband met de verplaatsing van SNS Bank heeft de staat de aandelen SNS Bank van SNS REAAL gekocht, zie ook Kamerbrief 33 532 nr. 47.</w:t>
      </w:r>
    </w:p>
    <w:p w:rsidR="002375F3" w:rsidRPr="00881C6F" w:rsidRDefault="002375F3" w:rsidP="002375F3">
      <w:pPr>
        <w:pStyle w:val="Geenafstand"/>
        <w:spacing w:line="240" w:lineRule="exact"/>
        <w:rPr>
          <w:rFonts w:asciiTheme="minorHAnsi" w:hAnsiTheme="minorHAnsi"/>
          <w:b/>
          <w:szCs w:val="18"/>
        </w:rPr>
      </w:pPr>
    </w:p>
    <w:p w:rsidR="002375F3" w:rsidRPr="00881C6F" w:rsidRDefault="002375F3" w:rsidP="002375F3">
      <w:pPr>
        <w:pStyle w:val="Geenafstand"/>
        <w:spacing w:line="240" w:lineRule="exact"/>
        <w:rPr>
          <w:rFonts w:asciiTheme="minorHAnsi" w:hAnsiTheme="minorHAnsi"/>
          <w:b/>
          <w:szCs w:val="18"/>
        </w:rPr>
      </w:pPr>
    </w:p>
    <w:p w:rsidR="002375F3" w:rsidRPr="00881C6F" w:rsidRDefault="002375F3" w:rsidP="002375F3">
      <w:pPr>
        <w:pStyle w:val="Geenafstand"/>
        <w:spacing w:line="240" w:lineRule="exact"/>
        <w:rPr>
          <w:rFonts w:asciiTheme="minorHAnsi" w:hAnsiTheme="minorHAnsi"/>
          <w:b/>
          <w:szCs w:val="18"/>
        </w:rPr>
      </w:pPr>
      <w:r w:rsidRPr="00881C6F">
        <w:rPr>
          <w:rFonts w:asciiTheme="minorHAnsi" w:hAnsiTheme="minorHAnsi"/>
          <w:b/>
          <w:szCs w:val="18"/>
        </w:rPr>
        <w:t>Uitgaven</w:t>
      </w:r>
      <w:r>
        <w:rPr>
          <w:rFonts w:asciiTheme="minorHAnsi" w:hAnsiTheme="minorHAnsi"/>
          <w:b/>
          <w:szCs w:val="18"/>
        </w:rPr>
        <w:t xml:space="preserve"> (+ € 1,1 mld.)</w:t>
      </w:r>
    </w:p>
    <w:p w:rsidR="002375F3" w:rsidRDefault="002375F3" w:rsidP="002375F3">
      <w:pPr>
        <w:pStyle w:val="Geenafstand"/>
        <w:spacing w:line="240" w:lineRule="exact"/>
        <w:rPr>
          <w:rFonts w:asciiTheme="minorHAnsi" w:hAnsiTheme="minorHAnsi"/>
          <w:i/>
          <w:szCs w:val="18"/>
        </w:rPr>
      </w:pP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Verwerving vermogenstitels</w:t>
      </w:r>
      <w:r>
        <w:rPr>
          <w:rFonts w:asciiTheme="minorHAnsi" w:hAnsiTheme="minorHAnsi"/>
          <w:i/>
          <w:szCs w:val="18"/>
        </w:rPr>
        <w:t xml:space="preserve"> (+ € 1,1 mld.)</w:t>
      </w:r>
    </w:p>
    <w:p w:rsidR="002375F3" w:rsidRPr="00881C6F" w:rsidRDefault="002375F3" w:rsidP="002375F3">
      <w:pPr>
        <w:pStyle w:val="Geenafstand"/>
        <w:spacing w:line="240" w:lineRule="exact"/>
        <w:rPr>
          <w:rFonts w:asciiTheme="minorHAnsi" w:hAnsiTheme="minorHAnsi"/>
          <w:szCs w:val="18"/>
        </w:rPr>
      </w:pPr>
      <w:r w:rsidRPr="00881C6F">
        <w:rPr>
          <w:rFonts w:asciiTheme="minorHAnsi" w:hAnsiTheme="minorHAnsi"/>
          <w:szCs w:val="18"/>
        </w:rPr>
        <w:t>In verband met de verplaatsing van SNS Bank heeft de staat de aandelen SNS Bank van SNS REAAL gekocht, zie ook Kamerbrief 33 532 nr. 47. Hierbij is de eerder aan SNS REAAL verstrekte overbruggingslening van € 1,1 mld. verrekend met de aankoopprijs. Bij de uitgaven is daarom een betaling van € 1,1 mld. opgenomen. Aan de ontvangstenkant is hetzelfde bedrag opgenomen voor de verrekening met het overbruggingskrediet.</w:t>
      </w:r>
    </w:p>
    <w:p w:rsidR="002375F3" w:rsidRPr="00881C6F" w:rsidRDefault="002375F3" w:rsidP="002375F3">
      <w:pPr>
        <w:pStyle w:val="Geenafstand"/>
        <w:spacing w:line="240" w:lineRule="exact"/>
        <w:rPr>
          <w:rFonts w:asciiTheme="minorHAnsi" w:hAnsiTheme="minorHAnsi"/>
          <w:i/>
          <w:szCs w:val="18"/>
        </w:rPr>
      </w:pP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 xml:space="preserve">Garanties </w:t>
      </w:r>
      <w:r>
        <w:rPr>
          <w:rFonts w:asciiTheme="minorHAnsi" w:hAnsiTheme="minorHAnsi"/>
          <w:i/>
          <w:szCs w:val="18"/>
        </w:rPr>
        <w:t>(- € 50.000)</w:t>
      </w:r>
    </w:p>
    <w:p w:rsidR="002375F3" w:rsidRPr="00881C6F" w:rsidRDefault="002375F3" w:rsidP="002375F3">
      <w:pPr>
        <w:pStyle w:val="Geenafstand"/>
        <w:spacing w:line="240" w:lineRule="exact"/>
        <w:rPr>
          <w:rFonts w:asciiTheme="minorHAnsi" w:hAnsiTheme="minorHAnsi"/>
          <w:szCs w:val="18"/>
        </w:rPr>
      </w:pPr>
      <w:r w:rsidRPr="00881C6F">
        <w:rPr>
          <w:rFonts w:asciiTheme="minorHAnsi" w:hAnsiTheme="minorHAnsi"/>
          <w:szCs w:val="18"/>
        </w:rPr>
        <w:t>De uitgaven voor de regeling Bijzondere Financiering vallen lager uit dan geraamd.</w:t>
      </w:r>
    </w:p>
    <w:p w:rsidR="002375F3" w:rsidRPr="00881C6F" w:rsidRDefault="002375F3" w:rsidP="002375F3">
      <w:pPr>
        <w:pStyle w:val="Geenafstand"/>
        <w:spacing w:line="240" w:lineRule="exact"/>
        <w:rPr>
          <w:rFonts w:asciiTheme="minorHAnsi" w:hAnsiTheme="minorHAnsi"/>
          <w:szCs w:val="18"/>
        </w:rPr>
      </w:pP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Opdrachten</w:t>
      </w:r>
      <w:r>
        <w:rPr>
          <w:rFonts w:asciiTheme="minorHAnsi" w:hAnsiTheme="minorHAnsi"/>
          <w:i/>
          <w:szCs w:val="18"/>
        </w:rPr>
        <w:t xml:space="preserve"> (+ € 13,4 mln.)</w:t>
      </w:r>
    </w:p>
    <w:p w:rsidR="002375F3" w:rsidRDefault="002375F3" w:rsidP="002375F3">
      <w:pPr>
        <w:pStyle w:val="Geenafstand"/>
        <w:spacing w:line="240" w:lineRule="exact"/>
        <w:rPr>
          <w:rFonts w:asciiTheme="minorHAnsi" w:hAnsiTheme="minorHAnsi"/>
          <w:i/>
          <w:szCs w:val="18"/>
        </w:rPr>
      </w:pPr>
      <w:r w:rsidRPr="00881C6F">
        <w:rPr>
          <w:rFonts w:asciiTheme="minorHAnsi" w:hAnsiTheme="minorHAnsi"/>
          <w:szCs w:val="18"/>
        </w:rPr>
        <w:t>De uitvoeringskosten voor de staatsdeelnemingen zijn verhoogd in verband met de verkoop van de financiële deelnemingen.</w:t>
      </w:r>
      <w:r>
        <w:rPr>
          <w:rFonts w:asciiTheme="minorHAnsi" w:hAnsiTheme="minorHAnsi"/>
          <w:szCs w:val="18"/>
        </w:rPr>
        <w:t xml:space="preserve"> </w:t>
      </w:r>
      <w:r w:rsidRPr="00881C6F">
        <w:rPr>
          <w:rFonts w:asciiTheme="minorHAnsi" w:hAnsiTheme="minorHAnsi"/>
          <w:szCs w:val="18"/>
        </w:rPr>
        <w:t xml:space="preserve">Het grootste deel van de mutatie ziet op de verkoopkosten met betrekking tot ABN AMRO, zie ook Kamerbrief </w:t>
      </w:r>
      <w:r w:rsidRPr="00881C6F">
        <w:rPr>
          <w:rFonts w:asciiTheme="minorHAnsi" w:hAnsiTheme="minorHAnsi"/>
          <w:color w:val="211D1F"/>
          <w:szCs w:val="18"/>
        </w:rPr>
        <w:t>31 789, nr. 77</w:t>
      </w:r>
      <w:r w:rsidRPr="00881C6F">
        <w:rPr>
          <w:rFonts w:asciiTheme="minorHAnsi" w:hAnsiTheme="minorHAnsi"/>
          <w:szCs w:val="18"/>
        </w:rPr>
        <w:t>.</w:t>
      </w:r>
    </w:p>
    <w:p w:rsidR="002375F3" w:rsidRPr="00881C6F" w:rsidRDefault="002375F3" w:rsidP="002375F3">
      <w:pPr>
        <w:pStyle w:val="Geenafstand"/>
        <w:spacing w:line="240" w:lineRule="exact"/>
        <w:rPr>
          <w:rFonts w:asciiTheme="minorHAnsi" w:hAnsiTheme="minorHAnsi"/>
          <w:szCs w:val="18"/>
        </w:rPr>
      </w:pPr>
      <w:r w:rsidRPr="00881C6F">
        <w:rPr>
          <w:rFonts w:asciiTheme="minorHAnsi" w:hAnsiTheme="minorHAnsi"/>
          <w:szCs w:val="18"/>
        </w:rPr>
        <w:t xml:space="preserve"> </w:t>
      </w:r>
    </w:p>
    <w:p w:rsidR="002375F3" w:rsidRPr="00881C6F" w:rsidRDefault="002375F3" w:rsidP="002375F3">
      <w:pPr>
        <w:pStyle w:val="Geenafstand"/>
        <w:spacing w:line="240" w:lineRule="exact"/>
        <w:rPr>
          <w:rFonts w:asciiTheme="minorHAnsi" w:hAnsiTheme="minorHAnsi"/>
          <w:szCs w:val="18"/>
        </w:rPr>
      </w:pPr>
    </w:p>
    <w:p w:rsidR="002375F3" w:rsidRPr="00881C6F" w:rsidRDefault="002375F3" w:rsidP="002375F3">
      <w:pPr>
        <w:pStyle w:val="Geenafstand"/>
        <w:spacing w:line="240" w:lineRule="exact"/>
        <w:rPr>
          <w:rFonts w:asciiTheme="minorHAnsi" w:hAnsiTheme="minorHAnsi"/>
          <w:b/>
          <w:szCs w:val="18"/>
        </w:rPr>
      </w:pPr>
      <w:r w:rsidRPr="00881C6F">
        <w:rPr>
          <w:rFonts w:asciiTheme="minorHAnsi" w:hAnsiTheme="minorHAnsi"/>
          <w:b/>
          <w:szCs w:val="18"/>
        </w:rPr>
        <w:t>Ontvangsten</w:t>
      </w:r>
      <w:r>
        <w:rPr>
          <w:rFonts w:asciiTheme="minorHAnsi" w:hAnsiTheme="minorHAnsi"/>
          <w:b/>
          <w:szCs w:val="18"/>
        </w:rPr>
        <w:t xml:space="preserve"> (+ € 4,7 mld.)</w:t>
      </w:r>
    </w:p>
    <w:p w:rsidR="002375F3" w:rsidRPr="00881C6F" w:rsidRDefault="002375F3" w:rsidP="002375F3">
      <w:pPr>
        <w:pStyle w:val="Geenafstand"/>
        <w:spacing w:line="240" w:lineRule="exact"/>
        <w:rPr>
          <w:rFonts w:asciiTheme="minorHAnsi" w:hAnsiTheme="minorHAnsi"/>
          <w:szCs w:val="18"/>
        </w:rPr>
      </w:pPr>
    </w:p>
    <w:p w:rsidR="002375F3" w:rsidRPr="00F12584" w:rsidRDefault="002375F3" w:rsidP="002375F3">
      <w:pPr>
        <w:pStyle w:val="Geenafstand"/>
        <w:spacing w:line="240" w:lineRule="exact"/>
        <w:rPr>
          <w:rFonts w:asciiTheme="minorHAnsi" w:hAnsiTheme="minorHAnsi" w:cs="Calibri"/>
          <w:i/>
          <w:iCs/>
        </w:rPr>
      </w:pPr>
      <w:r w:rsidRPr="00F12584">
        <w:rPr>
          <w:rFonts w:asciiTheme="minorHAnsi" w:hAnsiTheme="minorHAnsi" w:cs="Calibri"/>
          <w:i/>
          <w:iCs/>
        </w:rPr>
        <w:t>Leningen (+ € 1,1 mld.)</w:t>
      </w:r>
    </w:p>
    <w:p w:rsidR="002375F3" w:rsidRPr="00F12584" w:rsidRDefault="002375F3" w:rsidP="002375F3">
      <w:pPr>
        <w:pStyle w:val="Geenafstand"/>
        <w:spacing w:line="240" w:lineRule="exact"/>
        <w:rPr>
          <w:rFonts w:asciiTheme="minorHAnsi" w:hAnsiTheme="minorHAnsi" w:cs="Calibri"/>
        </w:rPr>
      </w:pPr>
      <w:r w:rsidRPr="00F12584">
        <w:rPr>
          <w:rFonts w:asciiTheme="minorHAnsi" w:hAnsiTheme="minorHAnsi" w:cs="Calibri"/>
        </w:rPr>
        <w:t>In verband met de verplaatsing van SNS Bank heeft de staat de aandelen SNS Bank van SNS REAAL gekocht, zie ook Kamerbrief 33 532 nr. 47. Hierbij is de eerder aan SNS REAAL verstrekte overbruggingslening van € 1,1 mld. verrekend met de aankoopprijs. Bij de uitgaven is daarom een betaling van € 1,1 mld. opgenomen. Aan de ontvangstenkant is hetzelfde bedrag opgenomen voor de verrekening met het overbruggingskrediet.</w:t>
      </w:r>
    </w:p>
    <w:p w:rsidR="002375F3" w:rsidRPr="00F12584" w:rsidRDefault="002375F3" w:rsidP="002375F3">
      <w:pPr>
        <w:pStyle w:val="Geenafstand"/>
        <w:spacing w:line="240" w:lineRule="exact"/>
        <w:rPr>
          <w:rFonts w:asciiTheme="minorHAnsi" w:hAnsiTheme="minorHAnsi" w:cs="Calibri"/>
        </w:rPr>
      </w:pPr>
    </w:p>
    <w:p w:rsidR="002375F3" w:rsidRPr="00F12584" w:rsidRDefault="002375F3" w:rsidP="002375F3">
      <w:pPr>
        <w:pStyle w:val="Geenafstand"/>
        <w:spacing w:line="240" w:lineRule="exact"/>
        <w:rPr>
          <w:rFonts w:asciiTheme="minorHAnsi" w:hAnsiTheme="minorHAnsi" w:cs="Calibri"/>
        </w:rPr>
      </w:pPr>
      <w:r w:rsidRPr="00F12584">
        <w:rPr>
          <w:rFonts w:asciiTheme="minorHAnsi" w:hAnsiTheme="minorHAnsi" w:cs="Calibri"/>
        </w:rPr>
        <w:t>Door het verrekenen van het overbruggingskrediet met de aankoopprijs van SNS Bank wordt er sinds 30 september geen rente meer betaald over het overbruggingskrediet. De realisatie van de renteontvangsten over de eerste negen maanden van het jaar is nu opgenomen. De voor 30 september opgebouwde en nog verschuldigde rente is verrekend met de resterende verplichting voor de aankoop van SNS Bank (zie ook de 1,95 mln. aan de uitgavenkant).</w:t>
      </w:r>
    </w:p>
    <w:p w:rsidR="002375F3" w:rsidRDefault="002375F3" w:rsidP="002375F3">
      <w:pPr>
        <w:pStyle w:val="Geenafstand"/>
        <w:spacing w:line="240" w:lineRule="exact"/>
        <w:rPr>
          <w:rFonts w:asciiTheme="minorHAnsi" w:hAnsiTheme="minorHAnsi"/>
          <w:szCs w:val="18"/>
        </w:rPr>
      </w:pPr>
    </w:p>
    <w:p w:rsidR="002375F3" w:rsidRPr="003750E3" w:rsidRDefault="002375F3" w:rsidP="002375F3">
      <w:pPr>
        <w:pStyle w:val="Geenafstand"/>
        <w:spacing w:line="240" w:lineRule="exact"/>
        <w:rPr>
          <w:rFonts w:asciiTheme="minorHAnsi" w:hAnsiTheme="minorHAnsi"/>
          <w:i/>
          <w:szCs w:val="18"/>
        </w:rPr>
      </w:pPr>
      <w:r w:rsidRPr="003750E3">
        <w:rPr>
          <w:rFonts w:asciiTheme="minorHAnsi" w:hAnsiTheme="minorHAnsi"/>
          <w:i/>
          <w:szCs w:val="18"/>
        </w:rPr>
        <w:t>Opbrengst verkoop vermogenstitels</w:t>
      </w:r>
      <w:r>
        <w:rPr>
          <w:rFonts w:asciiTheme="minorHAnsi" w:hAnsiTheme="minorHAnsi"/>
          <w:i/>
          <w:szCs w:val="18"/>
        </w:rPr>
        <w:t xml:space="preserve"> (+ € 3,3 mld.)</w:t>
      </w:r>
    </w:p>
    <w:p w:rsidR="002375F3" w:rsidRPr="00292CBC" w:rsidRDefault="002375F3" w:rsidP="002375F3">
      <w:pPr>
        <w:rPr>
          <w:iCs/>
          <w:szCs w:val="18"/>
        </w:rPr>
      </w:pPr>
      <w:r w:rsidRPr="003750E3">
        <w:rPr>
          <w:iCs/>
          <w:szCs w:val="18"/>
        </w:rPr>
        <w:t xml:space="preserve">Op vrijdag 20 november is ABN AMRO naar de beurs gegaan. De omvang van de toegewezen certificaten van de eerste plaatsing is vastgesteld op 20%, oftewel 188 miljoen certificaten. De prijs per certificaat is vastgesteld op € 17,75 euro. Dit heeft geresulteerd in een bruto verkoopopbrengst van € 3.337.000.000. Van dit bedrag zijn de kosten van € 9.500.000 afgetrokken, waardoor de Staat een netto bedrag heeft ontvangen van € 3.327.500.000. Op 24 november heeft de juridische afwikkeling van de verplichtingen  plaatsgevonden en zijn de certificaten geleverd tegen de betaling, de zogenaamde </w:t>
      </w:r>
      <w:proofErr w:type="spellStart"/>
      <w:r w:rsidRPr="003750E3">
        <w:rPr>
          <w:iCs/>
          <w:szCs w:val="18"/>
        </w:rPr>
        <w:t>settlement</w:t>
      </w:r>
      <w:proofErr w:type="spellEnd"/>
      <w:r w:rsidRPr="003750E3">
        <w:rPr>
          <w:iCs/>
          <w:szCs w:val="18"/>
        </w:rPr>
        <w:t xml:space="preserve">. Tot 30 dagen na de eerste handelsdag kan door de begeleidende banken gebruik worden gemaakt van de </w:t>
      </w:r>
      <w:proofErr w:type="spellStart"/>
      <w:r w:rsidRPr="003750E3">
        <w:rPr>
          <w:iCs/>
          <w:szCs w:val="18"/>
        </w:rPr>
        <w:t>greenshoe</w:t>
      </w:r>
      <w:proofErr w:type="spellEnd"/>
      <w:r w:rsidRPr="003750E3">
        <w:rPr>
          <w:iCs/>
          <w:szCs w:val="18"/>
        </w:rPr>
        <w:t xml:space="preserve"> optie om de koers te stabiliseren. Na deze termijn kan de definitieve opbrengst worden vastgesteld. In de </w:t>
      </w:r>
      <w:proofErr w:type="spellStart"/>
      <w:r w:rsidRPr="003750E3">
        <w:rPr>
          <w:iCs/>
          <w:szCs w:val="18"/>
        </w:rPr>
        <w:t>slotwet</w:t>
      </w:r>
      <w:proofErr w:type="spellEnd"/>
      <w:r w:rsidRPr="003750E3">
        <w:rPr>
          <w:iCs/>
          <w:szCs w:val="18"/>
        </w:rPr>
        <w:t xml:space="preserve"> zullen de eventuele opbrengsten van de </w:t>
      </w:r>
      <w:proofErr w:type="spellStart"/>
      <w:r w:rsidRPr="003750E3">
        <w:rPr>
          <w:iCs/>
          <w:szCs w:val="18"/>
        </w:rPr>
        <w:t>greenshoe</w:t>
      </w:r>
      <w:proofErr w:type="spellEnd"/>
      <w:r w:rsidRPr="003750E3">
        <w:rPr>
          <w:iCs/>
          <w:szCs w:val="18"/>
        </w:rPr>
        <w:t xml:space="preserve"> worden opgenomen.</w:t>
      </w: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Vermogensonttrekking</w:t>
      </w:r>
      <w:r>
        <w:rPr>
          <w:rFonts w:asciiTheme="minorHAnsi" w:hAnsiTheme="minorHAnsi"/>
          <w:i/>
          <w:szCs w:val="18"/>
        </w:rPr>
        <w:t xml:space="preserve"> (+ € 249 mln.)</w:t>
      </w:r>
    </w:p>
    <w:p w:rsidR="002375F3" w:rsidRPr="00292CBC" w:rsidRDefault="002375F3" w:rsidP="002375F3">
      <w:pPr>
        <w:pStyle w:val="Geenafstand"/>
        <w:spacing w:line="240" w:lineRule="exact"/>
        <w:rPr>
          <w:rFonts w:asciiTheme="minorHAnsi" w:hAnsiTheme="minorHAnsi"/>
          <w:szCs w:val="18"/>
        </w:rPr>
      </w:pPr>
      <w:r w:rsidRPr="00881C6F">
        <w:rPr>
          <w:rFonts w:asciiTheme="minorHAnsi" w:hAnsiTheme="minorHAnsi"/>
          <w:szCs w:val="18"/>
        </w:rPr>
        <w:t>De ontvangen dividenden van de staatsdeelnemingen zijn hoger dan geraamd. Dit komt voornamelijk door hoger dan geraamde dividenden van de financiële instellingen (+239 mln.). Dit deel van de meevaller is conform begrotingsregel 24 niet relevant voor het uitgavenkader.</w:t>
      </w:r>
    </w:p>
    <w:p w:rsidR="002375F3" w:rsidRPr="00881C6F" w:rsidRDefault="002375F3" w:rsidP="002375F3">
      <w:pPr>
        <w:pStyle w:val="Geenafstand"/>
        <w:spacing w:line="240" w:lineRule="exact"/>
        <w:rPr>
          <w:rFonts w:asciiTheme="minorHAnsi" w:hAnsiTheme="minorHAnsi"/>
          <w:b/>
          <w:szCs w:val="18"/>
        </w:rPr>
      </w:pPr>
    </w:p>
    <w:p w:rsidR="002375F3" w:rsidRDefault="002375F3" w:rsidP="002375F3">
      <w:pPr>
        <w:spacing w:after="0" w:line="240" w:lineRule="exact"/>
        <w:rPr>
          <w:b/>
        </w:rPr>
      </w:pPr>
      <w:r w:rsidRPr="003F0DEF">
        <w:rPr>
          <w:b/>
        </w:rPr>
        <w:t>Artikel 4 Internationale financiële betrekkingen</w:t>
      </w:r>
    </w:p>
    <w:p w:rsidR="002375F3" w:rsidRDefault="002375F3" w:rsidP="002375F3">
      <w:pPr>
        <w:spacing w:after="0" w:line="240" w:lineRule="exact"/>
        <w:rPr>
          <w:b/>
        </w:rPr>
      </w:pPr>
    </w:p>
    <w:tbl>
      <w:tblPr>
        <w:tblW w:w="7160" w:type="dxa"/>
        <w:tblInd w:w="70" w:type="dxa"/>
        <w:tblCellMar>
          <w:left w:w="70" w:type="dxa"/>
          <w:right w:w="70" w:type="dxa"/>
        </w:tblCellMar>
        <w:tblLook w:val="04A0" w:firstRow="1" w:lastRow="0" w:firstColumn="1" w:lastColumn="0" w:noHBand="0" w:noVBand="1"/>
      </w:tblPr>
      <w:tblGrid>
        <w:gridCol w:w="2600"/>
        <w:gridCol w:w="1140"/>
        <w:gridCol w:w="1140"/>
        <w:gridCol w:w="1140"/>
        <w:gridCol w:w="1140"/>
      </w:tblGrid>
      <w:tr w:rsidR="002375F3" w:rsidRPr="00F12AEF" w:rsidTr="00D66A40">
        <w:trPr>
          <w:trHeight w:val="180"/>
        </w:trPr>
        <w:tc>
          <w:tcPr>
            <w:tcW w:w="7160" w:type="dxa"/>
            <w:gridSpan w:val="5"/>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4"/>
                <w:szCs w:val="14"/>
                <w:lang w:eastAsia="nl-NL"/>
              </w:rPr>
            </w:pPr>
            <w:r w:rsidRPr="00F12AEF">
              <w:rPr>
                <w:rFonts w:ascii="Arial" w:eastAsia="Times New Roman" w:hAnsi="Arial" w:cs="Arial"/>
                <w:b/>
                <w:bCs/>
                <w:sz w:val="14"/>
                <w:szCs w:val="14"/>
                <w:lang w:eastAsia="nl-NL"/>
              </w:rPr>
              <w:lastRenderedPageBreak/>
              <w:t>Budgettaire gevolgen van beleid  - beleidsartikel 4 Internationale Financiële Betrekkingen</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Bedragen x € 1.000</w:t>
            </w:r>
          </w:p>
        </w:tc>
        <w:tc>
          <w:tcPr>
            <w:tcW w:w="1140" w:type="dxa"/>
            <w:tcBorders>
              <w:top w:val="nil"/>
              <w:left w:val="nil"/>
              <w:bottom w:val="nil"/>
              <w:right w:val="nil"/>
            </w:tcBorders>
            <w:shd w:val="clear" w:color="000000" w:fill="FFFFFF"/>
            <w:noWrap/>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170"/>
        </w:trPr>
        <w:tc>
          <w:tcPr>
            <w:tcW w:w="2600" w:type="dxa"/>
            <w:tcBorders>
              <w:top w:val="single" w:sz="4" w:space="0" w:color="auto"/>
              <w:left w:val="nil"/>
              <w:bottom w:val="single" w:sz="8" w:space="0" w:color="auto"/>
              <w:right w:val="nil"/>
            </w:tcBorders>
            <w:shd w:val="clear" w:color="000000" w:fill="FFFFFF"/>
            <w:vAlign w:val="center"/>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 </w:t>
            </w:r>
          </w:p>
        </w:tc>
        <w:tc>
          <w:tcPr>
            <w:tcW w:w="1140" w:type="dxa"/>
            <w:tcBorders>
              <w:top w:val="single" w:sz="4" w:space="0" w:color="auto"/>
              <w:left w:val="nil"/>
              <w:bottom w:val="single" w:sz="8" w:space="0" w:color="auto"/>
              <w:right w:val="nil"/>
            </w:tcBorders>
            <w:shd w:val="clear" w:color="000000" w:fill="FFFFFF"/>
            <w:hideMark/>
          </w:tcPr>
          <w:p w:rsidR="002375F3" w:rsidRPr="00F12AEF" w:rsidRDefault="002375F3" w:rsidP="00D66A40">
            <w:pPr>
              <w:spacing w:after="0" w:line="240" w:lineRule="auto"/>
              <w:jc w:val="center"/>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Stand</w:t>
            </w:r>
            <w:r w:rsidRPr="00F12AEF">
              <w:rPr>
                <w:rFonts w:ascii="Arial" w:eastAsia="Times New Roman" w:hAnsi="Arial" w:cs="Arial"/>
                <w:b/>
                <w:bCs/>
                <w:sz w:val="12"/>
                <w:szCs w:val="12"/>
                <w:lang w:eastAsia="nl-NL"/>
              </w:rPr>
              <w:br/>
              <w:t>vastgestelde</w:t>
            </w:r>
            <w:r w:rsidRPr="00F12AEF">
              <w:rPr>
                <w:rFonts w:ascii="Arial" w:eastAsia="Times New Roman" w:hAnsi="Arial" w:cs="Arial"/>
                <w:b/>
                <w:bCs/>
                <w:sz w:val="12"/>
                <w:szCs w:val="12"/>
                <w:lang w:eastAsia="nl-NL"/>
              </w:rPr>
              <w:br/>
              <w:t>begroting (na</w:t>
            </w:r>
            <w:r w:rsidRPr="00F12AEF">
              <w:rPr>
                <w:rFonts w:ascii="Arial" w:eastAsia="Times New Roman" w:hAnsi="Arial" w:cs="Arial"/>
                <w:b/>
                <w:bCs/>
                <w:sz w:val="12"/>
                <w:szCs w:val="12"/>
                <w:lang w:eastAsia="nl-NL"/>
              </w:rPr>
              <w:br/>
              <w:t>Nota</w:t>
            </w:r>
            <w:r w:rsidRPr="00F12AEF">
              <w:rPr>
                <w:rFonts w:ascii="Arial" w:eastAsia="Times New Roman" w:hAnsi="Arial" w:cs="Arial"/>
                <w:b/>
                <w:bCs/>
                <w:sz w:val="12"/>
                <w:szCs w:val="12"/>
                <w:lang w:eastAsia="nl-NL"/>
              </w:rPr>
              <w:br/>
              <w:t>van Wijziging,</w:t>
            </w:r>
            <w:r w:rsidRPr="00F12AEF">
              <w:rPr>
                <w:rFonts w:ascii="Arial" w:eastAsia="Times New Roman" w:hAnsi="Arial" w:cs="Arial"/>
                <w:b/>
                <w:bCs/>
                <w:sz w:val="12"/>
                <w:szCs w:val="12"/>
                <w:lang w:eastAsia="nl-NL"/>
              </w:rPr>
              <w:br/>
              <w:t>amendementen</w:t>
            </w:r>
            <w:r w:rsidRPr="00F12AEF">
              <w:rPr>
                <w:rFonts w:ascii="Arial" w:eastAsia="Times New Roman" w:hAnsi="Arial" w:cs="Arial"/>
                <w:b/>
                <w:bCs/>
                <w:sz w:val="12"/>
                <w:szCs w:val="12"/>
                <w:lang w:eastAsia="nl-NL"/>
              </w:rPr>
              <w:br/>
              <w:t>en ISB) (1)</w:t>
            </w:r>
          </w:p>
        </w:tc>
        <w:tc>
          <w:tcPr>
            <w:tcW w:w="1140" w:type="dxa"/>
            <w:tcBorders>
              <w:top w:val="single" w:sz="4" w:space="0" w:color="auto"/>
              <w:left w:val="nil"/>
              <w:bottom w:val="single" w:sz="8" w:space="0" w:color="auto"/>
              <w:right w:val="nil"/>
            </w:tcBorders>
            <w:shd w:val="clear" w:color="000000" w:fill="FFFFFF"/>
            <w:hideMark/>
          </w:tcPr>
          <w:p w:rsidR="002375F3" w:rsidRPr="00F12AEF" w:rsidRDefault="002375F3" w:rsidP="00D66A40">
            <w:pPr>
              <w:spacing w:after="0" w:line="240" w:lineRule="auto"/>
              <w:jc w:val="center"/>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Stand 1ste suppletoire begroting (2)</w:t>
            </w:r>
          </w:p>
        </w:tc>
        <w:tc>
          <w:tcPr>
            <w:tcW w:w="1140" w:type="dxa"/>
            <w:tcBorders>
              <w:top w:val="single" w:sz="4" w:space="0" w:color="auto"/>
              <w:left w:val="nil"/>
              <w:bottom w:val="single" w:sz="8" w:space="0" w:color="auto"/>
              <w:right w:val="nil"/>
            </w:tcBorders>
            <w:shd w:val="clear" w:color="000000" w:fill="FFFFFF"/>
            <w:hideMark/>
          </w:tcPr>
          <w:p w:rsidR="002375F3" w:rsidRPr="00F12AEF" w:rsidRDefault="002375F3" w:rsidP="00D66A40">
            <w:pPr>
              <w:spacing w:after="0" w:line="240" w:lineRule="auto"/>
              <w:jc w:val="center"/>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Mutaties</w:t>
            </w:r>
            <w:r w:rsidRPr="00F12AEF">
              <w:rPr>
                <w:rFonts w:ascii="Arial" w:eastAsia="Times New Roman" w:hAnsi="Arial" w:cs="Arial"/>
                <w:b/>
                <w:bCs/>
                <w:sz w:val="12"/>
                <w:szCs w:val="12"/>
                <w:lang w:eastAsia="nl-NL"/>
              </w:rPr>
              <w:br/>
              <w:t>2e suppletoire</w:t>
            </w:r>
            <w:r w:rsidRPr="00F12AEF">
              <w:rPr>
                <w:rFonts w:ascii="Arial" w:eastAsia="Times New Roman" w:hAnsi="Arial" w:cs="Arial"/>
                <w:b/>
                <w:bCs/>
                <w:sz w:val="12"/>
                <w:szCs w:val="12"/>
                <w:lang w:eastAsia="nl-NL"/>
              </w:rPr>
              <w:br/>
              <w:t>begroting (3)</w:t>
            </w:r>
          </w:p>
        </w:tc>
        <w:tc>
          <w:tcPr>
            <w:tcW w:w="1140" w:type="dxa"/>
            <w:tcBorders>
              <w:top w:val="single" w:sz="4" w:space="0" w:color="auto"/>
              <w:left w:val="nil"/>
              <w:bottom w:val="single" w:sz="8" w:space="0" w:color="auto"/>
              <w:right w:val="nil"/>
            </w:tcBorders>
            <w:shd w:val="clear" w:color="000000" w:fill="FFFFFF"/>
            <w:hideMark/>
          </w:tcPr>
          <w:p w:rsidR="002375F3" w:rsidRPr="00F12AEF" w:rsidRDefault="002375F3" w:rsidP="00D66A40">
            <w:pPr>
              <w:spacing w:after="0" w:line="240" w:lineRule="auto"/>
              <w:jc w:val="center"/>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Stand</w:t>
            </w:r>
            <w:r w:rsidRPr="00F12AEF">
              <w:rPr>
                <w:rFonts w:ascii="Arial" w:eastAsia="Times New Roman" w:hAnsi="Arial" w:cs="Arial"/>
                <w:b/>
                <w:bCs/>
                <w:sz w:val="12"/>
                <w:szCs w:val="12"/>
                <w:lang w:eastAsia="nl-NL"/>
              </w:rPr>
              <w:br/>
              <w:t>2e suppletoire</w:t>
            </w:r>
            <w:r w:rsidRPr="00F12AEF">
              <w:rPr>
                <w:rFonts w:ascii="Arial" w:eastAsia="Times New Roman" w:hAnsi="Arial" w:cs="Arial"/>
                <w:b/>
                <w:bCs/>
                <w:sz w:val="12"/>
                <w:szCs w:val="12"/>
                <w:lang w:eastAsia="nl-NL"/>
              </w:rPr>
              <w:br/>
              <w:t>begroting</w:t>
            </w:r>
            <w:r w:rsidRPr="00F12AEF">
              <w:rPr>
                <w:rFonts w:ascii="Arial" w:eastAsia="Times New Roman" w:hAnsi="Arial" w:cs="Arial"/>
                <w:b/>
                <w:bCs/>
                <w:sz w:val="12"/>
                <w:szCs w:val="12"/>
                <w:lang w:eastAsia="nl-NL"/>
              </w:rPr>
              <w:br/>
              <w:t>(4)=(2+3)</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noWrap/>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Verplichtingen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290.606</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1.209.391</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76.724</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1.286.115</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b/>
                <w:bCs/>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b/>
                <w:bCs/>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b/>
                <w:bCs/>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Waarvan;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33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Deelneming multilaterale ontwikkelingsbanken en -fondsen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181.841</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181.841</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181.841</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Kredieten EU-betalingsbalanssteun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35.000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35.000</w:t>
            </w:r>
          </w:p>
        </w:tc>
      </w:tr>
      <w:tr w:rsidR="002375F3" w:rsidRPr="00F12AEF" w:rsidTr="00D66A40">
        <w:trPr>
          <w:trHeight w:val="180"/>
        </w:trPr>
        <w:tc>
          <w:tcPr>
            <w:tcW w:w="260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eastAsia="Times New Roman" w:cs="Times New Roman"/>
                <w:color w:val="000000"/>
                <w:sz w:val="12"/>
                <w:szCs w:val="12"/>
                <w:lang w:eastAsia="nl-NL"/>
              </w:rPr>
            </w:pPr>
            <w:r w:rsidRPr="00F12AEF">
              <w:rPr>
                <w:rFonts w:eastAsia="Times New Roman" w:cs="Times New Roman"/>
                <w:color w:val="000000"/>
                <w:sz w:val="12"/>
                <w:szCs w:val="12"/>
                <w:lang w:eastAsia="nl-NL"/>
              </w:rPr>
              <w:t>EFSF en EFSM</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42.000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42.000</w:t>
            </w: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Betalingsverplichting AIIB</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188.521</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188.521</w:t>
            </w: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Garantie deelname AIIB</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730.088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730.088</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i/>
                <w:iCs/>
                <w:sz w:val="12"/>
                <w:szCs w:val="12"/>
                <w:lang w:eastAsia="nl-NL"/>
              </w:rPr>
            </w:pPr>
            <w:r w:rsidRPr="00F12AEF">
              <w:rPr>
                <w:rFonts w:ascii="Arial" w:eastAsia="Times New Roman" w:hAnsi="Arial" w:cs="Arial"/>
                <w:b/>
                <w:bCs/>
                <w:i/>
                <w:iCs/>
                <w:sz w:val="12"/>
                <w:szCs w:val="12"/>
                <w:lang w:eastAsia="nl-NL"/>
              </w:rPr>
              <w:t>Uitgaven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384.077</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384.253</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79.724</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463.977</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b/>
                <w:bCs/>
                <w:sz w:val="12"/>
                <w:szCs w:val="12"/>
                <w:lang w:eastAsia="nl-NL"/>
              </w:rPr>
            </w:pPr>
          </w:p>
        </w:tc>
        <w:tc>
          <w:tcPr>
            <w:tcW w:w="1140" w:type="dxa"/>
            <w:tcBorders>
              <w:top w:val="nil"/>
              <w:left w:val="nil"/>
              <w:bottom w:val="nil"/>
              <w:right w:val="nil"/>
            </w:tcBorders>
            <w:shd w:val="clear" w:color="000000" w:fill="FFFFFF"/>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i/>
                <w:iCs/>
                <w:sz w:val="12"/>
                <w:szCs w:val="12"/>
                <w:lang w:eastAsia="nl-NL"/>
              </w:rPr>
            </w:pPr>
            <w:r w:rsidRPr="00F12AEF">
              <w:rPr>
                <w:rFonts w:ascii="Arial" w:eastAsia="Times New Roman" w:hAnsi="Arial" w:cs="Arial"/>
                <w:i/>
                <w:iCs/>
                <w:sz w:val="12"/>
                <w:szCs w:val="12"/>
                <w:lang w:eastAsia="nl-NL"/>
              </w:rPr>
              <w:t>Waarvan juridisch verplicht</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100%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100%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100%</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33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Deelname aan internationale instellingen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382.577</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382.577</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80.000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462.577</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Multilaterale ontwikkelingsbanken en fondsen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275.312</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275.312</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80.000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355.312</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xml:space="preserve">Uitkering aan Griekenland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20.265</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20.265</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20.265</w:t>
            </w: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Teruggeven winsten SMP</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87.000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87.000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87.000</w:t>
            </w: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Opdrachten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1.500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1.268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-118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1.150</w:t>
            </w:r>
          </w:p>
        </w:tc>
      </w:tr>
      <w:tr w:rsidR="002375F3" w:rsidRPr="00F12AEF" w:rsidTr="00D66A40">
        <w:trPr>
          <w:trHeight w:val="195"/>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xml:space="preserve">Technische assistentie </w:t>
            </w:r>
            <w:proofErr w:type="spellStart"/>
            <w:r w:rsidRPr="00F12AEF">
              <w:rPr>
                <w:rFonts w:ascii="Arial" w:eastAsia="Times New Roman" w:hAnsi="Arial" w:cs="Arial"/>
                <w:sz w:val="12"/>
                <w:szCs w:val="12"/>
                <w:lang w:eastAsia="nl-NL"/>
              </w:rPr>
              <w:t>kiesgroeplanden</w:t>
            </w:r>
            <w:proofErr w:type="spellEnd"/>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1.500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1.268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-118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1.150</w:t>
            </w: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Subsidies</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408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-158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250</w:t>
            </w: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Technische assistentie</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408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-158</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250</w:t>
            </w:r>
          </w:p>
        </w:tc>
      </w:tr>
      <w:tr w:rsidR="002375F3" w:rsidRPr="00F12AEF" w:rsidTr="00D66A40">
        <w:trPr>
          <w:trHeight w:val="18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i/>
                <w:iCs/>
                <w:sz w:val="12"/>
                <w:szCs w:val="12"/>
                <w:lang w:eastAsia="nl-NL"/>
              </w:rPr>
            </w:pPr>
            <w:r w:rsidRPr="00F12AEF">
              <w:rPr>
                <w:rFonts w:ascii="Arial" w:eastAsia="Times New Roman" w:hAnsi="Arial" w:cs="Arial"/>
                <w:b/>
                <w:bCs/>
                <w:i/>
                <w:iCs/>
                <w:sz w:val="12"/>
                <w:szCs w:val="12"/>
                <w:lang w:eastAsia="nl-NL"/>
              </w:rPr>
              <w:t>Ontvangsten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24.579</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25.244</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-5.747</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19.497</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330"/>
        </w:trPr>
        <w:tc>
          <w:tcPr>
            <w:tcW w:w="2600" w:type="dxa"/>
            <w:tcBorders>
              <w:top w:val="nil"/>
              <w:left w:val="nil"/>
              <w:bottom w:val="nil"/>
              <w:right w:val="nil"/>
            </w:tcBorders>
            <w:shd w:val="clear" w:color="auto" w:fill="auto"/>
            <w:vAlign w:val="bottom"/>
            <w:hideMark/>
          </w:tcPr>
          <w:p w:rsidR="002375F3" w:rsidRPr="00F12AEF" w:rsidRDefault="002375F3" w:rsidP="00D66A40">
            <w:pPr>
              <w:spacing w:after="0" w:line="240" w:lineRule="auto"/>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Deelname aan internationale instellingen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665</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1.330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4.149</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5.479</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xml:space="preserve"> Ontvangsten </w:t>
            </w:r>
            <w:proofErr w:type="spellStart"/>
            <w:r w:rsidRPr="00F12AEF">
              <w:rPr>
                <w:rFonts w:ascii="Arial" w:eastAsia="Times New Roman" w:hAnsi="Arial" w:cs="Arial"/>
                <w:sz w:val="12"/>
                <w:szCs w:val="12"/>
                <w:lang w:eastAsia="nl-NL"/>
              </w:rPr>
              <w:t>IFI's</w:t>
            </w:r>
            <w:proofErr w:type="spellEnd"/>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665</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1.330</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4.149</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5.479</w:t>
            </w:r>
          </w:p>
        </w:tc>
      </w:tr>
      <w:tr w:rsidR="002375F3" w:rsidRPr="00F12AEF" w:rsidTr="00D66A40">
        <w:trPr>
          <w:trHeight w:val="180"/>
        </w:trPr>
        <w:tc>
          <w:tcPr>
            <w:tcW w:w="2600" w:type="dxa"/>
            <w:tcBorders>
              <w:top w:val="nil"/>
              <w:left w:val="nil"/>
              <w:bottom w:val="nil"/>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rPr>
                <w:rFonts w:ascii="Arial" w:eastAsia="Times New Roman" w:hAnsi="Arial" w:cs="Arial"/>
                <w:color w:val="000000"/>
                <w:sz w:val="12"/>
                <w:szCs w:val="12"/>
                <w:lang w:eastAsia="nl-NL"/>
              </w:rPr>
            </w:pP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Leningen</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23.914</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23.914</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color w:val="000000"/>
                <w:sz w:val="12"/>
                <w:szCs w:val="12"/>
                <w:lang w:eastAsia="nl-NL"/>
              </w:rPr>
            </w:pPr>
            <w:r w:rsidRPr="00F12AEF">
              <w:rPr>
                <w:rFonts w:ascii="Arial" w:eastAsia="Times New Roman" w:hAnsi="Arial" w:cs="Arial"/>
                <w:b/>
                <w:bCs/>
                <w:color w:val="000000"/>
                <w:sz w:val="12"/>
                <w:szCs w:val="12"/>
                <w:lang w:eastAsia="nl-NL"/>
              </w:rPr>
              <w:t>-9.896</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b/>
                <w:bCs/>
                <w:sz w:val="12"/>
                <w:szCs w:val="12"/>
                <w:lang w:eastAsia="nl-NL"/>
              </w:rPr>
            </w:pPr>
            <w:r w:rsidRPr="00F12AEF">
              <w:rPr>
                <w:rFonts w:ascii="Arial" w:eastAsia="Times New Roman" w:hAnsi="Arial" w:cs="Arial"/>
                <w:b/>
                <w:bCs/>
                <w:sz w:val="12"/>
                <w:szCs w:val="12"/>
                <w:lang w:eastAsia="nl-NL"/>
              </w:rPr>
              <w:t>14.018</w:t>
            </w:r>
          </w:p>
        </w:tc>
      </w:tr>
      <w:tr w:rsidR="002375F3" w:rsidRPr="00F12AEF" w:rsidTr="00D66A40">
        <w:trPr>
          <w:trHeight w:val="180"/>
        </w:trPr>
        <w:tc>
          <w:tcPr>
            <w:tcW w:w="2600" w:type="dxa"/>
            <w:tcBorders>
              <w:top w:val="nil"/>
              <w:left w:val="nil"/>
              <w:bottom w:val="nil"/>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Rente ontvangsten lening Griekenland</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23.914</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23.914</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-9.896</w:t>
            </w:r>
          </w:p>
        </w:tc>
        <w:tc>
          <w:tcPr>
            <w:tcW w:w="1140" w:type="dxa"/>
            <w:tcBorders>
              <w:top w:val="nil"/>
              <w:left w:val="nil"/>
              <w:bottom w:val="nil"/>
              <w:right w:val="nil"/>
            </w:tcBorders>
            <w:shd w:val="clear" w:color="auto" w:fill="auto"/>
            <w:noWrap/>
            <w:hideMark/>
          </w:tcPr>
          <w:p w:rsidR="002375F3" w:rsidRPr="00F12AEF" w:rsidRDefault="002375F3" w:rsidP="00D66A40">
            <w:pPr>
              <w:spacing w:after="0" w:line="240" w:lineRule="auto"/>
              <w:jc w:val="right"/>
              <w:rPr>
                <w:rFonts w:ascii="Arial" w:eastAsia="Times New Roman" w:hAnsi="Arial" w:cs="Arial"/>
                <w:sz w:val="12"/>
                <w:szCs w:val="12"/>
                <w:lang w:eastAsia="nl-NL"/>
              </w:rPr>
            </w:pPr>
            <w:r w:rsidRPr="00F12AEF">
              <w:rPr>
                <w:rFonts w:ascii="Arial" w:eastAsia="Times New Roman" w:hAnsi="Arial" w:cs="Arial"/>
                <w:sz w:val="12"/>
                <w:szCs w:val="12"/>
                <w:lang w:eastAsia="nl-NL"/>
              </w:rPr>
              <w:t>14.018</w:t>
            </w:r>
          </w:p>
        </w:tc>
      </w:tr>
      <w:tr w:rsidR="002375F3" w:rsidRPr="00F12AEF" w:rsidTr="00D66A40">
        <w:trPr>
          <w:trHeight w:val="195"/>
        </w:trPr>
        <w:tc>
          <w:tcPr>
            <w:tcW w:w="2600" w:type="dxa"/>
            <w:tcBorders>
              <w:top w:val="nil"/>
              <w:left w:val="nil"/>
              <w:bottom w:val="single" w:sz="8" w:space="0" w:color="auto"/>
              <w:right w:val="nil"/>
            </w:tcBorders>
            <w:shd w:val="clear" w:color="000000" w:fill="FFFFFF"/>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w:t>
            </w:r>
          </w:p>
        </w:tc>
        <w:tc>
          <w:tcPr>
            <w:tcW w:w="1140" w:type="dxa"/>
            <w:tcBorders>
              <w:top w:val="nil"/>
              <w:left w:val="nil"/>
              <w:bottom w:val="single" w:sz="8" w:space="0" w:color="auto"/>
              <w:right w:val="nil"/>
            </w:tcBorders>
            <w:shd w:val="clear" w:color="000000" w:fill="FFFFFF"/>
            <w:noWrap/>
            <w:vAlign w:val="bottom"/>
            <w:hideMark/>
          </w:tcPr>
          <w:p w:rsidR="002375F3" w:rsidRPr="00F12AEF" w:rsidRDefault="002375F3" w:rsidP="00D66A40">
            <w:pPr>
              <w:spacing w:after="0" w:line="240" w:lineRule="auto"/>
              <w:rPr>
                <w:rFonts w:ascii="Arial" w:eastAsia="Times New Roman" w:hAnsi="Arial" w:cs="Arial"/>
                <w:sz w:val="12"/>
                <w:szCs w:val="12"/>
                <w:lang w:eastAsia="nl-NL"/>
              </w:rPr>
            </w:pPr>
            <w:r w:rsidRPr="00F12AEF">
              <w:rPr>
                <w:rFonts w:ascii="Arial" w:eastAsia="Times New Roman" w:hAnsi="Arial" w:cs="Arial"/>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F12AEF" w:rsidRDefault="002375F3" w:rsidP="00D66A40">
            <w:pPr>
              <w:spacing w:after="0" w:line="240" w:lineRule="auto"/>
              <w:rPr>
                <w:rFonts w:ascii="Arial" w:eastAsia="Times New Roman" w:hAnsi="Arial" w:cs="Arial"/>
                <w:color w:val="000000"/>
                <w:sz w:val="12"/>
                <w:szCs w:val="12"/>
                <w:lang w:eastAsia="nl-NL"/>
              </w:rPr>
            </w:pPr>
            <w:r w:rsidRPr="00F12AEF">
              <w:rPr>
                <w:rFonts w:ascii="Arial" w:eastAsia="Times New Roman" w:hAnsi="Arial" w:cs="Arial"/>
                <w:color w:val="000000"/>
                <w:sz w:val="12"/>
                <w:szCs w:val="12"/>
                <w:lang w:eastAsia="nl-NL"/>
              </w:rPr>
              <w:t> </w:t>
            </w:r>
          </w:p>
        </w:tc>
      </w:tr>
    </w:tbl>
    <w:p w:rsidR="002375F3" w:rsidRDefault="002375F3" w:rsidP="002375F3">
      <w:pPr>
        <w:spacing w:after="0" w:line="240" w:lineRule="exact"/>
        <w:rPr>
          <w:rFonts w:asciiTheme="minorHAnsi" w:hAnsiTheme="minorHAnsi"/>
          <w:b/>
          <w:szCs w:val="18"/>
        </w:rPr>
      </w:pPr>
    </w:p>
    <w:p w:rsidR="002375F3" w:rsidRPr="003F0DEF" w:rsidRDefault="002375F3" w:rsidP="002375F3">
      <w:pPr>
        <w:spacing w:after="0" w:line="240" w:lineRule="exact"/>
        <w:rPr>
          <w:rFonts w:asciiTheme="minorHAnsi" w:hAnsiTheme="minorHAnsi"/>
          <w:b/>
          <w:szCs w:val="18"/>
        </w:rPr>
      </w:pPr>
      <w:r w:rsidRPr="003F0DEF">
        <w:rPr>
          <w:rFonts w:asciiTheme="minorHAnsi" w:hAnsiTheme="minorHAnsi"/>
          <w:b/>
          <w:szCs w:val="18"/>
        </w:rPr>
        <w:t>Toelichting</w:t>
      </w:r>
    </w:p>
    <w:p w:rsidR="002375F3" w:rsidRPr="003F0DEF" w:rsidRDefault="002375F3" w:rsidP="002375F3">
      <w:pPr>
        <w:spacing w:after="0" w:line="240" w:lineRule="exact"/>
        <w:rPr>
          <w:rFonts w:asciiTheme="minorHAnsi" w:hAnsiTheme="minorHAnsi"/>
          <w:b/>
          <w:szCs w:val="18"/>
        </w:rPr>
      </w:pPr>
    </w:p>
    <w:p w:rsidR="002375F3" w:rsidRPr="003F0DEF" w:rsidRDefault="002375F3" w:rsidP="002375F3">
      <w:pPr>
        <w:spacing w:after="0" w:line="240" w:lineRule="exact"/>
        <w:rPr>
          <w:rFonts w:asciiTheme="minorHAnsi" w:hAnsiTheme="minorHAnsi"/>
          <w:b/>
          <w:szCs w:val="18"/>
        </w:rPr>
      </w:pPr>
      <w:r w:rsidRPr="003F0DEF">
        <w:rPr>
          <w:rFonts w:asciiTheme="minorHAnsi" w:hAnsiTheme="minorHAnsi"/>
          <w:b/>
          <w:szCs w:val="18"/>
        </w:rPr>
        <w:t>Verplichtingen</w:t>
      </w:r>
      <w:r>
        <w:rPr>
          <w:rFonts w:asciiTheme="minorHAnsi" w:hAnsiTheme="minorHAnsi"/>
          <w:b/>
          <w:szCs w:val="18"/>
        </w:rPr>
        <w:t xml:space="preserve"> (+ € 76,7 mln.)</w:t>
      </w:r>
    </w:p>
    <w:p w:rsidR="002375F3" w:rsidRDefault="002375F3" w:rsidP="002375F3">
      <w:pPr>
        <w:pStyle w:val="Kop4"/>
        <w:spacing w:before="0" w:beforeAutospacing="0" w:after="0" w:afterAutospacing="0" w:line="240" w:lineRule="exact"/>
        <w:rPr>
          <w:rFonts w:asciiTheme="minorHAnsi" w:hAnsiTheme="minorHAnsi"/>
          <w:sz w:val="18"/>
          <w:szCs w:val="18"/>
        </w:rPr>
      </w:pPr>
    </w:p>
    <w:p w:rsidR="002375F3" w:rsidRPr="008319AC" w:rsidRDefault="002375F3" w:rsidP="002375F3">
      <w:pPr>
        <w:pStyle w:val="Kop4"/>
        <w:spacing w:before="0" w:beforeAutospacing="0" w:after="0" w:afterAutospacing="0" w:line="240" w:lineRule="exact"/>
        <w:rPr>
          <w:rFonts w:asciiTheme="minorHAnsi" w:hAnsiTheme="minorHAnsi"/>
          <w:b w:val="0"/>
          <w:i/>
          <w:sz w:val="18"/>
          <w:szCs w:val="18"/>
        </w:rPr>
      </w:pPr>
      <w:r w:rsidRPr="008319AC">
        <w:rPr>
          <w:rFonts w:asciiTheme="minorHAnsi" w:hAnsiTheme="minorHAnsi"/>
          <w:b w:val="0"/>
          <w:i/>
          <w:sz w:val="18"/>
          <w:szCs w:val="18"/>
        </w:rPr>
        <w:t>EU-betalingsbalanssteun (+  € 35,0 mln.)</w:t>
      </w:r>
    </w:p>
    <w:p w:rsidR="002375F3" w:rsidRPr="00881C6F"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Naar aanleiding van een verandering in het Nederlandse aandeel in de EU-begroting is de bestaande garantieverplichting bijgesteld.  Deze garantie wordt bijgesteld bij Ontwerpbegroting en bij het Jaarverslag.</w:t>
      </w:r>
    </w:p>
    <w:p w:rsidR="002375F3" w:rsidRDefault="002375F3" w:rsidP="002375F3">
      <w:pPr>
        <w:pStyle w:val="Kop4"/>
        <w:spacing w:before="0" w:beforeAutospacing="0" w:after="0" w:afterAutospacing="0" w:line="240" w:lineRule="exact"/>
        <w:rPr>
          <w:rFonts w:asciiTheme="minorHAnsi" w:hAnsiTheme="minorHAnsi"/>
          <w:sz w:val="18"/>
          <w:szCs w:val="18"/>
        </w:rPr>
      </w:pPr>
    </w:p>
    <w:p w:rsidR="002375F3" w:rsidRPr="008319AC" w:rsidRDefault="002375F3" w:rsidP="002375F3">
      <w:pPr>
        <w:pStyle w:val="Kop4"/>
        <w:spacing w:before="0" w:beforeAutospacing="0" w:after="0" w:afterAutospacing="0" w:line="240" w:lineRule="exact"/>
        <w:rPr>
          <w:rFonts w:asciiTheme="minorHAnsi" w:hAnsiTheme="minorHAnsi"/>
          <w:b w:val="0"/>
          <w:i/>
          <w:sz w:val="18"/>
          <w:szCs w:val="18"/>
        </w:rPr>
      </w:pPr>
      <w:r>
        <w:rPr>
          <w:rFonts w:asciiTheme="minorHAnsi" w:hAnsiTheme="minorHAnsi"/>
          <w:b w:val="0"/>
          <w:i/>
          <w:sz w:val="18"/>
          <w:szCs w:val="18"/>
        </w:rPr>
        <w:t>EFSM (</w:t>
      </w:r>
      <w:r w:rsidRPr="008319AC">
        <w:rPr>
          <w:rFonts w:asciiTheme="minorHAnsi" w:hAnsiTheme="minorHAnsi"/>
          <w:b w:val="0"/>
          <w:i/>
          <w:sz w:val="18"/>
          <w:szCs w:val="18"/>
        </w:rPr>
        <w:t>+ € 42,0 mln.)</w:t>
      </w:r>
    </w:p>
    <w:p w:rsidR="002375F3" w:rsidRPr="00881C6F"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Naar aanleiding van een verandering in het Nederlandse aandeel in de EU-begroting is de bestaande garantieverplichting bijgesteld.  Deze garantie wordt bijgesteld bij Ontwerpbegroting en bij het Jaarverslag.</w:t>
      </w:r>
    </w:p>
    <w:p w:rsidR="002375F3" w:rsidRPr="00881C6F" w:rsidRDefault="002375F3" w:rsidP="002375F3">
      <w:pPr>
        <w:spacing w:after="0" w:line="240" w:lineRule="exact"/>
        <w:rPr>
          <w:rFonts w:asciiTheme="minorHAnsi" w:hAnsiTheme="minorHAnsi"/>
          <w:color w:val="1F497D"/>
          <w:szCs w:val="18"/>
        </w:rPr>
      </w:pPr>
    </w:p>
    <w:p w:rsidR="002375F3" w:rsidRDefault="002375F3" w:rsidP="002375F3">
      <w:pPr>
        <w:spacing w:after="0" w:line="240" w:lineRule="exact"/>
        <w:rPr>
          <w:rFonts w:asciiTheme="minorHAnsi" w:hAnsiTheme="minorHAnsi"/>
          <w:b/>
          <w:bCs/>
          <w:szCs w:val="18"/>
        </w:rPr>
      </w:pPr>
    </w:p>
    <w:p w:rsidR="002375F3" w:rsidRDefault="002375F3" w:rsidP="002375F3">
      <w:pPr>
        <w:spacing w:after="0" w:line="240" w:lineRule="exact"/>
        <w:rPr>
          <w:rFonts w:asciiTheme="minorHAnsi" w:hAnsiTheme="minorHAnsi"/>
          <w:b/>
          <w:bCs/>
          <w:szCs w:val="18"/>
        </w:rPr>
      </w:pPr>
    </w:p>
    <w:p w:rsidR="002375F3" w:rsidRDefault="002375F3" w:rsidP="002375F3">
      <w:pPr>
        <w:spacing w:after="0" w:line="240" w:lineRule="exact"/>
        <w:rPr>
          <w:rFonts w:asciiTheme="minorHAnsi" w:hAnsiTheme="minorHAnsi"/>
          <w:b/>
          <w:bCs/>
          <w:szCs w:val="18"/>
        </w:rPr>
      </w:pPr>
    </w:p>
    <w:p w:rsidR="002375F3" w:rsidRDefault="002375F3" w:rsidP="002375F3">
      <w:pPr>
        <w:spacing w:after="0" w:line="240" w:lineRule="exact"/>
        <w:rPr>
          <w:rFonts w:asciiTheme="minorHAnsi" w:hAnsiTheme="minorHAnsi"/>
          <w:b/>
          <w:bCs/>
          <w:szCs w:val="18"/>
        </w:rPr>
      </w:pPr>
    </w:p>
    <w:p w:rsidR="002375F3" w:rsidRDefault="002375F3" w:rsidP="002375F3">
      <w:pPr>
        <w:spacing w:after="0" w:line="240" w:lineRule="exact"/>
        <w:rPr>
          <w:rFonts w:asciiTheme="minorHAnsi" w:hAnsiTheme="minorHAnsi"/>
          <w:b/>
          <w:bCs/>
          <w:szCs w:val="18"/>
        </w:rPr>
      </w:pPr>
    </w:p>
    <w:p w:rsidR="002375F3" w:rsidRDefault="002375F3" w:rsidP="002375F3">
      <w:pPr>
        <w:spacing w:after="0" w:line="240" w:lineRule="exact"/>
        <w:rPr>
          <w:rFonts w:asciiTheme="minorHAnsi" w:hAnsiTheme="minorHAnsi"/>
          <w:b/>
          <w:bCs/>
          <w:szCs w:val="18"/>
        </w:rPr>
      </w:pPr>
    </w:p>
    <w:p w:rsidR="002375F3" w:rsidRPr="003F0DEF" w:rsidRDefault="002375F3" w:rsidP="002375F3">
      <w:pPr>
        <w:spacing w:after="0" w:line="240" w:lineRule="exact"/>
        <w:rPr>
          <w:rFonts w:asciiTheme="minorHAnsi" w:hAnsiTheme="minorHAnsi"/>
          <w:b/>
          <w:szCs w:val="18"/>
        </w:rPr>
      </w:pPr>
      <w:r w:rsidRPr="003F0DEF">
        <w:rPr>
          <w:rFonts w:asciiTheme="minorHAnsi" w:hAnsiTheme="minorHAnsi"/>
          <w:b/>
          <w:bCs/>
          <w:szCs w:val="18"/>
        </w:rPr>
        <w:t>Uitgaven</w:t>
      </w:r>
      <w:r>
        <w:rPr>
          <w:rFonts w:asciiTheme="minorHAnsi" w:hAnsiTheme="minorHAnsi"/>
          <w:b/>
          <w:bCs/>
          <w:szCs w:val="18"/>
        </w:rPr>
        <w:t xml:space="preserve"> </w:t>
      </w:r>
      <w:r>
        <w:rPr>
          <w:rFonts w:asciiTheme="minorHAnsi" w:hAnsiTheme="minorHAnsi"/>
          <w:b/>
          <w:szCs w:val="18"/>
        </w:rPr>
        <w:t>(+ € 79,7 mln.)</w:t>
      </w:r>
    </w:p>
    <w:p w:rsidR="002375F3" w:rsidRDefault="002375F3" w:rsidP="002375F3">
      <w:pPr>
        <w:spacing w:after="0" w:line="240" w:lineRule="exact"/>
        <w:rPr>
          <w:rFonts w:asciiTheme="minorHAnsi" w:hAnsiTheme="minorHAnsi" w:cs="Times New Roman"/>
          <w:b/>
          <w:bCs/>
          <w:szCs w:val="18"/>
        </w:rPr>
      </w:pPr>
    </w:p>
    <w:p w:rsidR="002375F3" w:rsidRPr="008319AC" w:rsidRDefault="002375F3" w:rsidP="002375F3">
      <w:pPr>
        <w:spacing w:after="0" w:line="240" w:lineRule="exact"/>
        <w:rPr>
          <w:rFonts w:asciiTheme="minorHAnsi" w:hAnsiTheme="minorHAnsi" w:cs="Times New Roman"/>
          <w:bCs/>
          <w:i/>
          <w:szCs w:val="18"/>
        </w:rPr>
      </w:pPr>
      <w:r w:rsidRPr="008319AC">
        <w:rPr>
          <w:rFonts w:asciiTheme="minorHAnsi" w:hAnsiTheme="minorHAnsi" w:cs="Times New Roman"/>
          <w:bCs/>
          <w:i/>
          <w:szCs w:val="18"/>
        </w:rPr>
        <w:t>Deelname aan internationale instellingen</w:t>
      </w:r>
      <w:r w:rsidRPr="008319AC" w:rsidDel="00C433C6">
        <w:rPr>
          <w:rFonts w:asciiTheme="minorHAnsi" w:hAnsiTheme="minorHAnsi" w:cs="Times New Roman"/>
          <w:bCs/>
          <w:i/>
          <w:szCs w:val="18"/>
        </w:rPr>
        <w:t xml:space="preserve"> </w:t>
      </w:r>
      <w:r>
        <w:rPr>
          <w:rFonts w:asciiTheme="minorHAnsi" w:hAnsiTheme="minorHAnsi" w:cs="Times New Roman"/>
          <w:bCs/>
          <w:i/>
          <w:szCs w:val="18"/>
        </w:rPr>
        <w:t xml:space="preserve">(+ € </w:t>
      </w:r>
      <w:r w:rsidRPr="008319AC">
        <w:rPr>
          <w:rFonts w:asciiTheme="minorHAnsi" w:hAnsiTheme="minorHAnsi" w:cs="Times New Roman"/>
          <w:bCs/>
          <w:i/>
          <w:szCs w:val="18"/>
        </w:rPr>
        <w:t>80,0 mln.)</w:t>
      </w:r>
    </w:p>
    <w:p w:rsidR="002375F3" w:rsidRPr="00881C6F" w:rsidRDefault="002375F3" w:rsidP="002375F3">
      <w:pPr>
        <w:spacing w:after="0" w:line="240" w:lineRule="exact"/>
        <w:rPr>
          <w:rFonts w:asciiTheme="minorHAnsi" w:hAnsiTheme="minorHAnsi"/>
          <w:color w:val="1F497D"/>
          <w:szCs w:val="18"/>
        </w:rPr>
      </w:pPr>
      <w:r w:rsidRPr="00881C6F">
        <w:rPr>
          <w:rFonts w:asciiTheme="minorHAnsi" w:hAnsiTheme="minorHAnsi" w:cs="Times New Roman"/>
          <w:szCs w:val="18"/>
        </w:rPr>
        <w:t>Het IDA betaalschema is aangepast, middels een kasschuif wordt  € 80 mln.  eerder betaald. Door de kasschuif van de IDA betalingen kan er in het kalenderjaar 2016 € 80 mln. worden vrijgespeeld voor de Rijksbegroting.</w:t>
      </w:r>
    </w:p>
    <w:p w:rsidR="002375F3" w:rsidRDefault="002375F3" w:rsidP="002375F3">
      <w:pPr>
        <w:spacing w:after="0" w:line="240" w:lineRule="exact"/>
        <w:rPr>
          <w:rFonts w:asciiTheme="minorHAnsi" w:hAnsiTheme="minorHAnsi"/>
          <w:b/>
          <w:bCs/>
          <w:szCs w:val="18"/>
        </w:rPr>
      </w:pPr>
    </w:p>
    <w:p w:rsidR="002375F3" w:rsidRPr="008319AC" w:rsidRDefault="002375F3" w:rsidP="002375F3">
      <w:pPr>
        <w:spacing w:after="0" w:line="240" w:lineRule="exact"/>
        <w:rPr>
          <w:rFonts w:asciiTheme="minorHAnsi" w:hAnsiTheme="minorHAnsi"/>
          <w:bCs/>
          <w:i/>
          <w:szCs w:val="18"/>
        </w:rPr>
      </w:pPr>
      <w:r w:rsidRPr="008319AC">
        <w:rPr>
          <w:rFonts w:asciiTheme="minorHAnsi" w:hAnsiTheme="minorHAnsi"/>
          <w:bCs/>
          <w:i/>
          <w:szCs w:val="18"/>
        </w:rPr>
        <w:t xml:space="preserve">Opdrachten en subsidies </w:t>
      </w:r>
      <w:r>
        <w:rPr>
          <w:rFonts w:asciiTheme="minorHAnsi" w:hAnsiTheme="minorHAnsi"/>
          <w:bCs/>
          <w:i/>
          <w:szCs w:val="18"/>
        </w:rPr>
        <w:t xml:space="preserve">(- € </w:t>
      </w:r>
      <w:r w:rsidRPr="008319AC">
        <w:rPr>
          <w:rFonts w:asciiTheme="minorHAnsi" w:hAnsiTheme="minorHAnsi"/>
          <w:bCs/>
          <w:i/>
          <w:szCs w:val="18"/>
        </w:rPr>
        <w:t xml:space="preserve">0,3 </w:t>
      </w:r>
      <w:proofErr w:type="spellStart"/>
      <w:r w:rsidRPr="008319AC">
        <w:rPr>
          <w:rFonts w:asciiTheme="minorHAnsi" w:hAnsiTheme="minorHAnsi"/>
          <w:bCs/>
          <w:i/>
          <w:szCs w:val="18"/>
        </w:rPr>
        <w:t>mln</w:t>
      </w:r>
      <w:proofErr w:type="spellEnd"/>
      <w:r w:rsidRPr="008319AC">
        <w:rPr>
          <w:rFonts w:asciiTheme="minorHAnsi" w:hAnsiTheme="minorHAnsi"/>
          <w:bCs/>
          <w:i/>
          <w:szCs w:val="18"/>
        </w:rPr>
        <w:t>)</w:t>
      </w: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szCs w:val="18"/>
        </w:rPr>
        <w:t>Dit jaar wordt niet het volledige budget voor Technische Assistentie uitgeput, omdat sommige projecten van een nieuw gestart programma nog in de opstartfase zitten.</w:t>
      </w:r>
    </w:p>
    <w:p w:rsidR="002375F3" w:rsidRPr="00881C6F" w:rsidRDefault="002375F3" w:rsidP="002375F3">
      <w:pPr>
        <w:spacing w:after="0" w:line="240" w:lineRule="exact"/>
        <w:rPr>
          <w:rFonts w:asciiTheme="minorHAnsi" w:hAnsiTheme="minorHAnsi"/>
          <w:color w:val="FF0000"/>
          <w:szCs w:val="18"/>
        </w:rPr>
      </w:pPr>
    </w:p>
    <w:p w:rsidR="002375F3" w:rsidRPr="003F0DEF" w:rsidRDefault="002375F3" w:rsidP="002375F3">
      <w:pPr>
        <w:spacing w:after="0" w:line="240" w:lineRule="exact"/>
        <w:rPr>
          <w:rFonts w:asciiTheme="minorHAnsi" w:hAnsiTheme="minorHAnsi" w:cs="Times New Roman"/>
          <w:b/>
          <w:bCs/>
          <w:szCs w:val="18"/>
        </w:rPr>
      </w:pPr>
      <w:r w:rsidRPr="003F0DEF">
        <w:rPr>
          <w:rFonts w:asciiTheme="minorHAnsi" w:hAnsiTheme="minorHAnsi" w:cs="Times New Roman"/>
          <w:b/>
          <w:bCs/>
          <w:szCs w:val="18"/>
        </w:rPr>
        <w:t>Ontvangsten</w:t>
      </w:r>
      <w:r>
        <w:rPr>
          <w:rFonts w:asciiTheme="minorHAnsi" w:hAnsiTheme="minorHAnsi" w:cs="Times New Roman"/>
          <w:b/>
          <w:bCs/>
          <w:szCs w:val="18"/>
        </w:rPr>
        <w:t xml:space="preserve"> (- € 5,7 mln.)</w:t>
      </w:r>
    </w:p>
    <w:p w:rsidR="002375F3" w:rsidRDefault="002375F3" w:rsidP="002375F3">
      <w:pPr>
        <w:spacing w:after="0" w:line="240" w:lineRule="exact"/>
        <w:rPr>
          <w:rFonts w:asciiTheme="minorHAnsi" w:hAnsiTheme="minorHAnsi" w:cs="Times New Roman"/>
          <w:b/>
          <w:bCs/>
          <w:szCs w:val="18"/>
        </w:rPr>
      </w:pPr>
    </w:p>
    <w:p w:rsidR="002375F3" w:rsidRPr="008319AC" w:rsidRDefault="002375F3" w:rsidP="002375F3">
      <w:pPr>
        <w:spacing w:after="0" w:line="240" w:lineRule="exact"/>
        <w:rPr>
          <w:rFonts w:asciiTheme="minorHAnsi" w:hAnsiTheme="minorHAnsi" w:cs="Times New Roman"/>
          <w:bCs/>
          <w:i/>
          <w:szCs w:val="18"/>
        </w:rPr>
      </w:pPr>
      <w:r w:rsidRPr="008319AC">
        <w:rPr>
          <w:rFonts w:asciiTheme="minorHAnsi" w:hAnsiTheme="minorHAnsi" w:cs="Times New Roman"/>
          <w:bCs/>
          <w:i/>
          <w:szCs w:val="18"/>
        </w:rPr>
        <w:t>Deelname aan internationale instellingen</w:t>
      </w:r>
      <w:r w:rsidRPr="008319AC" w:rsidDel="00C433C6">
        <w:rPr>
          <w:rFonts w:asciiTheme="minorHAnsi" w:hAnsiTheme="minorHAnsi" w:cs="Times New Roman"/>
          <w:bCs/>
          <w:i/>
          <w:szCs w:val="18"/>
        </w:rPr>
        <w:t xml:space="preserve"> </w:t>
      </w:r>
      <w:r w:rsidRPr="008319AC">
        <w:rPr>
          <w:rFonts w:asciiTheme="minorHAnsi" w:hAnsiTheme="minorHAnsi" w:cs="Times New Roman"/>
          <w:bCs/>
          <w:i/>
          <w:szCs w:val="18"/>
        </w:rPr>
        <w:t>(</w:t>
      </w:r>
      <w:r>
        <w:rPr>
          <w:rFonts w:asciiTheme="minorHAnsi" w:hAnsiTheme="minorHAnsi" w:cs="Times New Roman"/>
          <w:bCs/>
          <w:i/>
          <w:szCs w:val="18"/>
        </w:rPr>
        <w:t>+ €</w:t>
      </w:r>
      <w:r w:rsidRPr="008319AC">
        <w:rPr>
          <w:rFonts w:asciiTheme="minorHAnsi" w:hAnsiTheme="minorHAnsi" w:cs="Times New Roman"/>
          <w:bCs/>
          <w:i/>
          <w:szCs w:val="18"/>
        </w:rPr>
        <w:t xml:space="preserve">  4,1 mln.)</w:t>
      </w:r>
    </w:p>
    <w:p w:rsidR="002375F3" w:rsidRPr="00881C6F" w:rsidRDefault="002375F3" w:rsidP="002375F3">
      <w:pPr>
        <w:spacing w:after="0" w:line="240" w:lineRule="exact"/>
        <w:rPr>
          <w:rFonts w:asciiTheme="minorHAnsi" w:hAnsiTheme="minorHAnsi" w:cs="Times New Roman"/>
          <w:szCs w:val="18"/>
        </w:rPr>
      </w:pPr>
      <w:r w:rsidRPr="00881C6F">
        <w:rPr>
          <w:rFonts w:asciiTheme="minorHAnsi" w:hAnsiTheme="minorHAnsi" w:cs="Times New Roman"/>
          <w:szCs w:val="18"/>
        </w:rPr>
        <w:t xml:space="preserve">De hogere IFI ontvangsten ontstaan doordat de terugbetalingen van leningen door de Europese Investeringsbank (EIB) hoger zijn dan geraamd. Het gaat om leningen aan landen in Afrika, het </w:t>
      </w:r>
      <w:proofErr w:type="spellStart"/>
      <w:r w:rsidRPr="00881C6F">
        <w:rPr>
          <w:rFonts w:asciiTheme="minorHAnsi" w:hAnsiTheme="minorHAnsi" w:cs="Times New Roman"/>
          <w:szCs w:val="18"/>
        </w:rPr>
        <w:t>Caribisch</w:t>
      </w:r>
      <w:proofErr w:type="spellEnd"/>
      <w:r w:rsidRPr="00881C6F">
        <w:rPr>
          <w:rFonts w:asciiTheme="minorHAnsi" w:hAnsiTheme="minorHAnsi" w:cs="Times New Roman"/>
          <w:szCs w:val="18"/>
        </w:rPr>
        <w:t xml:space="preserve"> gebied en de Stille Oceaan (ACS-landen) en de Europese landen en gebieden overzee (LGO) onder het Europees Ontwikkelingsfonds in het kader van de verdragen van Lomé en Cotonou.</w:t>
      </w:r>
    </w:p>
    <w:p w:rsidR="002375F3" w:rsidRDefault="002375F3" w:rsidP="002375F3">
      <w:pPr>
        <w:spacing w:after="0" w:line="240" w:lineRule="exact"/>
        <w:rPr>
          <w:rFonts w:asciiTheme="minorHAnsi" w:hAnsiTheme="minorHAnsi" w:cs="Times New Roman"/>
          <w:b/>
          <w:bCs/>
          <w:szCs w:val="18"/>
        </w:rPr>
      </w:pPr>
    </w:p>
    <w:p w:rsidR="002375F3" w:rsidRPr="008319AC" w:rsidRDefault="002375F3" w:rsidP="002375F3">
      <w:pPr>
        <w:spacing w:after="0" w:line="240" w:lineRule="exact"/>
        <w:rPr>
          <w:rFonts w:asciiTheme="minorHAnsi" w:hAnsiTheme="minorHAnsi" w:cs="Times New Roman"/>
          <w:bCs/>
          <w:i/>
          <w:szCs w:val="18"/>
        </w:rPr>
      </w:pPr>
      <w:r w:rsidRPr="008319AC">
        <w:rPr>
          <w:rFonts w:asciiTheme="minorHAnsi" w:hAnsiTheme="minorHAnsi" w:cs="Times New Roman"/>
          <w:bCs/>
          <w:i/>
          <w:szCs w:val="18"/>
        </w:rPr>
        <w:t>Leningen (- € 9,9 mln.)</w:t>
      </w:r>
    </w:p>
    <w:p w:rsidR="002375F3" w:rsidRPr="00881C6F" w:rsidRDefault="002375F3" w:rsidP="002375F3">
      <w:pPr>
        <w:spacing w:after="0" w:line="240" w:lineRule="exact"/>
        <w:rPr>
          <w:rFonts w:asciiTheme="minorHAnsi" w:hAnsiTheme="minorHAnsi" w:cs="Times New Roman"/>
          <w:szCs w:val="18"/>
        </w:rPr>
      </w:pPr>
      <w:r w:rsidRPr="00881C6F">
        <w:rPr>
          <w:rFonts w:asciiTheme="minorHAnsi" w:hAnsiTheme="minorHAnsi" w:cs="Times New Roman"/>
          <w:szCs w:val="18"/>
        </w:rPr>
        <w:t>Door een nieuwe (lagere) rekenrente van het CPB dalen de geraamde rente-inkomsten van de bilaterale leningen aan Griekenland.</w:t>
      </w:r>
    </w:p>
    <w:p w:rsidR="002375F3" w:rsidRPr="00881C6F" w:rsidRDefault="002375F3" w:rsidP="002375F3">
      <w:pPr>
        <w:spacing w:after="0" w:line="240" w:lineRule="exact"/>
        <w:rPr>
          <w:rFonts w:asciiTheme="minorHAnsi" w:hAnsiTheme="minorHAnsi"/>
          <w:b/>
          <w:szCs w:val="18"/>
        </w:rPr>
      </w:pPr>
      <w:r w:rsidRPr="00881C6F">
        <w:rPr>
          <w:rFonts w:asciiTheme="minorHAnsi" w:hAnsiTheme="minorHAnsi"/>
          <w:b/>
          <w:szCs w:val="18"/>
        </w:rPr>
        <w:br w:type="page"/>
      </w:r>
    </w:p>
    <w:p w:rsidR="002375F3" w:rsidRDefault="002375F3" w:rsidP="002375F3">
      <w:pPr>
        <w:rPr>
          <w:b/>
        </w:rPr>
      </w:pPr>
      <w:r w:rsidRPr="00A07C86">
        <w:rPr>
          <w:b/>
        </w:rPr>
        <w:lastRenderedPageBreak/>
        <w:t>Artikel 5 Exportkredietverzekeringen, -garanties en investeringsverzekeringen</w:t>
      </w:r>
    </w:p>
    <w:tbl>
      <w:tblPr>
        <w:tblW w:w="6480" w:type="dxa"/>
        <w:tblInd w:w="70" w:type="dxa"/>
        <w:tblCellMar>
          <w:left w:w="70" w:type="dxa"/>
          <w:right w:w="70" w:type="dxa"/>
        </w:tblCellMar>
        <w:tblLook w:val="04A0" w:firstRow="1" w:lastRow="0" w:firstColumn="1" w:lastColumn="0" w:noHBand="0" w:noVBand="1"/>
      </w:tblPr>
      <w:tblGrid>
        <w:gridCol w:w="1920"/>
        <w:gridCol w:w="1167"/>
        <w:gridCol w:w="1140"/>
        <w:gridCol w:w="1140"/>
        <w:gridCol w:w="1140"/>
      </w:tblGrid>
      <w:tr w:rsidR="002375F3" w:rsidRPr="00887144" w:rsidTr="00D66A40">
        <w:trPr>
          <w:trHeight w:val="375"/>
        </w:trPr>
        <w:tc>
          <w:tcPr>
            <w:tcW w:w="6480" w:type="dxa"/>
            <w:gridSpan w:val="5"/>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Budgettaire gevolgen van beleid  - beleidsartikel 5 Exportkredietverzekeringen, -garanties en investeringsverzekeringen</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Bedragen x € 1.000</w:t>
            </w:r>
          </w:p>
        </w:tc>
        <w:tc>
          <w:tcPr>
            <w:tcW w:w="1140" w:type="dxa"/>
            <w:tcBorders>
              <w:top w:val="nil"/>
              <w:left w:val="nil"/>
              <w:bottom w:val="nil"/>
              <w:right w:val="nil"/>
            </w:tcBorders>
            <w:shd w:val="clear" w:color="000000" w:fill="FFFFFF"/>
            <w:noWrap/>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p>
        </w:tc>
      </w:tr>
      <w:tr w:rsidR="002375F3" w:rsidRPr="00887144" w:rsidTr="00D66A40">
        <w:trPr>
          <w:trHeight w:val="1455"/>
        </w:trPr>
        <w:tc>
          <w:tcPr>
            <w:tcW w:w="1920" w:type="dxa"/>
            <w:tcBorders>
              <w:top w:val="single" w:sz="4" w:space="0" w:color="auto"/>
              <w:left w:val="nil"/>
              <w:bottom w:val="single" w:sz="8" w:space="0" w:color="auto"/>
              <w:right w:val="nil"/>
            </w:tcBorders>
            <w:shd w:val="clear" w:color="000000" w:fill="FFFFFF"/>
            <w:vAlign w:val="center"/>
            <w:hideMark/>
          </w:tcPr>
          <w:p w:rsidR="002375F3" w:rsidRPr="00887144" w:rsidRDefault="002375F3" w:rsidP="00D66A40">
            <w:pPr>
              <w:spacing w:after="0" w:line="240" w:lineRule="auto"/>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 </w:t>
            </w:r>
          </w:p>
        </w:tc>
        <w:tc>
          <w:tcPr>
            <w:tcW w:w="1140" w:type="dxa"/>
            <w:tcBorders>
              <w:top w:val="single" w:sz="4" w:space="0" w:color="auto"/>
              <w:left w:val="nil"/>
              <w:bottom w:val="single" w:sz="8" w:space="0" w:color="auto"/>
              <w:right w:val="nil"/>
            </w:tcBorders>
            <w:shd w:val="clear" w:color="000000" w:fill="FFFFFF"/>
            <w:hideMark/>
          </w:tcPr>
          <w:p w:rsidR="002375F3" w:rsidRPr="00887144" w:rsidRDefault="002375F3" w:rsidP="00D66A40">
            <w:pPr>
              <w:spacing w:after="0" w:line="240" w:lineRule="auto"/>
              <w:jc w:val="center"/>
              <w:rPr>
                <w:rFonts w:ascii="Arial" w:eastAsia="Times New Roman" w:hAnsi="Arial" w:cs="Arial"/>
                <w:b/>
                <w:bCs/>
                <w:sz w:val="14"/>
                <w:szCs w:val="14"/>
                <w:lang w:eastAsia="nl-NL"/>
              </w:rPr>
            </w:pPr>
            <w:r w:rsidRPr="00887144">
              <w:rPr>
                <w:rFonts w:ascii="Arial" w:eastAsia="Times New Roman" w:hAnsi="Arial" w:cs="Arial"/>
                <w:b/>
                <w:bCs/>
                <w:sz w:val="14"/>
                <w:szCs w:val="14"/>
                <w:lang w:eastAsia="nl-NL"/>
              </w:rPr>
              <w:t>Stand</w:t>
            </w:r>
            <w:r w:rsidRPr="00887144">
              <w:rPr>
                <w:rFonts w:ascii="Arial" w:eastAsia="Times New Roman" w:hAnsi="Arial" w:cs="Arial"/>
                <w:b/>
                <w:bCs/>
                <w:sz w:val="14"/>
                <w:szCs w:val="14"/>
                <w:lang w:eastAsia="nl-NL"/>
              </w:rPr>
              <w:br/>
              <w:t>vastgestelde</w:t>
            </w:r>
            <w:r w:rsidRPr="00887144">
              <w:rPr>
                <w:rFonts w:ascii="Arial" w:eastAsia="Times New Roman" w:hAnsi="Arial" w:cs="Arial"/>
                <w:b/>
                <w:bCs/>
                <w:sz w:val="14"/>
                <w:szCs w:val="14"/>
                <w:lang w:eastAsia="nl-NL"/>
              </w:rPr>
              <w:br/>
              <w:t>begroting (na</w:t>
            </w:r>
            <w:r w:rsidRPr="00887144">
              <w:rPr>
                <w:rFonts w:ascii="Arial" w:eastAsia="Times New Roman" w:hAnsi="Arial" w:cs="Arial"/>
                <w:b/>
                <w:bCs/>
                <w:sz w:val="14"/>
                <w:szCs w:val="14"/>
                <w:lang w:eastAsia="nl-NL"/>
              </w:rPr>
              <w:br/>
              <w:t>Nota</w:t>
            </w:r>
            <w:r w:rsidRPr="00887144">
              <w:rPr>
                <w:rFonts w:ascii="Arial" w:eastAsia="Times New Roman" w:hAnsi="Arial" w:cs="Arial"/>
                <w:b/>
                <w:bCs/>
                <w:sz w:val="14"/>
                <w:szCs w:val="14"/>
                <w:lang w:eastAsia="nl-NL"/>
              </w:rPr>
              <w:br/>
              <w:t>van Wijziging,</w:t>
            </w:r>
            <w:r w:rsidRPr="00887144">
              <w:rPr>
                <w:rFonts w:ascii="Arial" w:eastAsia="Times New Roman" w:hAnsi="Arial" w:cs="Arial"/>
                <w:b/>
                <w:bCs/>
                <w:sz w:val="14"/>
                <w:szCs w:val="14"/>
                <w:lang w:eastAsia="nl-NL"/>
              </w:rPr>
              <w:br/>
              <w:t>amendementen</w:t>
            </w:r>
            <w:r w:rsidRPr="00887144">
              <w:rPr>
                <w:rFonts w:ascii="Arial" w:eastAsia="Times New Roman" w:hAnsi="Arial" w:cs="Arial"/>
                <w:b/>
                <w:bCs/>
                <w:sz w:val="14"/>
                <w:szCs w:val="14"/>
                <w:lang w:eastAsia="nl-NL"/>
              </w:rPr>
              <w:br/>
              <w:t>en ISB) (1)</w:t>
            </w:r>
          </w:p>
        </w:tc>
        <w:tc>
          <w:tcPr>
            <w:tcW w:w="1140" w:type="dxa"/>
            <w:tcBorders>
              <w:top w:val="single" w:sz="4" w:space="0" w:color="auto"/>
              <w:left w:val="nil"/>
              <w:bottom w:val="single" w:sz="8" w:space="0" w:color="auto"/>
              <w:right w:val="nil"/>
            </w:tcBorders>
            <w:shd w:val="clear" w:color="000000" w:fill="FFFFFF"/>
            <w:hideMark/>
          </w:tcPr>
          <w:p w:rsidR="002375F3" w:rsidRPr="00887144" w:rsidRDefault="002375F3" w:rsidP="00D66A40">
            <w:pPr>
              <w:spacing w:after="0" w:line="240" w:lineRule="auto"/>
              <w:jc w:val="center"/>
              <w:rPr>
                <w:rFonts w:ascii="Arial" w:eastAsia="Times New Roman" w:hAnsi="Arial" w:cs="Arial"/>
                <w:b/>
                <w:bCs/>
                <w:sz w:val="14"/>
                <w:szCs w:val="14"/>
                <w:lang w:eastAsia="nl-NL"/>
              </w:rPr>
            </w:pPr>
            <w:r w:rsidRPr="00887144">
              <w:rPr>
                <w:rFonts w:ascii="Arial" w:eastAsia="Times New Roman" w:hAnsi="Arial" w:cs="Arial"/>
                <w:b/>
                <w:bCs/>
                <w:sz w:val="14"/>
                <w:szCs w:val="14"/>
                <w:lang w:eastAsia="nl-NL"/>
              </w:rPr>
              <w:t>Stand 1ste suppletoire begroting (2)</w:t>
            </w:r>
          </w:p>
        </w:tc>
        <w:tc>
          <w:tcPr>
            <w:tcW w:w="1140" w:type="dxa"/>
            <w:tcBorders>
              <w:top w:val="single" w:sz="4" w:space="0" w:color="auto"/>
              <w:left w:val="nil"/>
              <w:bottom w:val="single" w:sz="8" w:space="0" w:color="auto"/>
              <w:right w:val="nil"/>
            </w:tcBorders>
            <w:shd w:val="clear" w:color="000000" w:fill="FFFFFF"/>
            <w:hideMark/>
          </w:tcPr>
          <w:p w:rsidR="002375F3" w:rsidRPr="00887144" w:rsidRDefault="002375F3" w:rsidP="00D66A40">
            <w:pPr>
              <w:spacing w:after="0" w:line="240" w:lineRule="auto"/>
              <w:jc w:val="center"/>
              <w:rPr>
                <w:rFonts w:ascii="Arial" w:eastAsia="Times New Roman" w:hAnsi="Arial" w:cs="Arial"/>
                <w:b/>
                <w:bCs/>
                <w:sz w:val="14"/>
                <w:szCs w:val="14"/>
                <w:lang w:eastAsia="nl-NL"/>
              </w:rPr>
            </w:pPr>
            <w:r w:rsidRPr="00887144">
              <w:rPr>
                <w:rFonts w:ascii="Arial" w:eastAsia="Times New Roman" w:hAnsi="Arial" w:cs="Arial"/>
                <w:b/>
                <w:bCs/>
                <w:sz w:val="14"/>
                <w:szCs w:val="14"/>
                <w:lang w:eastAsia="nl-NL"/>
              </w:rPr>
              <w:t>Mutaties</w:t>
            </w:r>
            <w:r w:rsidRPr="00887144">
              <w:rPr>
                <w:rFonts w:ascii="Arial" w:eastAsia="Times New Roman" w:hAnsi="Arial" w:cs="Arial"/>
                <w:b/>
                <w:bCs/>
                <w:sz w:val="14"/>
                <w:szCs w:val="14"/>
                <w:lang w:eastAsia="nl-NL"/>
              </w:rPr>
              <w:br/>
              <w:t>2e suppletoire</w:t>
            </w:r>
            <w:r w:rsidRPr="00887144">
              <w:rPr>
                <w:rFonts w:ascii="Arial" w:eastAsia="Times New Roman" w:hAnsi="Arial" w:cs="Arial"/>
                <w:b/>
                <w:bCs/>
                <w:sz w:val="14"/>
                <w:szCs w:val="14"/>
                <w:lang w:eastAsia="nl-NL"/>
              </w:rPr>
              <w:br/>
              <w:t>begroting (3)</w:t>
            </w:r>
          </w:p>
        </w:tc>
        <w:tc>
          <w:tcPr>
            <w:tcW w:w="1140" w:type="dxa"/>
            <w:tcBorders>
              <w:top w:val="single" w:sz="4" w:space="0" w:color="auto"/>
              <w:left w:val="nil"/>
              <w:bottom w:val="single" w:sz="8" w:space="0" w:color="auto"/>
              <w:right w:val="nil"/>
            </w:tcBorders>
            <w:shd w:val="clear" w:color="000000" w:fill="FFFFFF"/>
            <w:hideMark/>
          </w:tcPr>
          <w:p w:rsidR="002375F3" w:rsidRPr="00887144" w:rsidRDefault="002375F3" w:rsidP="00D66A40">
            <w:pPr>
              <w:spacing w:after="0" w:line="240" w:lineRule="auto"/>
              <w:jc w:val="center"/>
              <w:rPr>
                <w:rFonts w:ascii="Arial" w:eastAsia="Times New Roman" w:hAnsi="Arial" w:cs="Arial"/>
                <w:b/>
                <w:bCs/>
                <w:sz w:val="14"/>
                <w:szCs w:val="14"/>
                <w:lang w:eastAsia="nl-NL"/>
              </w:rPr>
            </w:pPr>
            <w:r w:rsidRPr="00887144">
              <w:rPr>
                <w:rFonts w:ascii="Arial" w:eastAsia="Times New Roman" w:hAnsi="Arial" w:cs="Arial"/>
                <w:b/>
                <w:bCs/>
                <w:sz w:val="14"/>
                <w:szCs w:val="14"/>
                <w:lang w:eastAsia="nl-NL"/>
              </w:rPr>
              <w:t>Stand</w:t>
            </w:r>
            <w:r w:rsidRPr="00887144">
              <w:rPr>
                <w:rFonts w:ascii="Arial" w:eastAsia="Times New Roman" w:hAnsi="Arial" w:cs="Arial"/>
                <w:b/>
                <w:bCs/>
                <w:sz w:val="14"/>
                <w:szCs w:val="14"/>
                <w:lang w:eastAsia="nl-NL"/>
              </w:rPr>
              <w:br/>
              <w:t>2e suppletoire</w:t>
            </w:r>
            <w:r w:rsidRPr="00887144">
              <w:rPr>
                <w:rFonts w:ascii="Arial" w:eastAsia="Times New Roman" w:hAnsi="Arial" w:cs="Arial"/>
                <w:b/>
                <w:bCs/>
                <w:sz w:val="14"/>
                <w:szCs w:val="14"/>
                <w:lang w:eastAsia="nl-NL"/>
              </w:rPr>
              <w:br/>
              <w:t>begroting</w:t>
            </w:r>
            <w:r w:rsidRPr="00887144">
              <w:rPr>
                <w:rFonts w:ascii="Arial" w:eastAsia="Times New Roman" w:hAnsi="Arial" w:cs="Arial"/>
                <w:b/>
                <w:bCs/>
                <w:sz w:val="14"/>
                <w:szCs w:val="14"/>
                <w:lang w:eastAsia="nl-NL"/>
              </w:rPr>
              <w:br/>
              <w:t>(4)=(2+3)</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noWrap/>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A1297C" w:rsidRDefault="002375F3" w:rsidP="00D66A40">
            <w:pPr>
              <w:spacing w:after="0" w:line="240" w:lineRule="auto"/>
              <w:rPr>
                <w:rFonts w:ascii="Arial" w:eastAsia="Times New Roman" w:hAnsi="Arial" w:cs="Arial"/>
                <w:b/>
                <w:bCs/>
                <w:sz w:val="12"/>
                <w:szCs w:val="12"/>
                <w:lang w:eastAsia="nl-NL"/>
              </w:rPr>
            </w:pPr>
            <w:r w:rsidRPr="00A1297C">
              <w:rPr>
                <w:rFonts w:ascii="Arial" w:eastAsia="Times New Roman" w:hAnsi="Arial" w:cs="Arial"/>
                <w:b/>
                <w:bCs/>
                <w:sz w:val="12"/>
                <w:szCs w:val="12"/>
                <w:lang w:eastAsia="nl-NL"/>
              </w:rPr>
              <w:t>Verplichtingen</w:t>
            </w:r>
          </w:p>
        </w:tc>
        <w:tc>
          <w:tcPr>
            <w:tcW w:w="1140" w:type="dxa"/>
            <w:tcBorders>
              <w:top w:val="nil"/>
              <w:left w:val="nil"/>
              <w:bottom w:val="nil"/>
              <w:right w:val="nil"/>
            </w:tcBorders>
            <w:shd w:val="clear" w:color="000000" w:fill="FFFFFF"/>
            <w:hideMark/>
          </w:tcPr>
          <w:p w:rsidR="002375F3" w:rsidRPr="00A1297C" w:rsidRDefault="002375F3" w:rsidP="00D66A40">
            <w:pPr>
              <w:spacing w:after="0" w:line="240" w:lineRule="auto"/>
              <w:jc w:val="right"/>
              <w:rPr>
                <w:rFonts w:ascii="Arial" w:eastAsia="Times New Roman" w:hAnsi="Arial" w:cs="Arial"/>
                <w:b/>
                <w:bCs/>
                <w:sz w:val="12"/>
                <w:szCs w:val="12"/>
                <w:lang w:eastAsia="nl-NL"/>
              </w:rPr>
            </w:pPr>
            <w:r w:rsidRPr="00A1297C">
              <w:rPr>
                <w:rFonts w:ascii="Arial" w:eastAsia="Times New Roman" w:hAnsi="Arial" w:cs="Arial"/>
                <w:b/>
                <w:bCs/>
                <w:sz w:val="12"/>
                <w:szCs w:val="12"/>
                <w:lang w:eastAsia="nl-NL"/>
              </w:rPr>
              <w:t>10.616.438</w:t>
            </w:r>
          </w:p>
        </w:tc>
        <w:tc>
          <w:tcPr>
            <w:tcW w:w="1140" w:type="dxa"/>
            <w:tcBorders>
              <w:top w:val="nil"/>
              <w:left w:val="nil"/>
              <w:bottom w:val="nil"/>
              <w:right w:val="nil"/>
            </w:tcBorders>
            <w:shd w:val="clear" w:color="auto" w:fill="auto"/>
            <w:hideMark/>
          </w:tcPr>
          <w:p w:rsidR="002375F3" w:rsidRPr="00A1297C" w:rsidRDefault="002375F3" w:rsidP="00D66A40">
            <w:pPr>
              <w:spacing w:after="0" w:line="240" w:lineRule="auto"/>
              <w:jc w:val="right"/>
              <w:rPr>
                <w:rFonts w:ascii="Arial" w:eastAsia="Times New Roman" w:hAnsi="Arial" w:cs="Arial"/>
                <w:b/>
                <w:bCs/>
                <w:color w:val="000000"/>
                <w:sz w:val="12"/>
                <w:szCs w:val="12"/>
                <w:lang w:eastAsia="nl-NL"/>
              </w:rPr>
            </w:pPr>
            <w:r w:rsidRPr="00A1297C">
              <w:rPr>
                <w:rFonts w:ascii="Arial" w:eastAsia="Times New Roman" w:hAnsi="Arial" w:cs="Arial"/>
                <w:b/>
                <w:bCs/>
                <w:color w:val="000000"/>
                <w:sz w:val="12"/>
                <w:szCs w:val="12"/>
                <w:lang w:eastAsia="nl-NL"/>
              </w:rPr>
              <w:t>10.616.438</w:t>
            </w:r>
          </w:p>
        </w:tc>
        <w:tc>
          <w:tcPr>
            <w:tcW w:w="1140" w:type="dxa"/>
            <w:tcBorders>
              <w:top w:val="nil"/>
              <w:left w:val="nil"/>
              <w:bottom w:val="nil"/>
              <w:right w:val="nil"/>
            </w:tcBorders>
            <w:shd w:val="clear" w:color="auto" w:fill="auto"/>
            <w:hideMark/>
          </w:tcPr>
          <w:p w:rsidR="002375F3" w:rsidRPr="00A1297C" w:rsidRDefault="002375F3" w:rsidP="00D66A40">
            <w:pPr>
              <w:spacing w:after="0" w:line="240" w:lineRule="auto"/>
              <w:jc w:val="right"/>
              <w:rPr>
                <w:rFonts w:ascii="Arial" w:eastAsia="Times New Roman" w:hAnsi="Arial" w:cs="Arial"/>
                <w:b/>
                <w:bCs/>
                <w:color w:val="000000"/>
                <w:sz w:val="12"/>
                <w:szCs w:val="12"/>
                <w:lang w:eastAsia="nl-NL"/>
              </w:rPr>
            </w:pPr>
            <w:r w:rsidRPr="00A1297C">
              <w:rPr>
                <w:rFonts w:ascii="Arial" w:eastAsia="Times New Roman" w:hAnsi="Arial" w:cs="Arial"/>
                <w:b/>
                <w:bCs/>
                <w:color w:val="000000"/>
                <w:sz w:val="12"/>
                <w:szCs w:val="12"/>
                <w:lang w:eastAsia="nl-NL"/>
              </w:rPr>
              <w:t>0</w:t>
            </w:r>
          </w:p>
        </w:tc>
        <w:tc>
          <w:tcPr>
            <w:tcW w:w="1140" w:type="dxa"/>
            <w:tcBorders>
              <w:top w:val="nil"/>
              <w:left w:val="nil"/>
              <w:bottom w:val="nil"/>
              <w:right w:val="nil"/>
            </w:tcBorders>
            <w:shd w:val="clear" w:color="auto" w:fill="auto"/>
            <w:hideMark/>
          </w:tcPr>
          <w:p w:rsidR="002375F3" w:rsidRPr="00A1297C" w:rsidRDefault="002375F3" w:rsidP="00D66A40">
            <w:pPr>
              <w:spacing w:after="0" w:line="240" w:lineRule="auto"/>
              <w:jc w:val="right"/>
              <w:rPr>
                <w:rFonts w:ascii="Arial" w:eastAsia="Times New Roman" w:hAnsi="Arial" w:cs="Arial"/>
                <w:b/>
                <w:bCs/>
                <w:sz w:val="12"/>
                <w:szCs w:val="12"/>
                <w:lang w:eastAsia="nl-NL"/>
              </w:rPr>
            </w:pPr>
            <w:r w:rsidRPr="00A1297C">
              <w:rPr>
                <w:rFonts w:ascii="Arial" w:eastAsia="Times New Roman" w:hAnsi="Arial" w:cs="Arial"/>
                <w:b/>
                <w:bCs/>
                <w:sz w:val="12"/>
                <w:szCs w:val="12"/>
                <w:lang w:eastAsia="nl-NL"/>
              </w:rPr>
              <w:t>10.616.438</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A1297C" w:rsidRDefault="002375F3" w:rsidP="00D66A40">
            <w:pPr>
              <w:spacing w:after="0" w:line="240" w:lineRule="auto"/>
              <w:rPr>
                <w:rFonts w:ascii="Arial" w:eastAsia="Times New Roman" w:hAnsi="Arial" w:cs="Arial"/>
                <w:i/>
                <w:iCs/>
                <w:sz w:val="12"/>
                <w:szCs w:val="12"/>
                <w:lang w:eastAsia="nl-NL"/>
              </w:rPr>
            </w:pPr>
            <w:r w:rsidRPr="00A1297C">
              <w:rPr>
                <w:rFonts w:ascii="Arial" w:eastAsia="Times New Roman" w:hAnsi="Arial" w:cs="Arial"/>
                <w:i/>
                <w:iCs/>
                <w:sz w:val="12"/>
                <w:szCs w:val="12"/>
                <w:lang w:eastAsia="nl-NL"/>
              </w:rPr>
              <w:t>waarvan garantieverplichtingen:</w:t>
            </w:r>
          </w:p>
        </w:tc>
        <w:tc>
          <w:tcPr>
            <w:tcW w:w="1140" w:type="dxa"/>
            <w:tcBorders>
              <w:top w:val="nil"/>
              <w:left w:val="nil"/>
              <w:bottom w:val="nil"/>
              <w:right w:val="nil"/>
            </w:tcBorders>
            <w:shd w:val="clear" w:color="000000" w:fill="FFFFFF"/>
            <w:hideMark/>
          </w:tcPr>
          <w:p w:rsidR="002375F3" w:rsidRPr="00A1297C" w:rsidRDefault="002375F3" w:rsidP="00D66A40">
            <w:pPr>
              <w:spacing w:after="0" w:line="240" w:lineRule="auto"/>
              <w:jc w:val="right"/>
              <w:rPr>
                <w:rFonts w:ascii="Arial" w:eastAsia="Times New Roman" w:hAnsi="Arial" w:cs="Arial"/>
                <w:sz w:val="12"/>
                <w:szCs w:val="12"/>
                <w:lang w:eastAsia="nl-NL"/>
              </w:rPr>
            </w:pPr>
            <w:r w:rsidRPr="00A1297C">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A1297C"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A1297C"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A1297C"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C484B"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i/>
                <w:iCs/>
                <w:sz w:val="12"/>
                <w:szCs w:val="12"/>
                <w:lang w:eastAsia="nl-NL"/>
              </w:rPr>
            </w:pPr>
            <w:r w:rsidRPr="00887144">
              <w:rPr>
                <w:rFonts w:ascii="Arial" w:eastAsia="Times New Roman" w:hAnsi="Arial" w:cs="Arial"/>
                <w:i/>
                <w:iCs/>
                <w:sz w:val="12"/>
                <w:szCs w:val="12"/>
                <w:lang w:eastAsia="nl-NL"/>
              </w:rPr>
              <w:t>Reguliere EKV</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xml:space="preserve">             10.000.000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xml:space="preserve">             10.000.000 </w:t>
            </w:r>
          </w:p>
        </w:tc>
        <w:tc>
          <w:tcPr>
            <w:tcW w:w="1140" w:type="dxa"/>
            <w:tcBorders>
              <w:top w:val="nil"/>
              <w:left w:val="nil"/>
              <w:bottom w:val="nil"/>
              <w:right w:val="nil"/>
            </w:tcBorders>
            <w:shd w:val="clear" w:color="auto" w:fill="auto"/>
            <w:hideMark/>
          </w:tcPr>
          <w:p w:rsidR="002375F3" w:rsidRDefault="002375F3" w:rsidP="00D66A40">
            <w:pPr>
              <w:spacing w:after="0" w:line="240" w:lineRule="auto"/>
              <w:jc w:val="right"/>
              <w:rPr>
                <w:rFonts w:ascii="Arial" w:eastAsia="Times New Roman" w:hAnsi="Arial" w:cs="Arial"/>
                <w:color w:val="000000"/>
                <w:sz w:val="12"/>
                <w:szCs w:val="12"/>
                <w:lang w:eastAsia="nl-NL"/>
              </w:rPr>
            </w:pPr>
          </w:p>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hideMark/>
          </w:tcPr>
          <w:p w:rsidR="002375F3" w:rsidRDefault="002375F3" w:rsidP="00D66A40">
            <w:pPr>
              <w:spacing w:after="0" w:line="240" w:lineRule="auto"/>
              <w:jc w:val="right"/>
              <w:rPr>
                <w:rFonts w:ascii="Arial" w:eastAsia="Times New Roman" w:hAnsi="Arial" w:cs="Arial"/>
                <w:color w:val="000000"/>
                <w:sz w:val="12"/>
                <w:szCs w:val="12"/>
                <w:lang w:eastAsia="nl-NL"/>
              </w:rPr>
            </w:pPr>
          </w:p>
          <w:p w:rsidR="002375F3" w:rsidRPr="008C484B" w:rsidRDefault="002375F3" w:rsidP="00D66A40">
            <w:pPr>
              <w:spacing w:after="0" w:line="240" w:lineRule="auto"/>
              <w:jc w:val="right"/>
              <w:rPr>
                <w:rFonts w:ascii="Arial" w:eastAsia="Times New Roman" w:hAnsi="Arial" w:cs="Arial"/>
                <w:color w:val="000000"/>
                <w:sz w:val="12"/>
                <w:szCs w:val="12"/>
                <w:lang w:eastAsia="nl-NL"/>
              </w:rPr>
            </w:pPr>
            <w:r w:rsidRPr="008C484B">
              <w:rPr>
                <w:rFonts w:ascii="Arial" w:eastAsia="Times New Roman" w:hAnsi="Arial" w:cs="Arial"/>
                <w:color w:val="000000"/>
                <w:sz w:val="12"/>
                <w:szCs w:val="12"/>
                <w:lang w:eastAsia="nl-NL"/>
              </w:rPr>
              <w:t>10.000.000</w:t>
            </w:r>
          </w:p>
        </w:tc>
      </w:tr>
      <w:tr w:rsidR="002375F3" w:rsidRPr="008C484B"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i/>
                <w:iCs/>
                <w:sz w:val="12"/>
                <w:szCs w:val="12"/>
                <w:lang w:eastAsia="nl-NL"/>
              </w:rPr>
            </w:pPr>
            <w:r>
              <w:rPr>
                <w:rFonts w:ascii="Arial" w:eastAsia="Times New Roman" w:hAnsi="Arial" w:cs="Arial"/>
                <w:i/>
                <w:iCs/>
                <w:sz w:val="12"/>
                <w:szCs w:val="12"/>
                <w:lang w:eastAsia="nl-NL"/>
              </w:rPr>
              <w:t>I</w:t>
            </w:r>
            <w:r w:rsidRPr="00887144">
              <w:rPr>
                <w:rFonts w:ascii="Arial" w:eastAsia="Times New Roman" w:hAnsi="Arial" w:cs="Arial"/>
                <w:i/>
                <w:iCs/>
                <w:sz w:val="12"/>
                <w:szCs w:val="12"/>
                <w:lang w:eastAsia="nl-NL"/>
              </w:rPr>
              <w:t>nvesteringsverzekeringen</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xml:space="preserve">                   453.780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xml:space="preserve">                   453.780 </w:t>
            </w:r>
          </w:p>
        </w:tc>
        <w:tc>
          <w:tcPr>
            <w:tcW w:w="1140" w:type="dxa"/>
            <w:tcBorders>
              <w:top w:val="nil"/>
              <w:left w:val="nil"/>
              <w:bottom w:val="nil"/>
              <w:right w:val="nil"/>
            </w:tcBorders>
            <w:shd w:val="clear" w:color="auto" w:fill="auto"/>
            <w:hideMark/>
          </w:tcPr>
          <w:p w:rsidR="002375F3" w:rsidRDefault="002375F3" w:rsidP="00D66A40">
            <w:pPr>
              <w:spacing w:after="0" w:line="240" w:lineRule="auto"/>
              <w:jc w:val="right"/>
              <w:rPr>
                <w:rFonts w:ascii="Arial" w:eastAsia="Times New Roman" w:hAnsi="Arial" w:cs="Arial"/>
                <w:color w:val="000000"/>
                <w:sz w:val="12"/>
                <w:szCs w:val="12"/>
                <w:lang w:eastAsia="nl-NL"/>
              </w:rPr>
            </w:pPr>
          </w:p>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hideMark/>
          </w:tcPr>
          <w:p w:rsidR="002375F3" w:rsidRDefault="002375F3" w:rsidP="00D66A40">
            <w:pPr>
              <w:spacing w:after="0" w:line="240" w:lineRule="auto"/>
              <w:jc w:val="right"/>
              <w:rPr>
                <w:rFonts w:ascii="Arial" w:eastAsia="Times New Roman" w:hAnsi="Arial" w:cs="Arial"/>
                <w:color w:val="000000"/>
                <w:sz w:val="12"/>
                <w:szCs w:val="12"/>
                <w:lang w:eastAsia="nl-NL"/>
              </w:rPr>
            </w:pPr>
          </w:p>
          <w:p w:rsidR="002375F3" w:rsidRPr="008C484B" w:rsidRDefault="002375F3" w:rsidP="00D66A40">
            <w:pPr>
              <w:spacing w:after="0" w:line="240" w:lineRule="auto"/>
              <w:jc w:val="right"/>
              <w:rPr>
                <w:rFonts w:ascii="Arial" w:eastAsia="Times New Roman" w:hAnsi="Arial" w:cs="Arial"/>
                <w:color w:val="000000"/>
                <w:sz w:val="12"/>
                <w:szCs w:val="12"/>
                <w:lang w:eastAsia="nl-NL"/>
              </w:rPr>
            </w:pPr>
            <w:r w:rsidRPr="008C484B">
              <w:rPr>
                <w:rFonts w:ascii="Arial" w:eastAsia="Times New Roman" w:hAnsi="Arial" w:cs="Arial"/>
                <w:color w:val="000000"/>
                <w:sz w:val="12"/>
                <w:szCs w:val="12"/>
                <w:lang w:eastAsia="nl-NL"/>
              </w:rPr>
              <w:t>453.780</w:t>
            </w:r>
          </w:p>
        </w:tc>
      </w:tr>
      <w:tr w:rsidR="002375F3" w:rsidRPr="008C484B"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i/>
                <w:iCs/>
                <w:sz w:val="12"/>
                <w:szCs w:val="12"/>
                <w:lang w:eastAsia="nl-NL"/>
              </w:rPr>
            </w:pPr>
            <w:r w:rsidRPr="00887144">
              <w:rPr>
                <w:rFonts w:ascii="Arial" w:eastAsia="Times New Roman" w:hAnsi="Arial" w:cs="Arial"/>
                <w:i/>
                <w:iCs/>
                <w:sz w:val="12"/>
                <w:szCs w:val="12"/>
                <w:lang w:eastAsia="nl-NL"/>
              </w:rPr>
              <w:t>MIGA</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xml:space="preserve">                    150.000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xml:space="preserve">                    150.000 </w:t>
            </w:r>
          </w:p>
        </w:tc>
        <w:tc>
          <w:tcPr>
            <w:tcW w:w="1140" w:type="dxa"/>
            <w:tcBorders>
              <w:top w:val="nil"/>
              <w:left w:val="nil"/>
              <w:bottom w:val="nil"/>
              <w:right w:val="nil"/>
            </w:tcBorders>
            <w:shd w:val="clear" w:color="auto" w:fill="auto"/>
            <w:hideMark/>
          </w:tcPr>
          <w:p w:rsidR="002375F3" w:rsidRDefault="002375F3" w:rsidP="00D66A40">
            <w:pPr>
              <w:spacing w:after="0" w:line="240" w:lineRule="auto"/>
              <w:jc w:val="right"/>
              <w:rPr>
                <w:rFonts w:ascii="Arial" w:eastAsia="Times New Roman" w:hAnsi="Arial" w:cs="Arial"/>
                <w:color w:val="000000"/>
                <w:sz w:val="12"/>
                <w:szCs w:val="12"/>
                <w:lang w:eastAsia="nl-NL"/>
              </w:rPr>
            </w:pPr>
          </w:p>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hideMark/>
          </w:tcPr>
          <w:p w:rsidR="002375F3" w:rsidRDefault="002375F3" w:rsidP="00D66A40">
            <w:pPr>
              <w:spacing w:after="0" w:line="240" w:lineRule="auto"/>
              <w:jc w:val="right"/>
              <w:rPr>
                <w:rFonts w:ascii="Arial" w:eastAsia="Times New Roman" w:hAnsi="Arial" w:cs="Arial"/>
                <w:color w:val="000000"/>
                <w:sz w:val="12"/>
                <w:szCs w:val="12"/>
                <w:lang w:eastAsia="nl-NL"/>
              </w:rPr>
            </w:pPr>
          </w:p>
          <w:p w:rsidR="002375F3" w:rsidRPr="008C484B" w:rsidRDefault="002375F3" w:rsidP="00D66A40">
            <w:pPr>
              <w:spacing w:after="0" w:line="240" w:lineRule="auto"/>
              <w:jc w:val="right"/>
              <w:rPr>
                <w:rFonts w:ascii="Arial" w:eastAsia="Times New Roman" w:hAnsi="Arial" w:cs="Arial"/>
                <w:color w:val="000000"/>
                <w:sz w:val="12"/>
                <w:szCs w:val="12"/>
                <w:lang w:eastAsia="nl-NL"/>
              </w:rPr>
            </w:pPr>
            <w:r w:rsidRPr="008C484B">
              <w:rPr>
                <w:rFonts w:ascii="Arial" w:eastAsia="Times New Roman" w:hAnsi="Arial" w:cs="Arial"/>
                <w:color w:val="000000"/>
                <w:sz w:val="12"/>
                <w:szCs w:val="12"/>
                <w:lang w:eastAsia="nl-NL"/>
              </w:rPr>
              <w:t>150.000</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i/>
                <w:iCs/>
                <w:sz w:val="12"/>
                <w:szCs w:val="12"/>
                <w:lang w:eastAsia="nl-NL"/>
              </w:rPr>
            </w:pPr>
            <w:r w:rsidRPr="00887144">
              <w:rPr>
                <w:rFonts w:ascii="Arial" w:eastAsia="Times New Roman" w:hAnsi="Arial" w:cs="Arial"/>
                <w:b/>
                <w:bCs/>
                <w:i/>
                <w:iCs/>
                <w:sz w:val="12"/>
                <w:szCs w:val="12"/>
                <w:lang w:eastAsia="nl-NL"/>
              </w:rPr>
              <w:t>Uitgaven</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88.058</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88.058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color w:val="000000"/>
                <w:sz w:val="12"/>
                <w:szCs w:val="12"/>
                <w:lang w:eastAsia="nl-NL"/>
              </w:rPr>
            </w:pPr>
            <w:r w:rsidRPr="00887144">
              <w:rPr>
                <w:rFonts w:ascii="Arial" w:eastAsia="Times New Roman" w:hAnsi="Arial" w:cs="Arial"/>
                <w:b/>
                <w:bCs/>
                <w:color w:val="000000"/>
                <w:sz w:val="12"/>
                <w:szCs w:val="12"/>
                <w:lang w:eastAsia="nl-NL"/>
              </w:rPr>
              <w:t>25.100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4"/>
                <w:szCs w:val="14"/>
                <w:lang w:eastAsia="nl-NL"/>
              </w:rPr>
            </w:pPr>
            <w:r w:rsidRPr="00887144">
              <w:rPr>
                <w:rFonts w:ascii="Arial" w:eastAsia="Times New Roman" w:hAnsi="Arial" w:cs="Arial"/>
                <w:b/>
                <w:bCs/>
                <w:sz w:val="14"/>
                <w:szCs w:val="14"/>
                <w:lang w:eastAsia="nl-NL"/>
              </w:rPr>
              <w:t>113.158</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 </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auto" w:fill="auto"/>
            <w:vAlign w:val="bottom"/>
            <w:hideMark/>
          </w:tcPr>
          <w:p w:rsidR="002375F3" w:rsidRPr="00887144" w:rsidRDefault="002375F3" w:rsidP="00D66A40">
            <w:pPr>
              <w:spacing w:after="0" w:line="240" w:lineRule="auto"/>
              <w:rPr>
                <w:rFonts w:ascii="Arial" w:eastAsia="Times New Roman" w:hAnsi="Arial" w:cs="Arial"/>
                <w:i/>
                <w:iCs/>
                <w:sz w:val="12"/>
                <w:szCs w:val="12"/>
                <w:lang w:eastAsia="nl-NL"/>
              </w:rPr>
            </w:pPr>
            <w:r w:rsidRPr="00887144">
              <w:rPr>
                <w:rFonts w:ascii="Arial" w:eastAsia="Times New Roman" w:hAnsi="Arial" w:cs="Arial"/>
                <w:i/>
                <w:iCs/>
                <w:sz w:val="12"/>
                <w:szCs w:val="12"/>
                <w:lang w:eastAsia="nl-NL"/>
              </w:rPr>
              <w:t>waarvan juridisch verplicht</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100%</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100%</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 </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Garanties</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75.400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75.400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color w:val="000000"/>
                <w:sz w:val="12"/>
                <w:szCs w:val="12"/>
                <w:lang w:eastAsia="nl-NL"/>
              </w:rPr>
            </w:pPr>
            <w:r w:rsidRPr="00887144">
              <w:rPr>
                <w:rFonts w:ascii="Arial" w:eastAsia="Times New Roman" w:hAnsi="Arial" w:cs="Arial"/>
                <w:b/>
                <w:bCs/>
                <w:color w:val="000000"/>
                <w:sz w:val="12"/>
                <w:szCs w:val="12"/>
                <w:lang w:eastAsia="nl-NL"/>
              </w:rPr>
              <w:t>25.100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100.500</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Schade-uitkering EKV</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74.900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74.900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25.100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100.000</w:t>
            </w:r>
          </w:p>
        </w:tc>
      </w:tr>
      <w:tr w:rsidR="002375F3" w:rsidRPr="00887144" w:rsidTr="00D66A40">
        <w:trPr>
          <w:trHeight w:val="33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Schade-uitkering investeringsverzekeringen</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500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500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500</w:t>
            </w:r>
          </w:p>
        </w:tc>
      </w:tr>
      <w:tr w:rsidR="002375F3" w:rsidRPr="00887144" w:rsidTr="00D66A40">
        <w:trPr>
          <w:trHeight w:val="180"/>
        </w:trPr>
        <w:tc>
          <w:tcPr>
            <w:tcW w:w="1920" w:type="dxa"/>
            <w:tcBorders>
              <w:top w:val="nil"/>
              <w:left w:val="nil"/>
              <w:bottom w:val="nil"/>
              <w:right w:val="nil"/>
            </w:tcBorders>
            <w:shd w:val="clear" w:color="000000" w:fill="FFFFFF"/>
            <w:noWrap/>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Mutatie begrotingsreserve EKV</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Opdrachten</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12.658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12.658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color w:val="000000"/>
                <w:sz w:val="12"/>
                <w:szCs w:val="12"/>
                <w:lang w:eastAsia="nl-NL"/>
              </w:rPr>
            </w:pPr>
            <w:r w:rsidRPr="00887144">
              <w:rPr>
                <w:rFonts w:ascii="Arial" w:eastAsia="Times New Roman" w:hAnsi="Arial" w:cs="Arial"/>
                <w:b/>
                <w:bCs/>
                <w:color w:val="000000"/>
                <w:sz w:val="12"/>
                <w:szCs w:val="12"/>
                <w:lang w:eastAsia="nl-NL"/>
              </w:rPr>
              <w:t>-58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12.600</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xml:space="preserve">Kostenvergoeding </w:t>
            </w:r>
            <w:proofErr w:type="spellStart"/>
            <w:r w:rsidRPr="00887144">
              <w:rPr>
                <w:rFonts w:ascii="Arial" w:eastAsia="Times New Roman" w:hAnsi="Arial" w:cs="Arial"/>
                <w:sz w:val="12"/>
                <w:szCs w:val="12"/>
                <w:lang w:eastAsia="nl-NL"/>
              </w:rPr>
              <w:t>Atradius</w:t>
            </w:r>
            <w:proofErr w:type="spellEnd"/>
            <w:r w:rsidRPr="00887144">
              <w:rPr>
                <w:rFonts w:ascii="Arial" w:eastAsia="Times New Roman" w:hAnsi="Arial" w:cs="Arial"/>
                <w:sz w:val="12"/>
                <w:szCs w:val="12"/>
                <w:lang w:eastAsia="nl-NL"/>
              </w:rPr>
              <w:t xml:space="preserve"> DSB</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12.658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12.658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12.600</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auto" w:fill="auto"/>
            <w:noWrap/>
            <w:hideMark/>
          </w:tcPr>
          <w:p w:rsidR="002375F3" w:rsidRPr="00887144" w:rsidRDefault="002375F3" w:rsidP="00D66A40">
            <w:pPr>
              <w:spacing w:after="0" w:line="240" w:lineRule="auto"/>
              <w:rPr>
                <w:rFonts w:ascii="Arial" w:eastAsia="Times New Roman" w:hAnsi="Arial" w:cs="Arial"/>
                <w:b/>
                <w:bCs/>
                <w:sz w:val="14"/>
                <w:szCs w:val="14"/>
                <w:lang w:eastAsia="nl-NL"/>
              </w:rPr>
            </w:pPr>
            <w:r w:rsidRPr="00887144">
              <w:rPr>
                <w:rFonts w:ascii="Arial" w:eastAsia="Times New Roman" w:hAnsi="Arial" w:cs="Arial"/>
                <w:b/>
                <w:bCs/>
                <w:sz w:val="14"/>
                <w:szCs w:val="14"/>
                <w:lang w:eastAsia="nl-NL"/>
              </w:rPr>
              <w:t xml:space="preserve">Overige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color w:val="000000"/>
                <w:sz w:val="12"/>
                <w:szCs w:val="12"/>
                <w:lang w:eastAsia="nl-NL"/>
              </w:rPr>
            </w:pPr>
            <w:r w:rsidRPr="00887144">
              <w:rPr>
                <w:rFonts w:ascii="Arial" w:eastAsia="Times New Roman" w:hAnsi="Arial" w:cs="Arial"/>
                <w:b/>
                <w:bCs/>
                <w:color w:val="000000"/>
                <w:sz w:val="12"/>
                <w:szCs w:val="12"/>
                <w:lang w:eastAsia="nl-NL"/>
              </w:rPr>
              <w:t>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58</w:t>
            </w:r>
          </w:p>
        </w:tc>
      </w:tr>
      <w:tr w:rsidR="002375F3" w:rsidRPr="00887144" w:rsidTr="00D66A40">
        <w:trPr>
          <w:trHeight w:val="180"/>
        </w:trPr>
        <w:tc>
          <w:tcPr>
            <w:tcW w:w="1920" w:type="dxa"/>
            <w:tcBorders>
              <w:top w:val="nil"/>
              <w:left w:val="nil"/>
              <w:bottom w:val="nil"/>
              <w:right w:val="nil"/>
            </w:tcBorders>
            <w:shd w:val="clear" w:color="auto" w:fill="auto"/>
            <w:noWrap/>
            <w:hideMark/>
          </w:tcPr>
          <w:p w:rsidR="002375F3" w:rsidRPr="00887144" w:rsidRDefault="002375F3" w:rsidP="00D66A40">
            <w:pPr>
              <w:spacing w:after="0" w:line="240" w:lineRule="auto"/>
              <w:rPr>
                <w:rFonts w:ascii="Arial" w:eastAsia="Times New Roman" w:hAnsi="Arial" w:cs="Arial"/>
                <w:sz w:val="14"/>
                <w:szCs w:val="14"/>
                <w:lang w:eastAsia="nl-NL"/>
              </w:rPr>
            </w:pPr>
            <w:r w:rsidRPr="00887144">
              <w:rPr>
                <w:rFonts w:ascii="Arial" w:eastAsia="Times New Roman" w:hAnsi="Arial" w:cs="Arial"/>
                <w:sz w:val="14"/>
                <w:szCs w:val="14"/>
                <w:lang w:eastAsia="nl-NL"/>
              </w:rPr>
              <w:t>Overige uitgaven</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58</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58</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b/>
                <w:bCs/>
                <w:i/>
                <w:iCs/>
                <w:sz w:val="12"/>
                <w:szCs w:val="12"/>
                <w:lang w:eastAsia="nl-NL"/>
              </w:rPr>
            </w:pPr>
            <w:r w:rsidRPr="00887144">
              <w:rPr>
                <w:rFonts w:ascii="Arial" w:eastAsia="Times New Roman" w:hAnsi="Arial" w:cs="Arial"/>
                <w:b/>
                <w:bCs/>
                <w:i/>
                <w:iCs/>
                <w:sz w:val="12"/>
                <w:szCs w:val="12"/>
                <w:lang w:eastAsia="nl-NL"/>
              </w:rPr>
              <w:t>Ontvangsten</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103.250</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193.250</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25.100</w:t>
            </w:r>
          </w:p>
        </w:tc>
        <w:tc>
          <w:tcPr>
            <w:tcW w:w="1140" w:type="dxa"/>
            <w:tcBorders>
              <w:top w:val="nil"/>
              <w:left w:val="nil"/>
              <w:bottom w:val="nil"/>
              <w:right w:val="nil"/>
            </w:tcBorders>
            <w:shd w:val="clear" w:color="000000" w:fill="FFFFFF"/>
            <w:hideMark/>
          </w:tcPr>
          <w:p w:rsidR="002375F3" w:rsidRPr="00887144" w:rsidRDefault="002375F3" w:rsidP="00D66A40">
            <w:pPr>
              <w:spacing w:after="0" w:line="240" w:lineRule="auto"/>
              <w:jc w:val="right"/>
              <w:rPr>
                <w:rFonts w:ascii="Arial" w:eastAsia="Times New Roman" w:hAnsi="Arial" w:cs="Arial"/>
                <w:b/>
                <w:bCs/>
                <w:sz w:val="12"/>
                <w:szCs w:val="12"/>
                <w:lang w:eastAsia="nl-NL"/>
              </w:rPr>
            </w:pPr>
            <w:r w:rsidRPr="00887144">
              <w:rPr>
                <w:rFonts w:ascii="Arial" w:eastAsia="Times New Roman" w:hAnsi="Arial" w:cs="Arial"/>
                <w:b/>
                <w:bCs/>
                <w:sz w:val="12"/>
                <w:szCs w:val="12"/>
                <w:lang w:eastAsia="nl-NL"/>
              </w:rPr>
              <w:t>218.350</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Premies EKV</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50.000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50.000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55.000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105.000</w:t>
            </w:r>
          </w:p>
        </w:tc>
      </w:tr>
      <w:tr w:rsidR="002375F3" w:rsidRPr="00887144" w:rsidTr="00D66A40">
        <w:trPr>
          <w:trHeight w:val="225"/>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Premies investeringsverzekeringen</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1.250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1.250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1.250</w:t>
            </w:r>
          </w:p>
        </w:tc>
      </w:tr>
      <w:tr w:rsidR="002375F3" w:rsidRPr="00887144" w:rsidTr="00D66A40">
        <w:trPr>
          <w:trHeight w:val="180"/>
        </w:trPr>
        <w:tc>
          <w:tcPr>
            <w:tcW w:w="1920" w:type="dxa"/>
            <w:tcBorders>
              <w:top w:val="nil"/>
              <w:left w:val="nil"/>
              <w:bottom w:val="nil"/>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Schaderestituties EKV</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38.000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128.000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-29.900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98.100</w:t>
            </w:r>
          </w:p>
        </w:tc>
      </w:tr>
      <w:tr w:rsidR="002375F3" w:rsidRPr="00887144" w:rsidTr="00D66A40">
        <w:trPr>
          <w:trHeight w:val="330"/>
        </w:trPr>
        <w:tc>
          <w:tcPr>
            <w:tcW w:w="1920" w:type="dxa"/>
            <w:tcBorders>
              <w:top w:val="nil"/>
              <w:left w:val="nil"/>
              <w:bottom w:val="nil"/>
              <w:right w:val="nil"/>
            </w:tcBorders>
            <w:shd w:val="clear" w:color="auto" w:fill="auto"/>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Onttrekking begrotingsreserve SENO-GOM</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14.000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14.000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0</w:t>
            </w:r>
          </w:p>
        </w:tc>
        <w:tc>
          <w:tcPr>
            <w:tcW w:w="1140" w:type="dxa"/>
            <w:tcBorders>
              <w:top w:val="nil"/>
              <w:left w:val="nil"/>
              <w:bottom w:val="nil"/>
              <w:right w:val="nil"/>
            </w:tcBorders>
            <w:shd w:val="clear" w:color="auto" w:fill="auto"/>
            <w:hideMark/>
          </w:tcPr>
          <w:p w:rsidR="002375F3" w:rsidRPr="00887144" w:rsidRDefault="002375F3" w:rsidP="00D66A40">
            <w:pPr>
              <w:spacing w:after="0" w:line="240" w:lineRule="auto"/>
              <w:jc w:val="right"/>
              <w:rPr>
                <w:rFonts w:ascii="Arial" w:eastAsia="Times New Roman" w:hAnsi="Arial" w:cs="Arial"/>
                <w:sz w:val="12"/>
                <w:szCs w:val="12"/>
                <w:lang w:eastAsia="nl-NL"/>
              </w:rPr>
            </w:pPr>
            <w:r w:rsidRPr="00887144">
              <w:rPr>
                <w:rFonts w:ascii="Arial" w:eastAsia="Times New Roman" w:hAnsi="Arial" w:cs="Arial"/>
                <w:sz w:val="12"/>
                <w:szCs w:val="12"/>
                <w:lang w:eastAsia="nl-NL"/>
              </w:rPr>
              <w:t>14.000</w:t>
            </w:r>
          </w:p>
        </w:tc>
      </w:tr>
      <w:tr w:rsidR="002375F3" w:rsidRPr="00887144" w:rsidTr="00D66A40">
        <w:trPr>
          <w:trHeight w:val="195"/>
        </w:trPr>
        <w:tc>
          <w:tcPr>
            <w:tcW w:w="1920" w:type="dxa"/>
            <w:tcBorders>
              <w:top w:val="nil"/>
              <w:left w:val="nil"/>
              <w:bottom w:val="single" w:sz="8" w:space="0" w:color="auto"/>
              <w:right w:val="nil"/>
            </w:tcBorders>
            <w:shd w:val="clear" w:color="000000" w:fill="FFFFFF"/>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single" w:sz="8" w:space="0" w:color="auto"/>
              <w:right w:val="nil"/>
            </w:tcBorders>
            <w:shd w:val="clear" w:color="000000" w:fill="FFFFFF"/>
            <w:noWrap/>
            <w:vAlign w:val="bottom"/>
            <w:hideMark/>
          </w:tcPr>
          <w:p w:rsidR="002375F3" w:rsidRPr="00887144" w:rsidRDefault="002375F3" w:rsidP="00D66A40">
            <w:pPr>
              <w:spacing w:after="0" w:line="240" w:lineRule="auto"/>
              <w:rPr>
                <w:rFonts w:ascii="Arial" w:eastAsia="Times New Roman" w:hAnsi="Arial" w:cs="Arial"/>
                <w:sz w:val="12"/>
                <w:szCs w:val="12"/>
                <w:lang w:eastAsia="nl-NL"/>
              </w:rPr>
            </w:pPr>
            <w:r w:rsidRPr="00887144">
              <w:rPr>
                <w:rFonts w:ascii="Arial" w:eastAsia="Times New Roman" w:hAnsi="Arial" w:cs="Arial"/>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887144" w:rsidRDefault="002375F3" w:rsidP="00D66A40">
            <w:pPr>
              <w:spacing w:after="0" w:line="240" w:lineRule="auto"/>
              <w:rPr>
                <w:rFonts w:ascii="Arial" w:eastAsia="Times New Roman" w:hAnsi="Arial" w:cs="Arial"/>
                <w:color w:val="000000"/>
                <w:sz w:val="12"/>
                <w:szCs w:val="12"/>
                <w:lang w:eastAsia="nl-NL"/>
              </w:rPr>
            </w:pPr>
            <w:r w:rsidRPr="00887144">
              <w:rPr>
                <w:rFonts w:ascii="Arial" w:eastAsia="Times New Roman" w:hAnsi="Arial" w:cs="Arial"/>
                <w:color w:val="000000"/>
                <w:sz w:val="12"/>
                <w:szCs w:val="12"/>
                <w:lang w:eastAsia="nl-NL"/>
              </w:rPr>
              <w:t> </w:t>
            </w:r>
          </w:p>
        </w:tc>
      </w:tr>
    </w:tbl>
    <w:p w:rsidR="002375F3" w:rsidRDefault="002375F3" w:rsidP="002375F3">
      <w:pPr>
        <w:rPr>
          <w:rFonts w:asciiTheme="minorHAnsi" w:hAnsiTheme="minorHAnsi"/>
          <w:b/>
          <w:szCs w:val="18"/>
        </w:rPr>
      </w:pPr>
    </w:p>
    <w:p w:rsidR="002375F3" w:rsidRDefault="002375F3" w:rsidP="002375F3">
      <w:pPr>
        <w:rPr>
          <w:rFonts w:asciiTheme="minorHAnsi" w:hAnsiTheme="minorHAnsi"/>
          <w:b/>
          <w:szCs w:val="18"/>
        </w:rPr>
      </w:pPr>
      <w:r>
        <w:rPr>
          <w:rFonts w:asciiTheme="minorHAnsi" w:hAnsiTheme="minorHAnsi"/>
          <w:b/>
          <w:szCs w:val="18"/>
        </w:rPr>
        <w:t>Toelichting</w:t>
      </w:r>
    </w:p>
    <w:p w:rsidR="002375F3" w:rsidRPr="00881C6F" w:rsidRDefault="002375F3" w:rsidP="002375F3">
      <w:pPr>
        <w:pStyle w:val="Geenafstand"/>
        <w:spacing w:line="240" w:lineRule="exact"/>
        <w:rPr>
          <w:rFonts w:asciiTheme="minorHAnsi" w:hAnsiTheme="minorHAnsi"/>
          <w:b/>
          <w:szCs w:val="18"/>
        </w:rPr>
      </w:pPr>
      <w:r>
        <w:rPr>
          <w:rFonts w:asciiTheme="minorHAnsi" w:hAnsiTheme="minorHAnsi"/>
          <w:b/>
          <w:szCs w:val="18"/>
        </w:rPr>
        <w:t>Algemeen</w:t>
      </w:r>
    </w:p>
    <w:p w:rsidR="002375F3" w:rsidRPr="00881C6F" w:rsidRDefault="002375F3" w:rsidP="002375F3">
      <w:pPr>
        <w:pStyle w:val="Geenafstand"/>
        <w:spacing w:line="240" w:lineRule="exact"/>
        <w:rPr>
          <w:rFonts w:asciiTheme="minorHAnsi" w:hAnsiTheme="minorHAnsi"/>
          <w:szCs w:val="18"/>
        </w:rPr>
      </w:pPr>
      <w:r w:rsidRPr="00881C6F">
        <w:rPr>
          <w:rFonts w:asciiTheme="minorHAnsi" w:hAnsiTheme="minorHAnsi"/>
          <w:szCs w:val="18"/>
        </w:rPr>
        <w:t xml:space="preserve">Na de Najaarsnota zal er </w:t>
      </w:r>
      <w:r>
        <w:rPr>
          <w:rFonts w:asciiTheme="minorHAnsi" w:hAnsiTheme="minorHAnsi"/>
          <w:szCs w:val="18"/>
        </w:rPr>
        <w:t xml:space="preserve">mogelijk </w:t>
      </w:r>
      <w:r w:rsidRPr="00881C6F">
        <w:rPr>
          <w:rFonts w:asciiTheme="minorHAnsi" w:hAnsiTheme="minorHAnsi"/>
          <w:szCs w:val="18"/>
        </w:rPr>
        <w:t xml:space="preserve">nog een storting in of onttrekking uit de begrotingsreserve plaatsvinden. Na afloop van het jaar is pas duidelijk hoeveel er exact gestort kan worden in de begrotingsreserve, </w:t>
      </w:r>
      <w:proofErr w:type="spellStart"/>
      <w:r w:rsidRPr="00881C6F">
        <w:rPr>
          <w:rFonts w:asciiTheme="minorHAnsi" w:hAnsiTheme="minorHAnsi"/>
          <w:szCs w:val="18"/>
        </w:rPr>
        <w:t>danwel</w:t>
      </w:r>
      <w:proofErr w:type="spellEnd"/>
      <w:r w:rsidRPr="00881C6F">
        <w:rPr>
          <w:rFonts w:asciiTheme="minorHAnsi" w:hAnsiTheme="minorHAnsi"/>
          <w:szCs w:val="18"/>
        </w:rPr>
        <w:t xml:space="preserve"> hoeveel er </w:t>
      </w:r>
      <w:proofErr w:type="spellStart"/>
      <w:r w:rsidRPr="00881C6F">
        <w:rPr>
          <w:rFonts w:asciiTheme="minorHAnsi" w:hAnsiTheme="minorHAnsi"/>
          <w:szCs w:val="18"/>
        </w:rPr>
        <w:t>ontrokken</w:t>
      </w:r>
      <w:proofErr w:type="spellEnd"/>
      <w:r w:rsidRPr="00881C6F">
        <w:rPr>
          <w:rFonts w:asciiTheme="minorHAnsi" w:hAnsiTheme="minorHAnsi"/>
          <w:szCs w:val="18"/>
        </w:rPr>
        <w:t xml:space="preserve"> moet worden aan de begrotingsreserve. Dit is afhankelijk van de realisatie van de ontvangsten en uitgaven met betrekking tot de EKV. De omvang van de </w:t>
      </w:r>
      <w:r w:rsidRPr="007E5074">
        <w:rPr>
          <w:rFonts w:asciiTheme="minorHAnsi" w:hAnsiTheme="minorHAnsi"/>
          <w:szCs w:val="18"/>
        </w:rPr>
        <w:t xml:space="preserve">begrotingsreserve bedroeg ultimo 2014 € 186 mln. Deze begrotingsmutatie zal, samen met de overige autonome/technische begrotingsmutaties, budgettair worden verwerkt in de </w:t>
      </w:r>
      <w:proofErr w:type="spellStart"/>
      <w:r w:rsidRPr="007E5074">
        <w:rPr>
          <w:rFonts w:asciiTheme="minorHAnsi" w:hAnsiTheme="minorHAnsi"/>
          <w:szCs w:val="18"/>
        </w:rPr>
        <w:t>Slotwet</w:t>
      </w:r>
      <w:proofErr w:type="spellEnd"/>
      <w:r w:rsidRPr="007E5074">
        <w:rPr>
          <w:rFonts w:asciiTheme="minorHAnsi" w:hAnsiTheme="minorHAnsi"/>
          <w:szCs w:val="18"/>
        </w:rPr>
        <w:t xml:space="preserve"> 2015.</w:t>
      </w:r>
    </w:p>
    <w:p w:rsidR="002375F3" w:rsidRDefault="002375F3" w:rsidP="002375F3">
      <w:pPr>
        <w:pStyle w:val="Geenafstand"/>
        <w:spacing w:line="240" w:lineRule="exact"/>
        <w:rPr>
          <w:rFonts w:asciiTheme="minorHAnsi" w:hAnsiTheme="minorHAnsi"/>
          <w:b/>
          <w:szCs w:val="18"/>
        </w:rPr>
      </w:pPr>
    </w:p>
    <w:p w:rsidR="002375F3" w:rsidRDefault="002375F3" w:rsidP="002375F3">
      <w:pPr>
        <w:pStyle w:val="Geenafstand"/>
        <w:spacing w:line="240" w:lineRule="exact"/>
        <w:rPr>
          <w:rFonts w:asciiTheme="minorHAnsi" w:hAnsiTheme="minorHAnsi"/>
          <w:b/>
          <w:szCs w:val="18"/>
        </w:rPr>
      </w:pPr>
      <w:r>
        <w:rPr>
          <w:rFonts w:asciiTheme="minorHAnsi" w:hAnsiTheme="minorHAnsi"/>
          <w:b/>
          <w:szCs w:val="18"/>
        </w:rPr>
        <w:t>Verplichtingen en uitgaven (€ 0 en + € 25,1 mln.)</w:t>
      </w:r>
    </w:p>
    <w:p w:rsidR="002375F3" w:rsidRDefault="002375F3" w:rsidP="002375F3">
      <w:pPr>
        <w:pStyle w:val="Geenafstand"/>
        <w:spacing w:line="240" w:lineRule="exact"/>
        <w:rPr>
          <w:rFonts w:asciiTheme="minorHAnsi" w:hAnsiTheme="minorHAnsi"/>
          <w:b/>
          <w:szCs w:val="18"/>
        </w:rPr>
      </w:pP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Schade-uitkering EKV</w:t>
      </w:r>
      <w:r>
        <w:rPr>
          <w:rFonts w:asciiTheme="minorHAnsi" w:hAnsiTheme="minorHAnsi"/>
          <w:i/>
          <w:szCs w:val="18"/>
        </w:rPr>
        <w:t xml:space="preserve"> (+ € 25,1 mln.)</w:t>
      </w: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szCs w:val="18"/>
        </w:rPr>
        <w:t xml:space="preserve">De raming op de schade-uitgaven wordt naar boven bijgesteld door een grote verwachte schade-uitkering eind 2015. </w:t>
      </w:r>
    </w:p>
    <w:p w:rsidR="002375F3" w:rsidRPr="00881C6F" w:rsidRDefault="002375F3" w:rsidP="002375F3">
      <w:pPr>
        <w:pStyle w:val="Geenafstand"/>
        <w:spacing w:line="240" w:lineRule="exact"/>
        <w:rPr>
          <w:rFonts w:asciiTheme="minorHAnsi" w:hAnsiTheme="minorHAnsi"/>
          <w:b/>
          <w:szCs w:val="18"/>
        </w:rPr>
      </w:pPr>
    </w:p>
    <w:p w:rsidR="002375F3" w:rsidRDefault="002375F3" w:rsidP="002375F3">
      <w:pPr>
        <w:rPr>
          <w:rFonts w:asciiTheme="minorHAnsi" w:hAnsiTheme="minorHAnsi"/>
          <w:b/>
          <w:szCs w:val="18"/>
        </w:rPr>
      </w:pPr>
      <w:r>
        <w:rPr>
          <w:rFonts w:asciiTheme="minorHAnsi" w:hAnsiTheme="minorHAnsi"/>
          <w:b/>
          <w:szCs w:val="18"/>
        </w:rPr>
        <w:br w:type="page"/>
      </w:r>
    </w:p>
    <w:p w:rsidR="002375F3" w:rsidRPr="00881C6F" w:rsidRDefault="002375F3" w:rsidP="002375F3">
      <w:pPr>
        <w:pStyle w:val="Geenafstand"/>
        <w:spacing w:line="240" w:lineRule="exact"/>
        <w:rPr>
          <w:rFonts w:asciiTheme="minorHAnsi" w:hAnsiTheme="minorHAnsi"/>
          <w:b/>
          <w:szCs w:val="18"/>
        </w:rPr>
      </w:pPr>
      <w:r w:rsidRPr="00881C6F">
        <w:rPr>
          <w:rFonts w:asciiTheme="minorHAnsi" w:hAnsiTheme="minorHAnsi"/>
          <w:b/>
          <w:szCs w:val="18"/>
        </w:rPr>
        <w:lastRenderedPageBreak/>
        <w:t>Ontvangsten</w:t>
      </w:r>
      <w:r>
        <w:rPr>
          <w:rFonts w:asciiTheme="minorHAnsi" w:hAnsiTheme="minorHAnsi"/>
          <w:b/>
          <w:szCs w:val="18"/>
        </w:rPr>
        <w:t xml:space="preserve"> (+ € 25,1 mln.)</w:t>
      </w:r>
    </w:p>
    <w:p w:rsidR="002375F3" w:rsidRDefault="002375F3" w:rsidP="002375F3">
      <w:pPr>
        <w:pStyle w:val="Geenafstand"/>
        <w:spacing w:line="240" w:lineRule="exact"/>
        <w:rPr>
          <w:rFonts w:asciiTheme="minorHAnsi" w:hAnsiTheme="minorHAnsi"/>
          <w:i/>
          <w:szCs w:val="18"/>
        </w:rPr>
      </w:pP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Premies EKV</w:t>
      </w:r>
      <w:r>
        <w:rPr>
          <w:rFonts w:asciiTheme="minorHAnsi" w:hAnsiTheme="minorHAnsi"/>
          <w:i/>
          <w:szCs w:val="18"/>
        </w:rPr>
        <w:t xml:space="preserve"> (+ € 55 mln.)</w:t>
      </w:r>
    </w:p>
    <w:p w:rsidR="002375F3" w:rsidRPr="00881C6F" w:rsidRDefault="002375F3" w:rsidP="002375F3">
      <w:pPr>
        <w:pStyle w:val="Geenafstand"/>
        <w:spacing w:line="240" w:lineRule="exact"/>
        <w:rPr>
          <w:rFonts w:asciiTheme="minorHAnsi" w:hAnsiTheme="minorHAnsi"/>
          <w:szCs w:val="18"/>
        </w:rPr>
      </w:pPr>
      <w:r w:rsidRPr="00881C6F">
        <w:rPr>
          <w:rFonts w:asciiTheme="minorHAnsi" w:hAnsiTheme="minorHAnsi"/>
          <w:szCs w:val="18"/>
        </w:rPr>
        <w:t xml:space="preserve">Door enkele grote exporttransacties zijn de premie-inkomsten hoger dan geraamd. De raming wordt daarom naar boven bijgesteld. </w:t>
      </w:r>
    </w:p>
    <w:p w:rsidR="002375F3" w:rsidRPr="00881C6F" w:rsidRDefault="002375F3" w:rsidP="002375F3">
      <w:pPr>
        <w:pStyle w:val="Geenafstand"/>
        <w:spacing w:line="240" w:lineRule="exact"/>
        <w:rPr>
          <w:rFonts w:asciiTheme="minorHAnsi" w:hAnsiTheme="minorHAnsi"/>
          <w:szCs w:val="18"/>
        </w:rPr>
      </w:pPr>
    </w:p>
    <w:p w:rsidR="002375F3" w:rsidRPr="00881C6F" w:rsidRDefault="002375F3" w:rsidP="002375F3">
      <w:pPr>
        <w:pStyle w:val="Geenafstand"/>
        <w:spacing w:line="240" w:lineRule="exact"/>
        <w:rPr>
          <w:rFonts w:asciiTheme="minorHAnsi" w:hAnsiTheme="minorHAnsi"/>
          <w:i/>
          <w:szCs w:val="18"/>
        </w:rPr>
      </w:pPr>
      <w:r w:rsidRPr="00881C6F">
        <w:rPr>
          <w:rFonts w:asciiTheme="minorHAnsi" w:hAnsiTheme="minorHAnsi"/>
          <w:i/>
          <w:szCs w:val="18"/>
        </w:rPr>
        <w:t>Schaderestituties EKV</w:t>
      </w:r>
      <w:r>
        <w:rPr>
          <w:rFonts w:asciiTheme="minorHAnsi" w:hAnsiTheme="minorHAnsi"/>
          <w:i/>
          <w:szCs w:val="18"/>
        </w:rPr>
        <w:t xml:space="preserve"> (- € 29,9 mln.)</w:t>
      </w:r>
    </w:p>
    <w:p w:rsidR="002375F3" w:rsidRPr="00881C6F" w:rsidRDefault="002375F3" w:rsidP="002375F3">
      <w:pPr>
        <w:pStyle w:val="Geenafstand"/>
        <w:spacing w:line="240" w:lineRule="exact"/>
        <w:rPr>
          <w:rFonts w:asciiTheme="minorHAnsi" w:hAnsiTheme="minorHAnsi"/>
          <w:szCs w:val="18"/>
        </w:rPr>
      </w:pPr>
      <w:r w:rsidRPr="00881C6F">
        <w:rPr>
          <w:rFonts w:asciiTheme="minorHAnsi" w:hAnsiTheme="minorHAnsi"/>
          <w:szCs w:val="18"/>
        </w:rPr>
        <w:t>De schaderestituties uit hoofde van terugbetalingsregelingen zijn lager dan geraamd. De raming wordt daarom naar beneden bijgesteld.</w:t>
      </w:r>
    </w:p>
    <w:p w:rsidR="002375F3" w:rsidRPr="00881C6F" w:rsidRDefault="002375F3" w:rsidP="002375F3">
      <w:pPr>
        <w:pStyle w:val="Geenafstand"/>
        <w:spacing w:line="240" w:lineRule="exact"/>
        <w:rPr>
          <w:rFonts w:asciiTheme="minorHAnsi" w:hAnsiTheme="minorHAnsi"/>
          <w:szCs w:val="18"/>
        </w:rPr>
      </w:pPr>
    </w:p>
    <w:p w:rsidR="002375F3" w:rsidRPr="00881C6F" w:rsidRDefault="002375F3" w:rsidP="002375F3">
      <w:pPr>
        <w:spacing w:after="0" w:line="240" w:lineRule="exact"/>
        <w:rPr>
          <w:rFonts w:asciiTheme="minorHAnsi" w:hAnsiTheme="minorHAnsi"/>
          <w:szCs w:val="18"/>
        </w:rPr>
      </w:pPr>
      <w:r w:rsidRPr="00881C6F">
        <w:rPr>
          <w:rFonts w:asciiTheme="minorHAnsi" w:hAnsiTheme="minorHAnsi"/>
          <w:szCs w:val="18"/>
        </w:rPr>
        <w:br w:type="page"/>
      </w:r>
    </w:p>
    <w:p w:rsidR="002375F3" w:rsidRDefault="002375F3" w:rsidP="002375F3">
      <w:pPr>
        <w:rPr>
          <w:b/>
        </w:rPr>
      </w:pPr>
      <w:r w:rsidRPr="00A07C86">
        <w:rPr>
          <w:b/>
        </w:rPr>
        <w:lastRenderedPageBreak/>
        <w:t xml:space="preserve">Artikel 6 </w:t>
      </w:r>
      <w:proofErr w:type="spellStart"/>
      <w:r w:rsidRPr="00A07C86">
        <w:rPr>
          <w:b/>
        </w:rPr>
        <w:t>BTW-compensatiefonds</w:t>
      </w:r>
      <w:proofErr w:type="spellEnd"/>
    </w:p>
    <w:tbl>
      <w:tblPr>
        <w:tblW w:w="6640" w:type="dxa"/>
        <w:tblInd w:w="70" w:type="dxa"/>
        <w:tblCellMar>
          <w:left w:w="70" w:type="dxa"/>
          <w:right w:w="70" w:type="dxa"/>
        </w:tblCellMar>
        <w:tblLook w:val="04A0" w:firstRow="1" w:lastRow="0" w:firstColumn="1" w:lastColumn="0" w:noHBand="0" w:noVBand="1"/>
      </w:tblPr>
      <w:tblGrid>
        <w:gridCol w:w="1940"/>
        <w:gridCol w:w="1280"/>
        <w:gridCol w:w="1140"/>
        <w:gridCol w:w="1140"/>
        <w:gridCol w:w="1140"/>
      </w:tblGrid>
      <w:tr w:rsidR="002375F3" w:rsidRPr="00666C86" w:rsidTr="00D66A40">
        <w:trPr>
          <w:trHeight w:val="180"/>
        </w:trPr>
        <w:tc>
          <w:tcPr>
            <w:tcW w:w="6640" w:type="dxa"/>
            <w:gridSpan w:val="5"/>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 xml:space="preserve">Budgettaire gevolgen van beleid  - beleidsartikel 6 </w:t>
            </w:r>
            <w:proofErr w:type="spellStart"/>
            <w:r w:rsidRPr="00666C86">
              <w:rPr>
                <w:rFonts w:ascii="Arial" w:eastAsia="Times New Roman" w:hAnsi="Arial" w:cs="Arial"/>
                <w:b/>
                <w:bCs/>
                <w:sz w:val="12"/>
                <w:szCs w:val="12"/>
                <w:lang w:eastAsia="nl-NL"/>
              </w:rPr>
              <w:t>BTW-compensatiefonds</w:t>
            </w:r>
            <w:proofErr w:type="spellEnd"/>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Bedragen x € 1.000</w:t>
            </w:r>
          </w:p>
        </w:tc>
        <w:tc>
          <w:tcPr>
            <w:tcW w:w="1280" w:type="dxa"/>
            <w:tcBorders>
              <w:top w:val="nil"/>
              <w:left w:val="nil"/>
              <w:bottom w:val="nil"/>
              <w:right w:val="nil"/>
            </w:tcBorders>
            <w:shd w:val="clear" w:color="000000" w:fill="FFFFFF"/>
            <w:noWrap/>
            <w:vAlign w:val="bottom"/>
            <w:hideMark/>
          </w:tcPr>
          <w:p w:rsidR="002375F3" w:rsidRPr="00666C86" w:rsidRDefault="002375F3" w:rsidP="00D66A40">
            <w:pPr>
              <w:spacing w:after="0" w:line="240" w:lineRule="auto"/>
              <w:rPr>
                <w:rFonts w:ascii="Arial" w:eastAsia="Times New Roman" w:hAnsi="Arial" w:cs="Arial"/>
                <w:color w:val="000000"/>
                <w:sz w:val="12"/>
                <w:szCs w:val="12"/>
                <w:lang w:eastAsia="nl-NL"/>
              </w:rPr>
            </w:pPr>
            <w:r w:rsidRPr="00666C86">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r>
      <w:tr w:rsidR="002375F3" w:rsidRPr="00666C86" w:rsidTr="00D66A40">
        <w:trPr>
          <w:trHeight w:val="1170"/>
        </w:trPr>
        <w:tc>
          <w:tcPr>
            <w:tcW w:w="1940" w:type="dxa"/>
            <w:tcBorders>
              <w:top w:val="single" w:sz="4" w:space="0" w:color="auto"/>
              <w:left w:val="nil"/>
              <w:bottom w:val="single" w:sz="8" w:space="0" w:color="auto"/>
              <w:right w:val="nil"/>
            </w:tcBorders>
            <w:shd w:val="clear" w:color="auto" w:fill="auto"/>
            <w:vAlign w:val="center"/>
            <w:hideMark/>
          </w:tcPr>
          <w:p w:rsidR="002375F3" w:rsidRPr="00666C86" w:rsidRDefault="002375F3" w:rsidP="00D66A40">
            <w:pPr>
              <w:spacing w:after="0" w:line="240" w:lineRule="auto"/>
              <w:rPr>
                <w:rFonts w:ascii="Arial" w:eastAsia="Times New Roman" w:hAnsi="Arial" w:cs="Arial"/>
                <w:b/>
                <w:bCs/>
                <w:color w:val="000000"/>
                <w:sz w:val="12"/>
                <w:szCs w:val="12"/>
                <w:lang w:eastAsia="nl-NL"/>
              </w:rPr>
            </w:pPr>
            <w:r w:rsidRPr="00666C86">
              <w:rPr>
                <w:rFonts w:ascii="Arial" w:eastAsia="Times New Roman" w:hAnsi="Arial" w:cs="Arial"/>
                <w:b/>
                <w:bCs/>
                <w:color w:val="000000"/>
                <w:sz w:val="12"/>
                <w:szCs w:val="12"/>
                <w:lang w:eastAsia="nl-NL"/>
              </w:rPr>
              <w:t> </w:t>
            </w:r>
          </w:p>
        </w:tc>
        <w:tc>
          <w:tcPr>
            <w:tcW w:w="1280" w:type="dxa"/>
            <w:tcBorders>
              <w:top w:val="single" w:sz="4" w:space="0" w:color="auto"/>
              <w:left w:val="nil"/>
              <w:bottom w:val="single" w:sz="8" w:space="0" w:color="auto"/>
              <w:right w:val="nil"/>
            </w:tcBorders>
            <w:shd w:val="clear" w:color="000000" w:fill="FFFFFF"/>
            <w:hideMark/>
          </w:tcPr>
          <w:p w:rsidR="002375F3" w:rsidRPr="00666C86" w:rsidRDefault="002375F3" w:rsidP="00D66A40">
            <w:pPr>
              <w:spacing w:after="0" w:line="240" w:lineRule="auto"/>
              <w:jc w:val="center"/>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Stand</w:t>
            </w:r>
            <w:r w:rsidRPr="00666C86">
              <w:rPr>
                <w:rFonts w:ascii="Arial" w:eastAsia="Times New Roman" w:hAnsi="Arial" w:cs="Arial"/>
                <w:b/>
                <w:bCs/>
                <w:sz w:val="12"/>
                <w:szCs w:val="12"/>
                <w:lang w:eastAsia="nl-NL"/>
              </w:rPr>
              <w:br/>
              <w:t>vastgestelde</w:t>
            </w:r>
            <w:r w:rsidRPr="00666C86">
              <w:rPr>
                <w:rFonts w:ascii="Arial" w:eastAsia="Times New Roman" w:hAnsi="Arial" w:cs="Arial"/>
                <w:b/>
                <w:bCs/>
                <w:sz w:val="12"/>
                <w:szCs w:val="12"/>
                <w:lang w:eastAsia="nl-NL"/>
              </w:rPr>
              <w:br/>
              <w:t>begroting (na</w:t>
            </w:r>
            <w:r w:rsidRPr="00666C86">
              <w:rPr>
                <w:rFonts w:ascii="Arial" w:eastAsia="Times New Roman" w:hAnsi="Arial" w:cs="Arial"/>
                <w:b/>
                <w:bCs/>
                <w:sz w:val="12"/>
                <w:szCs w:val="12"/>
                <w:lang w:eastAsia="nl-NL"/>
              </w:rPr>
              <w:br/>
              <w:t>Nota</w:t>
            </w:r>
            <w:r w:rsidRPr="00666C86">
              <w:rPr>
                <w:rFonts w:ascii="Arial" w:eastAsia="Times New Roman" w:hAnsi="Arial" w:cs="Arial"/>
                <w:b/>
                <w:bCs/>
                <w:sz w:val="12"/>
                <w:szCs w:val="12"/>
                <w:lang w:eastAsia="nl-NL"/>
              </w:rPr>
              <w:br/>
              <w:t>van Wijziging,</w:t>
            </w:r>
            <w:r w:rsidRPr="00666C86">
              <w:rPr>
                <w:rFonts w:ascii="Arial" w:eastAsia="Times New Roman" w:hAnsi="Arial" w:cs="Arial"/>
                <w:b/>
                <w:bCs/>
                <w:sz w:val="12"/>
                <w:szCs w:val="12"/>
                <w:lang w:eastAsia="nl-NL"/>
              </w:rPr>
              <w:br/>
              <w:t>amendementen</w:t>
            </w:r>
            <w:r w:rsidRPr="00666C86">
              <w:rPr>
                <w:rFonts w:ascii="Arial" w:eastAsia="Times New Roman" w:hAnsi="Arial" w:cs="Arial"/>
                <w:b/>
                <w:bCs/>
                <w:sz w:val="12"/>
                <w:szCs w:val="12"/>
                <w:lang w:eastAsia="nl-NL"/>
              </w:rPr>
              <w:br/>
              <w:t>en ISB) (1)</w:t>
            </w:r>
          </w:p>
        </w:tc>
        <w:tc>
          <w:tcPr>
            <w:tcW w:w="1140" w:type="dxa"/>
            <w:tcBorders>
              <w:top w:val="single" w:sz="4" w:space="0" w:color="auto"/>
              <w:left w:val="nil"/>
              <w:bottom w:val="single" w:sz="8" w:space="0" w:color="auto"/>
              <w:right w:val="nil"/>
            </w:tcBorders>
            <w:shd w:val="clear" w:color="000000" w:fill="FFFFFF"/>
            <w:hideMark/>
          </w:tcPr>
          <w:p w:rsidR="002375F3" w:rsidRPr="00666C86" w:rsidRDefault="002375F3" w:rsidP="00D66A40">
            <w:pPr>
              <w:spacing w:after="0" w:line="240" w:lineRule="auto"/>
              <w:jc w:val="center"/>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Stand 1ste suppletoire begroting (2)</w:t>
            </w:r>
          </w:p>
        </w:tc>
        <w:tc>
          <w:tcPr>
            <w:tcW w:w="1140" w:type="dxa"/>
            <w:tcBorders>
              <w:top w:val="single" w:sz="4" w:space="0" w:color="auto"/>
              <w:left w:val="nil"/>
              <w:bottom w:val="single" w:sz="8" w:space="0" w:color="auto"/>
              <w:right w:val="nil"/>
            </w:tcBorders>
            <w:shd w:val="clear" w:color="000000" w:fill="FFFFFF"/>
            <w:hideMark/>
          </w:tcPr>
          <w:p w:rsidR="002375F3" w:rsidRPr="00666C86" w:rsidRDefault="002375F3" w:rsidP="00D66A40">
            <w:pPr>
              <w:spacing w:after="0" w:line="240" w:lineRule="auto"/>
              <w:jc w:val="center"/>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Mutaties</w:t>
            </w:r>
            <w:r w:rsidRPr="00666C86">
              <w:rPr>
                <w:rFonts w:ascii="Arial" w:eastAsia="Times New Roman" w:hAnsi="Arial" w:cs="Arial"/>
                <w:b/>
                <w:bCs/>
                <w:sz w:val="12"/>
                <w:szCs w:val="12"/>
                <w:lang w:eastAsia="nl-NL"/>
              </w:rPr>
              <w:br/>
              <w:t>2e suppletoire</w:t>
            </w:r>
            <w:r w:rsidRPr="00666C86">
              <w:rPr>
                <w:rFonts w:ascii="Arial" w:eastAsia="Times New Roman" w:hAnsi="Arial" w:cs="Arial"/>
                <w:b/>
                <w:bCs/>
                <w:sz w:val="12"/>
                <w:szCs w:val="12"/>
                <w:lang w:eastAsia="nl-NL"/>
              </w:rPr>
              <w:br/>
              <w:t>begroting (3)</w:t>
            </w:r>
          </w:p>
        </w:tc>
        <w:tc>
          <w:tcPr>
            <w:tcW w:w="1140" w:type="dxa"/>
            <w:tcBorders>
              <w:top w:val="single" w:sz="4" w:space="0" w:color="auto"/>
              <w:left w:val="nil"/>
              <w:bottom w:val="single" w:sz="8" w:space="0" w:color="auto"/>
              <w:right w:val="nil"/>
            </w:tcBorders>
            <w:shd w:val="clear" w:color="000000" w:fill="FFFFFF"/>
            <w:hideMark/>
          </w:tcPr>
          <w:p w:rsidR="002375F3" w:rsidRPr="00666C86" w:rsidRDefault="002375F3" w:rsidP="00D66A40">
            <w:pPr>
              <w:spacing w:after="0" w:line="240" w:lineRule="auto"/>
              <w:jc w:val="center"/>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Stand</w:t>
            </w:r>
            <w:r w:rsidRPr="00666C86">
              <w:rPr>
                <w:rFonts w:ascii="Arial" w:eastAsia="Times New Roman" w:hAnsi="Arial" w:cs="Arial"/>
                <w:b/>
                <w:bCs/>
                <w:sz w:val="12"/>
                <w:szCs w:val="12"/>
                <w:lang w:eastAsia="nl-NL"/>
              </w:rPr>
              <w:br/>
              <w:t>2e suppletoire</w:t>
            </w:r>
            <w:r w:rsidRPr="00666C86">
              <w:rPr>
                <w:rFonts w:ascii="Arial" w:eastAsia="Times New Roman" w:hAnsi="Arial" w:cs="Arial"/>
                <w:b/>
                <w:bCs/>
                <w:sz w:val="12"/>
                <w:szCs w:val="12"/>
                <w:lang w:eastAsia="nl-NL"/>
              </w:rPr>
              <w:br/>
              <w:t>begroting</w:t>
            </w:r>
            <w:r w:rsidRPr="00666C86">
              <w:rPr>
                <w:rFonts w:ascii="Arial" w:eastAsia="Times New Roman" w:hAnsi="Arial" w:cs="Arial"/>
                <w:b/>
                <w:bCs/>
                <w:sz w:val="12"/>
                <w:szCs w:val="12"/>
                <w:lang w:eastAsia="nl-NL"/>
              </w:rPr>
              <w:br/>
              <w:t>(4)=(2+3)</w:t>
            </w: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Verplichtingen</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2.901.122</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color w:val="000000"/>
                <w:sz w:val="12"/>
                <w:szCs w:val="12"/>
                <w:lang w:eastAsia="nl-NL"/>
              </w:rPr>
            </w:pPr>
            <w:r w:rsidRPr="00666C86">
              <w:rPr>
                <w:rFonts w:ascii="Arial" w:eastAsia="Times New Roman" w:hAnsi="Arial" w:cs="Arial"/>
                <w:b/>
                <w:bCs/>
                <w:color w:val="000000"/>
                <w:sz w:val="12"/>
                <w:szCs w:val="12"/>
                <w:lang w:eastAsia="nl-NL"/>
              </w:rPr>
              <w:t>2.901.122</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color w:val="000000"/>
                <w:sz w:val="12"/>
                <w:szCs w:val="12"/>
                <w:lang w:eastAsia="nl-NL"/>
              </w:rPr>
            </w:pPr>
            <w:r w:rsidRPr="00666C86">
              <w:rPr>
                <w:rFonts w:ascii="Arial" w:eastAsia="Times New Roman" w:hAnsi="Arial" w:cs="Arial"/>
                <w:b/>
                <w:bCs/>
                <w:color w:val="000000"/>
                <w:sz w:val="12"/>
                <w:szCs w:val="12"/>
                <w:lang w:eastAsia="nl-NL"/>
              </w:rPr>
              <w:t>-38.678</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color w:val="000000"/>
                <w:sz w:val="12"/>
                <w:szCs w:val="12"/>
                <w:lang w:eastAsia="nl-NL"/>
              </w:rPr>
            </w:pPr>
            <w:r w:rsidRPr="00666C86">
              <w:rPr>
                <w:rFonts w:ascii="Arial" w:eastAsia="Times New Roman" w:hAnsi="Arial" w:cs="Arial"/>
                <w:b/>
                <w:bCs/>
                <w:color w:val="000000"/>
                <w:sz w:val="12"/>
                <w:szCs w:val="12"/>
                <w:lang w:eastAsia="nl-NL"/>
              </w:rPr>
              <w:t>2.862.444</w:t>
            </w: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sz w:val="12"/>
                <w:szCs w:val="12"/>
                <w:lang w:eastAsia="nl-NL"/>
              </w:rPr>
            </w:pPr>
            <w:r w:rsidRPr="00666C86">
              <w:rPr>
                <w:rFonts w:ascii="Arial" w:eastAsia="Times New Roman" w:hAnsi="Arial" w:cs="Arial"/>
                <w:sz w:val="12"/>
                <w:szCs w:val="12"/>
                <w:lang w:eastAsia="nl-NL"/>
              </w:rPr>
              <w:t> </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b/>
                <w:bCs/>
                <w:i/>
                <w:iCs/>
                <w:sz w:val="12"/>
                <w:szCs w:val="12"/>
                <w:lang w:eastAsia="nl-NL"/>
              </w:rPr>
            </w:pPr>
            <w:r w:rsidRPr="00666C86">
              <w:rPr>
                <w:rFonts w:ascii="Arial" w:eastAsia="Times New Roman" w:hAnsi="Arial" w:cs="Arial"/>
                <w:b/>
                <w:bCs/>
                <w:i/>
                <w:iCs/>
                <w:sz w:val="12"/>
                <w:szCs w:val="12"/>
                <w:lang w:eastAsia="nl-NL"/>
              </w:rPr>
              <w:t>Uitgaven</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2.901.122</w:t>
            </w:r>
          </w:p>
        </w:tc>
        <w:tc>
          <w:tcPr>
            <w:tcW w:w="114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2.901.122</w:t>
            </w:r>
          </w:p>
        </w:tc>
        <w:tc>
          <w:tcPr>
            <w:tcW w:w="114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-38.678</w:t>
            </w:r>
          </w:p>
        </w:tc>
        <w:tc>
          <w:tcPr>
            <w:tcW w:w="114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2.862.444</w:t>
            </w: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 </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i/>
                <w:iCs/>
                <w:sz w:val="12"/>
                <w:szCs w:val="12"/>
                <w:lang w:eastAsia="nl-NL"/>
              </w:rPr>
            </w:pPr>
            <w:r w:rsidRPr="00666C86">
              <w:rPr>
                <w:rFonts w:ascii="Arial" w:eastAsia="Times New Roman" w:hAnsi="Arial" w:cs="Arial"/>
                <w:i/>
                <w:iCs/>
                <w:sz w:val="12"/>
                <w:szCs w:val="12"/>
                <w:lang w:eastAsia="nl-NL"/>
              </w:rPr>
              <w:t>waarvan juridisch verplicht</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100%</w:t>
            </w:r>
          </w:p>
        </w:tc>
        <w:tc>
          <w:tcPr>
            <w:tcW w:w="114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100%</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color w:val="000000"/>
                <w:sz w:val="12"/>
                <w:szCs w:val="12"/>
                <w:lang w:eastAsia="nl-NL"/>
              </w:rPr>
            </w:pPr>
            <w:r w:rsidRPr="00666C86">
              <w:rPr>
                <w:rFonts w:ascii="Arial" w:eastAsia="Times New Roman" w:hAnsi="Arial" w:cs="Arial"/>
                <w:color w:val="000000"/>
                <w:sz w:val="12"/>
                <w:szCs w:val="12"/>
                <w:lang w:eastAsia="nl-NL"/>
              </w:rPr>
              <w:t>100%</w:t>
            </w: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sz w:val="12"/>
                <w:szCs w:val="12"/>
                <w:lang w:eastAsia="nl-NL"/>
              </w:rPr>
            </w:pPr>
            <w:r w:rsidRPr="00666C86">
              <w:rPr>
                <w:rFonts w:ascii="Arial" w:eastAsia="Times New Roman" w:hAnsi="Arial" w:cs="Arial"/>
                <w:sz w:val="12"/>
                <w:szCs w:val="12"/>
                <w:lang w:eastAsia="nl-NL"/>
              </w:rPr>
              <w:t> </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r>
      <w:tr w:rsidR="002375F3" w:rsidRPr="00666C86" w:rsidTr="00D66A40">
        <w:trPr>
          <w:trHeight w:val="33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Instrument: Btw-compensatieregeling</w:t>
            </w:r>
          </w:p>
        </w:tc>
        <w:tc>
          <w:tcPr>
            <w:tcW w:w="128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2.901.122</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2.901.122</w:t>
            </w:r>
          </w:p>
        </w:tc>
        <w:tc>
          <w:tcPr>
            <w:tcW w:w="114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-38.678</w:t>
            </w:r>
          </w:p>
        </w:tc>
        <w:tc>
          <w:tcPr>
            <w:tcW w:w="1140" w:type="dxa"/>
            <w:tcBorders>
              <w:top w:val="nil"/>
              <w:left w:val="nil"/>
              <w:bottom w:val="nil"/>
              <w:right w:val="nil"/>
            </w:tcBorders>
            <w:shd w:val="clear" w:color="auto" w:fill="auto"/>
            <w:noWrap/>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2.862.444</w:t>
            </w:r>
          </w:p>
        </w:tc>
      </w:tr>
      <w:tr w:rsidR="002375F3" w:rsidRPr="00666C86" w:rsidTr="00D66A40">
        <w:trPr>
          <w:trHeight w:val="33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sz w:val="12"/>
                <w:szCs w:val="12"/>
                <w:lang w:eastAsia="nl-NL"/>
              </w:rPr>
            </w:pPr>
            <w:r w:rsidRPr="00666C86">
              <w:rPr>
                <w:rFonts w:ascii="Arial" w:eastAsia="Times New Roman" w:hAnsi="Arial" w:cs="Arial"/>
                <w:sz w:val="12"/>
                <w:szCs w:val="12"/>
                <w:lang w:eastAsia="nl-NL"/>
              </w:rPr>
              <w:t xml:space="preserve"> </w:t>
            </w:r>
            <w:proofErr w:type="spellStart"/>
            <w:r w:rsidRPr="00666C86">
              <w:rPr>
                <w:rFonts w:ascii="Arial" w:eastAsia="Times New Roman" w:hAnsi="Arial" w:cs="Arial"/>
                <w:sz w:val="12"/>
                <w:szCs w:val="12"/>
                <w:lang w:eastAsia="nl-NL"/>
              </w:rPr>
              <w:t>w.v</w:t>
            </w:r>
            <w:proofErr w:type="spellEnd"/>
            <w:r w:rsidRPr="00666C86">
              <w:rPr>
                <w:rFonts w:ascii="Arial" w:eastAsia="Times New Roman" w:hAnsi="Arial" w:cs="Arial"/>
                <w:sz w:val="12"/>
                <w:szCs w:val="12"/>
                <w:lang w:eastAsia="nl-NL"/>
              </w:rPr>
              <w:t>. bijdragen aan gemeenten en kaderwetgebieden</w:t>
            </w:r>
          </w:p>
        </w:tc>
        <w:tc>
          <w:tcPr>
            <w:tcW w:w="128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2.565.154</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2.565.154</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-45.118</w:t>
            </w:r>
          </w:p>
        </w:tc>
        <w:tc>
          <w:tcPr>
            <w:tcW w:w="1140" w:type="dxa"/>
            <w:tcBorders>
              <w:top w:val="nil"/>
              <w:left w:val="nil"/>
              <w:bottom w:val="nil"/>
              <w:right w:val="nil"/>
            </w:tcBorders>
            <w:shd w:val="clear" w:color="auto" w:fill="auto"/>
            <w:noWrap/>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2.520.036</w:t>
            </w: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sz w:val="12"/>
                <w:szCs w:val="12"/>
                <w:lang w:eastAsia="nl-NL"/>
              </w:rPr>
            </w:pPr>
            <w:r w:rsidRPr="00666C86">
              <w:rPr>
                <w:rFonts w:ascii="Arial" w:eastAsia="Times New Roman" w:hAnsi="Arial" w:cs="Arial"/>
                <w:sz w:val="12"/>
                <w:szCs w:val="12"/>
                <w:lang w:eastAsia="nl-NL"/>
              </w:rPr>
              <w:t xml:space="preserve"> </w:t>
            </w:r>
            <w:proofErr w:type="spellStart"/>
            <w:r w:rsidRPr="00666C86">
              <w:rPr>
                <w:rFonts w:ascii="Arial" w:eastAsia="Times New Roman" w:hAnsi="Arial" w:cs="Arial"/>
                <w:sz w:val="12"/>
                <w:szCs w:val="12"/>
                <w:lang w:eastAsia="nl-NL"/>
              </w:rPr>
              <w:t>w.v</w:t>
            </w:r>
            <w:proofErr w:type="spellEnd"/>
            <w:r w:rsidRPr="00666C86">
              <w:rPr>
                <w:rFonts w:ascii="Arial" w:eastAsia="Times New Roman" w:hAnsi="Arial" w:cs="Arial"/>
                <w:sz w:val="12"/>
                <w:szCs w:val="12"/>
                <w:lang w:eastAsia="nl-NL"/>
              </w:rPr>
              <w:t>. bijdragen aan provincies</w:t>
            </w:r>
          </w:p>
        </w:tc>
        <w:tc>
          <w:tcPr>
            <w:tcW w:w="128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335.968</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335.968</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6.440</w:t>
            </w:r>
          </w:p>
        </w:tc>
        <w:tc>
          <w:tcPr>
            <w:tcW w:w="1140" w:type="dxa"/>
            <w:tcBorders>
              <w:top w:val="nil"/>
              <w:left w:val="nil"/>
              <w:bottom w:val="nil"/>
              <w:right w:val="nil"/>
            </w:tcBorders>
            <w:shd w:val="clear" w:color="auto" w:fill="auto"/>
            <w:noWrap/>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342.408</w:t>
            </w: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sz w:val="12"/>
                <w:szCs w:val="12"/>
                <w:lang w:eastAsia="nl-NL"/>
              </w:rPr>
            </w:pPr>
            <w:r w:rsidRPr="00666C86">
              <w:rPr>
                <w:rFonts w:ascii="Arial" w:eastAsia="Times New Roman" w:hAnsi="Arial" w:cs="Arial"/>
                <w:sz w:val="12"/>
                <w:szCs w:val="12"/>
                <w:lang w:eastAsia="nl-NL"/>
              </w:rPr>
              <w:t> </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rPr>
                <w:rFonts w:ascii="Arial" w:eastAsia="Times New Roman" w:hAnsi="Arial" w:cs="Arial"/>
                <w:color w:val="000000"/>
                <w:sz w:val="12"/>
                <w:szCs w:val="12"/>
                <w:lang w:eastAsia="nl-NL"/>
              </w:rPr>
            </w:pPr>
          </w:p>
        </w:tc>
      </w:tr>
      <w:tr w:rsidR="002375F3" w:rsidRPr="00666C86" w:rsidTr="00D66A40">
        <w:trPr>
          <w:trHeight w:val="180"/>
        </w:trPr>
        <w:tc>
          <w:tcPr>
            <w:tcW w:w="1940" w:type="dxa"/>
            <w:tcBorders>
              <w:top w:val="nil"/>
              <w:left w:val="nil"/>
              <w:bottom w:val="nil"/>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b/>
                <w:bCs/>
                <w:i/>
                <w:iCs/>
                <w:sz w:val="12"/>
                <w:szCs w:val="12"/>
                <w:lang w:eastAsia="nl-NL"/>
              </w:rPr>
            </w:pPr>
            <w:r w:rsidRPr="00666C86">
              <w:rPr>
                <w:rFonts w:ascii="Arial" w:eastAsia="Times New Roman" w:hAnsi="Arial" w:cs="Arial"/>
                <w:b/>
                <w:bCs/>
                <w:i/>
                <w:iCs/>
                <w:sz w:val="12"/>
                <w:szCs w:val="12"/>
                <w:lang w:eastAsia="nl-NL"/>
              </w:rPr>
              <w:t>Ontvangsten</w:t>
            </w:r>
          </w:p>
        </w:tc>
        <w:tc>
          <w:tcPr>
            <w:tcW w:w="1280" w:type="dxa"/>
            <w:tcBorders>
              <w:top w:val="nil"/>
              <w:left w:val="nil"/>
              <w:bottom w:val="nil"/>
              <w:right w:val="nil"/>
            </w:tcBorders>
            <w:shd w:val="clear" w:color="000000" w:fill="FFFFFF"/>
            <w:hideMark/>
          </w:tcPr>
          <w:p w:rsidR="002375F3" w:rsidRPr="00666C86" w:rsidRDefault="002375F3" w:rsidP="00D66A40">
            <w:pPr>
              <w:spacing w:after="0" w:line="240" w:lineRule="auto"/>
              <w:jc w:val="right"/>
              <w:rPr>
                <w:rFonts w:ascii="Arial" w:eastAsia="Times New Roman" w:hAnsi="Arial" w:cs="Arial"/>
                <w:b/>
                <w:bCs/>
                <w:sz w:val="12"/>
                <w:szCs w:val="12"/>
                <w:lang w:eastAsia="nl-NL"/>
              </w:rPr>
            </w:pPr>
            <w:r w:rsidRPr="00666C86">
              <w:rPr>
                <w:rFonts w:ascii="Arial" w:eastAsia="Times New Roman" w:hAnsi="Arial" w:cs="Arial"/>
                <w:b/>
                <w:bCs/>
                <w:sz w:val="12"/>
                <w:szCs w:val="12"/>
                <w:lang w:eastAsia="nl-NL"/>
              </w:rPr>
              <w:t>2.901.122</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color w:val="000000"/>
                <w:sz w:val="12"/>
                <w:szCs w:val="12"/>
                <w:lang w:eastAsia="nl-NL"/>
              </w:rPr>
            </w:pPr>
            <w:r w:rsidRPr="00666C86">
              <w:rPr>
                <w:rFonts w:ascii="Arial" w:eastAsia="Times New Roman" w:hAnsi="Arial" w:cs="Arial"/>
                <w:b/>
                <w:bCs/>
                <w:color w:val="000000"/>
                <w:sz w:val="12"/>
                <w:szCs w:val="12"/>
                <w:lang w:eastAsia="nl-NL"/>
              </w:rPr>
              <w:t>2.901.122</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color w:val="000000"/>
                <w:sz w:val="12"/>
                <w:szCs w:val="12"/>
                <w:lang w:eastAsia="nl-NL"/>
              </w:rPr>
            </w:pPr>
            <w:r w:rsidRPr="00666C86">
              <w:rPr>
                <w:rFonts w:ascii="Arial" w:eastAsia="Times New Roman" w:hAnsi="Arial" w:cs="Arial"/>
                <w:b/>
                <w:bCs/>
                <w:color w:val="000000"/>
                <w:sz w:val="12"/>
                <w:szCs w:val="12"/>
                <w:lang w:eastAsia="nl-NL"/>
              </w:rPr>
              <w:t>-38.678</w:t>
            </w:r>
          </w:p>
        </w:tc>
        <w:tc>
          <w:tcPr>
            <w:tcW w:w="1140" w:type="dxa"/>
            <w:tcBorders>
              <w:top w:val="nil"/>
              <w:left w:val="nil"/>
              <w:bottom w:val="nil"/>
              <w:right w:val="nil"/>
            </w:tcBorders>
            <w:shd w:val="clear" w:color="auto" w:fill="auto"/>
            <w:hideMark/>
          </w:tcPr>
          <w:p w:rsidR="002375F3" w:rsidRPr="00666C86" w:rsidRDefault="002375F3" w:rsidP="00D66A40">
            <w:pPr>
              <w:spacing w:after="0" w:line="240" w:lineRule="auto"/>
              <w:jc w:val="right"/>
              <w:rPr>
                <w:rFonts w:ascii="Arial" w:eastAsia="Times New Roman" w:hAnsi="Arial" w:cs="Arial"/>
                <w:b/>
                <w:bCs/>
                <w:color w:val="000000"/>
                <w:sz w:val="12"/>
                <w:szCs w:val="12"/>
                <w:lang w:eastAsia="nl-NL"/>
              </w:rPr>
            </w:pPr>
            <w:r w:rsidRPr="00666C86">
              <w:rPr>
                <w:rFonts w:ascii="Arial" w:eastAsia="Times New Roman" w:hAnsi="Arial" w:cs="Arial"/>
                <w:b/>
                <w:bCs/>
                <w:color w:val="000000"/>
                <w:sz w:val="12"/>
                <w:szCs w:val="12"/>
                <w:lang w:eastAsia="nl-NL"/>
              </w:rPr>
              <w:t>2.862.444</w:t>
            </w:r>
          </w:p>
        </w:tc>
      </w:tr>
      <w:tr w:rsidR="002375F3" w:rsidRPr="00666C86" w:rsidTr="00D66A40">
        <w:trPr>
          <w:trHeight w:val="195"/>
        </w:trPr>
        <w:tc>
          <w:tcPr>
            <w:tcW w:w="1940" w:type="dxa"/>
            <w:tcBorders>
              <w:top w:val="nil"/>
              <w:left w:val="nil"/>
              <w:bottom w:val="single" w:sz="8" w:space="0" w:color="auto"/>
              <w:right w:val="nil"/>
            </w:tcBorders>
            <w:shd w:val="clear" w:color="000000" w:fill="FFFFFF"/>
            <w:vAlign w:val="bottom"/>
            <w:hideMark/>
          </w:tcPr>
          <w:p w:rsidR="002375F3" w:rsidRPr="00666C86" w:rsidRDefault="002375F3" w:rsidP="00D66A40">
            <w:pPr>
              <w:spacing w:after="0" w:line="240" w:lineRule="auto"/>
              <w:rPr>
                <w:rFonts w:ascii="Arial" w:eastAsia="Times New Roman" w:hAnsi="Arial" w:cs="Arial"/>
                <w:sz w:val="12"/>
                <w:szCs w:val="12"/>
                <w:lang w:eastAsia="nl-NL"/>
              </w:rPr>
            </w:pPr>
            <w:r w:rsidRPr="00666C86">
              <w:rPr>
                <w:rFonts w:ascii="Arial" w:eastAsia="Times New Roman" w:hAnsi="Arial" w:cs="Arial"/>
                <w:sz w:val="12"/>
                <w:szCs w:val="12"/>
                <w:lang w:eastAsia="nl-NL"/>
              </w:rPr>
              <w:t> </w:t>
            </w:r>
          </w:p>
        </w:tc>
        <w:tc>
          <w:tcPr>
            <w:tcW w:w="1280" w:type="dxa"/>
            <w:tcBorders>
              <w:top w:val="nil"/>
              <w:left w:val="nil"/>
              <w:bottom w:val="single" w:sz="8" w:space="0" w:color="auto"/>
              <w:right w:val="nil"/>
            </w:tcBorders>
            <w:shd w:val="clear" w:color="000000" w:fill="FFFFFF"/>
            <w:noWrap/>
            <w:vAlign w:val="bottom"/>
            <w:hideMark/>
          </w:tcPr>
          <w:p w:rsidR="002375F3" w:rsidRPr="00666C86" w:rsidRDefault="002375F3" w:rsidP="00D66A40">
            <w:pPr>
              <w:spacing w:after="0" w:line="240" w:lineRule="auto"/>
              <w:jc w:val="right"/>
              <w:rPr>
                <w:rFonts w:ascii="Arial" w:eastAsia="Times New Roman" w:hAnsi="Arial" w:cs="Arial"/>
                <w:sz w:val="12"/>
                <w:szCs w:val="12"/>
                <w:lang w:eastAsia="nl-NL"/>
              </w:rPr>
            </w:pPr>
            <w:r w:rsidRPr="00666C86">
              <w:rPr>
                <w:rFonts w:ascii="Arial" w:eastAsia="Times New Roman" w:hAnsi="Arial" w:cs="Arial"/>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666C86" w:rsidRDefault="002375F3" w:rsidP="00D66A40">
            <w:pPr>
              <w:spacing w:after="0" w:line="240" w:lineRule="auto"/>
              <w:rPr>
                <w:rFonts w:ascii="Arial" w:eastAsia="Times New Roman" w:hAnsi="Arial" w:cs="Arial"/>
                <w:color w:val="000000"/>
                <w:sz w:val="12"/>
                <w:szCs w:val="12"/>
                <w:lang w:eastAsia="nl-NL"/>
              </w:rPr>
            </w:pPr>
            <w:r w:rsidRPr="00666C86">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666C86" w:rsidRDefault="002375F3" w:rsidP="00D66A40">
            <w:pPr>
              <w:spacing w:after="0" w:line="240" w:lineRule="auto"/>
              <w:rPr>
                <w:rFonts w:ascii="Arial" w:eastAsia="Times New Roman" w:hAnsi="Arial" w:cs="Arial"/>
                <w:color w:val="000000"/>
                <w:sz w:val="12"/>
                <w:szCs w:val="12"/>
                <w:lang w:eastAsia="nl-NL"/>
              </w:rPr>
            </w:pPr>
            <w:r w:rsidRPr="00666C86">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666C86" w:rsidRDefault="002375F3" w:rsidP="00D66A40">
            <w:pPr>
              <w:spacing w:after="0" w:line="240" w:lineRule="auto"/>
              <w:rPr>
                <w:rFonts w:ascii="Arial" w:eastAsia="Times New Roman" w:hAnsi="Arial" w:cs="Arial"/>
                <w:color w:val="000000"/>
                <w:sz w:val="12"/>
                <w:szCs w:val="12"/>
                <w:lang w:eastAsia="nl-NL"/>
              </w:rPr>
            </w:pPr>
            <w:r w:rsidRPr="00666C86">
              <w:rPr>
                <w:rFonts w:ascii="Arial" w:eastAsia="Times New Roman" w:hAnsi="Arial" w:cs="Arial"/>
                <w:color w:val="000000"/>
                <w:sz w:val="12"/>
                <w:szCs w:val="12"/>
                <w:lang w:eastAsia="nl-NL"/>
              </w:rPr>
              <w:t> </w:t>
            </w:r>
          </w:p>
        </w:tc>
      </w:tr>
    </w:tbl>
    <w:p w:rsidR="002375F3" w:rsidRDefault="002375F3" w:rsidP="002375F3">
      <w:pPr>
        <w:pStyle w:val="Kop4"/>
        <w:spacing w:before="0" w:beforeAutospacing="0" w:after="0" w:afterAutospacing="0" w:line="240" w:lineRule="exact"/>
        <w:rPr>
          <w:rFonts w:asciiTheme="minorHAnsi" w:hAnsiTheme="minorHAnsi"/>
          <w:sz w:val="18"/>
          <w:szCs w:val="18"/>
        </w:rPr>
      </w:pPr>
    </w:p>
    <w:p w:rsidR="002375F3" w:rsidRDefault="002375F3" w:rsidP="002375F3">
      <w:pPr>
        <w:pStyle w:val="Kop4"/>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Toelichting</w:t>
      </w:r>
    </w:p>
    <w:p w:rsidR="002375F3" w:rsidRPr="00881C6F" w:rsidRDefault="002375F3" w:rsidP="002375F3">
      <w:pPr>
        <w:pStyle w:val="Kop4"/>
        <w:spacing w:before="0" w:beforeAutospacing="0" w:after="0" w:afterAutospacing="0" w:line="240" w:lineRule="exact"/>
        <w:rPr>
          <w:rFonts w:asciiTheme="minorHAnsi" w:hAnsiTheme="minorHAnsi"/>
          <w:sz w:val="18"/>
          <w:szCs w:val="18"/>
        </w:rPr>
      </w:pPr>
    </w:p>
    <w:p w:rsidR="002375F3" w:rsidRPr="00881C6F" w:rsidRDefault="002375F3" w:rsidP="002375F3">
      <w:pPr>
        <w:pStyle w:val="Kop4"/>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Verplichtingen</w:t>
      </w:r>
      <w:r>
        <w:rPr>
          <w:rFonts w:asciiTheme="minorHAnsi" w:hAnsiTheme="minorHAnsi"/>
          <w:sz w:val="18"/>
          <w:szCs w:val="18"/>
        </w:rPr>
        <w:t>, uitgaven en ontvangsten (- € 38,7</w:t>
      </w:r>
      <w:r w:rsidRPr="00881C6F">
        <w:rPr>
          <w:rFonts w:asciiTheme="minorHAnsi" w:hAnsiTheme="minorHAnsi"/>
          <w:sz w:val="18"/>
          <w:szCs w:val="18"/>
        </w:rPr>
        <w:t xml:space="preserve"> mln.)</w:t>
      </w:r>
    </w:p>
    <w:p w:rsidR="002375F3" w:rsidRPr="00881C6F" w:rsidRDefault="002375F3" w:rsidP="002375F3">
      <w:pPr>
        <w:pStyle w:val="Normaalweb"/>
        <w:spacing w:before="0" w:beforeAutospacing="0" w:after="0" w:afterAutospacing="0" w:line="240" w:lineRule="exact"/>
        <w:rPr>
          <w:rFonts w:asciiTheme="minorHAnsi" w:hAnsiTheme="minorHAnsi"/>
          <w:sz w:val="18"/>
          <w:szCs w:val="18"/>
        </w:rPr>
      </w:pPr>
      <w:r w:rsidRPr="00881C6F">
        <w:rPr>
          <w:rFonts w:asciiTheme="minorHAnsi" w:hAnsiTheme="minorHAnsi"/>
          <w:sz w:val="18"/>
          <w:szCs w:val="18"/>
        </w:rPr>
        <w:t>Het BCF is bijgesteld als gevolg van enkele overhevelingen naar het Gemeente- en Provinciefonds.</w:t>
      </w:r>
    </w:p>
    <w:p w:rsidR="002375F3" w:rsidRPr="00881C6F" w:rsidRDefault="002375F3" w:rsidP="002375F3">
      <w:pPr>
        <w:spacing w:after="0" w:line="240" w:lineRule="exact"/>
        <w:rPr>
          <w:rFonts w:asciiTheme="minorHAnsi" w:hAnsiTheme="minorHAnsi"/>
          <w:b/>
          <w:szCs w:val="18"/>
        </w:rPr>
      </w:pPr>
      <w:r w:rsidRPr="00881C6F">
        <w:rPr>
          <w:rFonts w:asciiTheme="minorHAnsi" w:hAnsiTheme="minorHAnsi"/>
          <w:b/>
          <w:szCs w:val="18"/>
        </w:rPr>
        <w:br w:type="page"/>
      </w:r>
    </w:p>
    <w:p w:rsidR="002375F3" w:rsidRPr="00531A4D" w:rsidRDefault="002375F3" w:rsidP="002375F3">
      <w:pPr>
        <w:spacing w:after="0" w:line="240" w:lineRule="exact"/>
        <w:outlineLvl w:val="3"/>
        <w:rPr>
          <w:rFonts w:asciiTheme="minorHAnsi" w:eastAsia="Times New Roman" w:hAnsiTheme="minorHAnsi" w:cs="Times New Roman"/>
          <w:b/>
          <w:bCs/>
          <w:szCs w:val="18"/>
          <w:lang w:eastAsia="nl-NL"/>
        </w:rPr>
      </w:pPr>
      <w:r w:rsidRPr="00531A4D">
        <w:rPr>
          <w:b/>
        </w:rPr>
        <w:lastRenderedPageBreak/>
        <w:t>Artikel 7 Beheer materiële activa</w:t>
      </w:r>
    </w:p>
    <w:p w:rsidR="002375F3" w:rsidRDefault="002375F3" w:rsidP="002375F3">
      <w:pPr>
        <w:spacing w:after="0" w:line="240" w:lineRule="exact"/>
        <w:outlineLvl w:val="3"/>
        <w:rPr>
          <w:rFonts w:asciiTheme="minorHAnsi" w:eastAsia="Times New Roman" w:hAnsiTheme="minorHAnsi" w:cs="Times New Roman"/>
          <w:b/>
          <w:bCs/>
          <w:szCs w:val="18"/>
          <w:lang w:eastAsia="nl-NL"/>
        </w:rPr>
      </w:pPr>
    </w:p>
    <w:tbl>
      <w:tblPr>
        <w:tblW w:w="6360" w:type="dxa"/>
        <w:tblInd w:w="70" w:type="dxa"/>
        <w:tblCellMar>
          <w:left w:w="70" w:type="dxa"/>
          <w:right w:w="70" w:type="dxa"/>
        </w:tblCellMar>
        <w:tblLook w:val="04A0" w:firstRow="1" w:lastRow="0" w:firstColumn="1" w:lastColumn="0" w:noHBand="0" w:noVBand="1"/>
      </w:tblPr>
      <w:tblGrid>
        <w:gridCol w:w="1800"/>
        <w:gridCol w:w="1140"/>
        <w:gridCol w:w="1140"/>
        <w:gridCol w:w="1140"/>
        <w:gridCol w:w="1140"/>
      </w:tblGrid>
      <w:tr w:rsidR="002375F3" w:rsidRPr="00B6737D" w:rsidTr="00D66A40">
        <w:trPr>
          <w:trHeight w:val="180"/>
        </w:trPr>
        <w:tc>
          <w:tcPr>
            <w:tcW w:w="6360" w:type="dxa"/>
            <w:gridSpan w:val="5"/>
            <w:tcBorders>
              <w:top w:val="nil"/>
              <w:left w:val="nil"/>
              <w:bottom w:val="nil"/>
              <w:right w:val="nil"/>
            </w:tcBorders>
            <w:shd w:val="clear" w:color="000000" w:fill="FFFFFF"/>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Budgettaire gevolgen van beleid  - beleidsartikel 7 Beheer materiële activa</w:t>
            </w:r>
          </w:p>
        </w:tc>
      </w:tr>
      <w:tr w:rsidR="002375F3" w:rsidRPr="00B6737D" w:rsidTr="00D66A40">
        <w:trPr>
          <w:trHeight w:val="180"/>
        </w:trPr>
        <w:tc>
          <w:tcPr>
            <w:tcW w:w="1800" w:type="dxa"/>
            <w:tcBorders>
              <w:top w:val="nil"/>
              <w:left w:val="nil"/>
              <w:bottom w:val="nil"/>
              <w:right w:val="nil"/>
            </w:tcBorders>
            <w:shd w:val="clear" w:color="000000" w:fill="FFFFFF"/>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Bedragen x € 1.000</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1170"/>
        </w:trPr>
        <w:tc>
          <w:tcPr>
            <w:tcW w:w="1800" w:type="dxa"/>
            <w:tcBorders>
              <w:top w:val="single" w:sz="4" w:space="0" w:color="auto"/>
              <w:left w:val="nil"/>
              <w:bottom w:val="single" w:sz="8" w:space="0" w:color="auto"/>
              <w:right w:val="nil"/>
            </w:tcBorders>
            <w:shd w:val="clear" w:color="000000" w:fill="FFFFFF"/>
            <w:vAlign w:val="center"/>
            <w:hideMark/>
          </w:tcPr>
          <w:p w:rsidR="002375F3" w:rsidRPr="00B6737D" w:rsidRDefault="002375F3" w:rsidP="00D66A40">
            <w:pPr>
              <w:spacing w:after="0" w:line="240" w:lineRule="auto"/>
              <w:rPr>
                <w:rFonts w:ascii="Arial" w:eastAsia="Times New Roman" w:hAnsi="Arial" w:cs="Arial"/>
                <w:b/>
                <w:bCs/>
                <w:color w:val="000000"/>
                <w:sz w:val="12"/>
                <w:szCs w:val="12"/>
                <w:lang w:eastAsia="nl-NL"/>
              </w:rPr>
            </w:pPr>
            <w:r w:rsidRPr="00B6737D">
              <w:rPr>
                <w:rFonts w:ascii="Arial" w:eastAsia="Times New Roman" w:hAnsi="Arial" w:cs="Arial"/>
                <w:b/>
                <w:bCs/>
                <w:color w:val="000000"/>
                <w:sz w:val="12"/>
                <w:szCs w:val="12"/>
                <w:lang w:eastAsia="nl-NL"/>
              </w:rPr>
              <w:t> </w:t>
            </w:r>
          </w:p>
        </w:tc>
        <w:tc>
          <w:tcPr>
            <w:tcW w:w="1140" w:type="dxa"/>
            <w:tcBorders>
              <w:top w:val="single" w:sz="4" w:space="0" w:color="auto"/>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Stand</w:t>
            </w:r>
            <w:r w:rsidRPr="00B6737D">
              <w:rPr>
                <w:rFonts w:ascii="Arial" w:eastAsia="Times New Roman" w:hAnsi="Arial" w:cs="Arial"/>
                <w:b/>
                <w:bCs/>
                <w:sz w:val="12"/>
                <w:szCs w:val="12"/>
                <w:lang w:eastAsia="nl-NL"/>
              </w:rPr>
              <w:br/>
              <w:t>vastgestelde</w:t>
            </w:r>
            <w:r w:rsidRPr="00B6737D">
              <w:rPr>
                <w:rFonts w:ascii="Arial" w:eastAsia="Times New Roman" w:hAnsi="Arial" w:cs="Arial"/>
                <w:b/>
                <w:bCs/>
                <w:sz w:val="12"/>
                <w:szCs w:val="12"/>
                <w:lang w:eastAsia="nl-NL"/>
              </w:rPr>
              <w:br/>
              <w:t>begroting (na</w:t>
            </w:r>
            <w:r w:rsidRPr="00B6737D">
              <w:rPr>
                <w:rFonts w:ascii="Arial" w:eastAsia="Times New Roman" w:hAnsi="Arial" w:cs="Arial"/>
                <w:b/>
                <w:bCs/>
                <w:sz w:val="12"/>
                <w:szCs w:val="12"/>
                <w:lang w:eastAsia="nl-NL"/>
              </w:rPr>
              <w:br/>
              <w:t>Nota</w:t>
            </w:r>
            <w:r w:rsidRPr="00B6737D">
              <w:rPr>
                <w:rFonts w:ascii="Arial" w:eastAsia="Times New Roman" w:hAnsi="Arial" w:cs="Arial"/>
                <w:b/>
                <w:bCs/>
                <w:sz w:val="12"/>
                <w:szCs w:val="12"/>
                <w:lang w:eastAsia="nl-NL"/>
              </w:rPr>
              <w:br/>
              <w:t>van Wijziging,</w:t>
            </w:r>
            <w:r w:rsidRPr="00B6737D">
              <w:rPr>
                <w:rFonts w:ascii="Arial" w:eastAsia="Times New Roman" w:hAnsi="Arial" w:cs="Arial"/>
                <w:b/>
                <w:bCs/>
                <w:sz w:val="12"/>
                <w:szCs w:val="12"/>
                <w:lang w:eastAsia="nl-NL"/>
              </w:rPr>
              <w:br/>
              <w:t>amendementen</w:t>
            </w:r>
            <w:r w:rsidRPr="00B6737D">
              <w:rPr>
                <w:rFonts w:ascii="Arial" w:eastAsia="Times New Roman" w:hAnsi="Arial" w:cs="Arial"/>
                <w:b/>
                <w:bCs/>
                <w:sz w:val="12"/>
                <w:szCs w:val="12"/>
                <w:lang w:eastAsia="nl-NL"/>
              </w:rPr>
              <w:br/>
              <w:t>en ISB) (1)</w:t>
            </w:r>
          </w:p>
        </w:tc>
        <w:tc>
          <w:tcPr>
            <w:tcW w:w="1140" w:type="dxa"/>
            <w:tcBorders>
              <w:top w:val="single" w:sz="4" w:space="0" w:color="auto"/>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Stand 1ste suppletoire begroting (2)</w:t>
            </w:r>
          </w:p>
        </w:tc>
        <w:tc>
          <w:tcPr>
            <w:tcW w:w="1140" w:type="dxa"/>
            <w:tcBorders>
              <w:top w:val="single" w:sz="4" w:space="0" w:color="auto"/>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Mutaties</w:t>
            </w:r>
            <w:r w:rsidRPr="00B6737D">
              <w:rPr>
                <w:rFonts w:ascii="Arial" w:eastAsia="Times New Roman" w:hAnsi="Arial" w:cs="Arial"/>
                <w:b/>
                <w:bCs/>
                <w:sz w:val="12"/>
                <w:szCs w:val="12"/>
                <w:lang w:eastAsia="nl-NL"/>
              </w:rPr>
              <w:br/>
              <w:t>2e suppletoire</w:t>
            </w:r>
            <w:r w:rsidRPr="00B6737D">
              <w:rPr>
                <w:rFonts w:ascii="Arial" w:eastAsia="Times New Roman" w:hAnsi="Arial" w:cs="Arial"/>
                <w:b/>
                <w:bCs/>
                <w:sz w:val="12"/>
                <w:szCs w:val="12"/>
                <w:lang w:eastAsia="nl-NL"/>
              </w:rPr>
              <w:br/>
              <w:t>begroting (3)</w:t>
            </w:r>
          </w:p>
        </w:tc>
        <w:tc>
          <w:tcPr>
            <w:tcW w:w="1140" w:type="dxa"/>
            <w:tcBorders>
              <w:top w:val="single" w:sz="4" w:space="0" w:color="auto"/>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Stand</w:t>
            </w:r>
            <w:r w:rsidRPr="00B6737D">
              <w:rPr>
                <w:rFonts w:ascii="Arial" w:eastAsia="Times New Roman" w:hAnsi="Arial" w:cs="Arial"/>
                <w:b/>
                <w:bCs/>
                <w:sz w:val="12"/>
                <w:szCs w:val="12"/>
                <w:lang w:eastAsia="nl-NL"/>
              </w:rPr>
              <w:br/>
              <w:t>2e suppletoire</w:t>
            </w:r>
            <w:r w:rsidRPr="00B6737D">
              <w:rPr>
                <w:rFonts w:ascii="Arial" w:eastAsia="Times New Roman" w:hAnsi="Arial" w:cs="Arial"/>
                <w:b/>
                <w:bCs/>
                <w:sz w:val="12"/>
                <w:szCs w:val="12"/>
                <w:lang w:eastAsia="nl-NL"/>
              </w:rPr>
              <w:br/>
              <w:t>begroting</w:t>
            </w:r>
            <w:r w:rsidRPr="00B6737D">
              <w:rPr>
                <w:rFonts w:ascii="Arial" w:eastAsia="Times New Roman" w:hAnsi="Arial" w:cs="Arial"/>
                <w:b/>
                <w:bCs/>
                <w:sz w:val="12"/>
                <w:szCs w:val="12"/>
                <w:lang w:eastAsia="nl-NL"/>
              </w:rPr>
              <w:br/>
              <w:t>(4)=(2+3)</w:t>
            </w: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Verplichtingen</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b/>
                <w:bCs/>
                <w:i/>
                <w:iCs/>
                <w:sz w:val="12"/>
                <w:szCs w:val="12"/>
                <w:lang w:eastAsia="nl-NL"/>
              </w:rPr>
            </w:pPr>
            <w:r w:rsidRPr="00B6737D">
              <w:rPr>
                <w:rFonts w:ascii="Arial" w:eastAsia="Times New Roman" w:hAnsi="Arial" w:cs="Arial"/>
                <w:b/>
                <w:bCs/>
                <w:i/>
                <w:iCs/>
                <w:sz w:val="12"/>
                <w:szCs w:val="12"/>
                <w:lang w:eastAsia="nl-NL"/>
              </w:rPr>
              <w:t>Uitgaven</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 </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b/>
                <w:bCs/>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i/>
                <w:iCs/>
                <w:sz w:val="12"/>
                <w:szCs w:val="12"/>
                <w:lang w:eastAsia="nl-NL"/>
              </w:rPr>
            </w:pPr>
            <w:r w:rsidRPr="00B6737D">
              <w:rPr>
                <w:rFonts w:ascii="Arial" w:eastAsia="Times New Roman" w:hAnsi="Arial" w:cs="Arial"/>
                <w:i/>
                <w:iCs/>
                <w:sz w:val="12"/>
                <w:szCs w:val="12"/>
                <w:lang w:eastAsia="nl-NL"/>
              </w:rPr>
              <w:t>waarvan juridisch verplicht</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0%</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color w:val="000000"/>
                <w:sz w:val="12"/>
                <w:szCs w:val="12"/>
                <w:lang w:eastAsia="nl-NL"/>
              </w:rPr>
            </w:pPr>
            <w:r>
              <w:rPr>
                <w:rFonts w:ascii="Arial" w:eastAsia="Times New Roman" w:hAnsi="Arial" w:cs="Arial"/>
                <w:color w:val="000000"/>
                <w:sz w:val="12"/>
                <w:szCs w:val="12"/>
                <w:lang w:eastAsia="nl-NL"/>
              </w:rPr>
              <w:t>0%</w:t>
            </w: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sz w:val="12"/>
                <w:szCs w:val="12"/>
                <w:lang w:eastAsia="nl-NL"/>
              </w:rPr>
            </w:pPr>
            <w:r w:rsidRPr="00B6737D">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rPr>
                <w:rFonts w:ascii="Arial" w:eastAsia="Times New Roman" w:hAnsi="Arial" w:cs="Arial"/>
                <w:sz w:val="12"/>
                <w:szCs w:val="12"/>
                <w:lang w:eastAsia="nl-NL"/>
              </w:rPr>
            </w:pPr>
            <w:r w:rsidRPr="00B6737D">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Opdrachten</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306</w:t>
            </w: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sz w:val="12"/>
                <w:szCs w:val="12"/>
                <w:lang w:eastAsia="nl-NL"/>
              </w:rPr>
            </w:pPr>
            <w:r w:rsidRPr="00B6737D">
              <w:rPr>
                <w:rFonts w:ascii="Arial" w:eastAsia="Times New Roman" w:hAnsi="Arial" w:cs="Arial"/>
                <w:sz w:val="12"/>
                <w:szCs w:val="12"/>
                <w:lang w:eastAsia="nl-NL"/>
              </w:rPr>
              <w:t>Beheerskosten DRZ</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306</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306</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306</w:t>
            </w:r>
          </w:p>
        </w:tc>
      </w:tr>
      <w:tr w:rsidR="002375F3" w:rsidRPr="00B6737D" w:rsidTr="00D66A40">
        <w:trPr>
          <w:trHeight w:val="21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rPr>
                <w:rFonts w:ascii="Arial" w:eastAsia="Times New Roman" w:hAnsi="Arial" w:cs="Arial"/>
                <w:sz w:val="12"/>
                <w:szCs w:val="12"/>
                <w:lang w:eastAsia="nl-NL"/>
              </w:rPr>
            </w:pPr>
            <w:r w:rsidRPr="00B6737D">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b/>
                <w:bCs/>
                <w:i/>
                <w:iCs/>
                <w:sz w:val="12"/>
                <w:szCs w:val="12"/>
                <w:lang w:eastAsia="nl-NL"/>
              </w:rPr>
            </w:pPr>
            <w:r w:rsidRPr="00B6737D">
              <w:rPr>
                <w:rFonts w:ascii="Arial" w:eastAsia="Times New Roman" w:hAnsi="Arial" w:cs="Arial"/>
                <w:b/>
                <w:bCs/>
                <w:i/>
                <w:iCs/>
                <w:sz w:val="12"/>
                <w:szCs w:val="12"/>
                <w:lang w:eastAsia="nl-NL"/>
              </w:rPr>
              <w:t>Ontvangsten</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1.800</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1.800</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1.800</w:t>
            </w: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rPr>
                <w:rFonts w:ascii="Arial" w:eastAsia="Times New Roman" w:hAnsi="Arial" w:cs="Arial"/>
                <w:sz w:val="12"/>
                <w:szCs w:val="12"/>
                <w:lang w:eastAsia="nl-NL"/>
              </w:rPr>
            </w:pPr>
            <w:r w:rsidRPr="00B6737D">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33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Programma-ontvangsten Baten-lastendiensten</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1.800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1.800</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1.800</w:t>
            </w:r>
          </w:p>
        </w:tc>
      </w:tr>
      <w:tr w:rsidR="002375F3" w:rsidRPr="00B6737D" w:rsidTr="00D66A40">
        <w:trPr>
          <w:trHeight w:val="180"/>
        </w:trPr>
        <w:tc>
          <w:tcPr>
            <w:tcW w:w="1800" w:type="dxa"/>
            <w:tcBorders>
              <w:top w:val="nil"/>
              <w:left w:val="nil"/>
              <w:bottom w:val="nil"/>
              <w:right w:val="nil"/>
            </w:tcBorders>
            <w:shd w:val="clear" w:color="000000" w:fill="FFFFFF"/>
            <w:hideMark/>
          </w:tcPr>
          <w:p w:rsidR="002375F3" w:rsidRPr="00B6737D" w:rsidRDefault="002375F3" w:rsidP="00D66A40">
            <w:pPr>
              <w:spacing w:after="0" w:line="240" w:lineRule="auto"/>
              <w:rPr>
                <w:rFonts w:ascii="Arial" w:eastAsia="Times New Roman" w:hAnsi="Arial" w:cs="Arial"/>
                <w:sz w:val="12"/>
                <w:szCs w:val="12"/>
                <w:lang w:eastAsia="nl-NL"/>
              </w:rPr>
            </w:pPr>
            <w:r w:rsidRPr="00B6737D">
              <w:rPr>
                <w:rFonts w:ascii="Arial" w:eastAsia="Times New Roman" w:hAnsi="Arial" w:cs="Arial"/>
                <w:sz w:val="12"/>
                <w:szCs w:val="12"/>
                <w:lang w:eastAsia="nl-NL"/>
              </w:rPr>
              <w:t>Vervreemding DRZ</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1.800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1.800</w:t>
            </w:r>
          </w:p>
        </w:tc>
        <w:tc>
          <w:tcPr>
            <w:tcW w:w="1140" w:type="dxa"/>
            <w:tcBorders>
              <w:top w:val="nil"/>
              <w:left w:val="nil"/>
              <w:bottom w:val="nil"/>
              <w:right w:val="nil"/>
            </w:tcBorders>
            <w:shd w:val="clear" w:color="000000" w:fill="FFFFFF"/>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1.800</w:t>
            </w:r>
          </w:p>
        </w:tc>
      </w:tr>
      <w:tr w:rsidR="002375F3" w:rsidRPr="00B6737D" w:rsidTr="00D66A40">
        <w:trPr>
          <w:trHeight w:val="195"/>
        </w:trPr>
        <w:tc>
          <w:tcPr>
            <w:tcW w:w="1800" w:type="dxa"/>
            <w:tcBorders>
              <w:top w:val="nil"/>
              <w:left w:val="nil"/>
              <w:bottom w:val="single" w:sz="8" w:space="0" w:color="auto"/>
              <w:right w:val="nil"/>
            </w:tcBorders>
            <w:shd w:val="clear" w:color="auto" w:fill="auto"/>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r>
    </w:tbl>
    <w:p w:rsidR="002375F3" w:rsidRDefault="002375F3" w:rsidP="002375F3">
      <w:pPr>
        <w:spacing w:after="0" w:line="240" w:lineRule="exact"/>
        <w:outlineLvl w:val="3"/>
        <w:rPr>
          <w:rFonts w:asciiTheme="minorHAnsi" w:eastAsia="Times New Roman" w:hAnsiTheme="minorHAnsi" w:cs="Times New Roman"/>
          <w:b/>
          <w:bCs/>
          <w:szCs w:val="18"/>
          <w:lang w:eastAsia="nl-NL"/>
        </w:rPr>
      </w:pPr>
    </w:p>
    <w:p w:rsidR="002375F3" w:rsidRPr="00881C6F" w:rsidRDefault="002375F3" w:rsidP="002375F3">
      <w:pPr>
        <w:spacing w:after="0" w:line="240" w:lineRule="exact"/>
        <w:outlineLvl w:val="3"/>
        <w:rPr>
          <w:rFonts w:asciiTheme="minorHAnsi" w:eastAsia="Times New Roman" w:hAnsiTheme="minorHAnsi" w:cs="Times New Roman"/>
          <w:b/>
          <w:bCs/>
          <w:szCs w:val="18"/>
          <w:lang w:eastAsia="nl-NL"/>
        </w:rPr>
      </w:pPr>
    </w:p>
    <w:p w:rsidR="002375F3" w:rsidRPr="00881C6F" w:rsidRDefault="002375F3" w:rsidP="002375F3">
      <w:pPr>
        <w:spacing w:after="0" w:line="240" w:lineRule="exact"/>
        <w:outlineLvl w:val="3"/>
        <w:rPr>
          <w:rFonts w:asciiTheme="minorHAnsi" w:eastAsia="Times New Roman" w:hAnsiTheme="minorHAnsi" w:cs="Times New Roman"/>
          <w:b/>
          <w:bCs/>
          <w:szCs w:val="18"/>
          <w:lang w:eastAsia="nl-NL"/>
        </w:rPr>
      </w:pPr>
      <w:r w:rsidRPr="00881C6F">
        <w:rPr>
          <w:rFonts w:asciiTheme="minorHAnsi" w:eastAsia="Times New Roman" w:hAnsiTheme="minorHAnsi" w:cs="Times New Roman"/>
          <w:b/>
          <w:bCs/>
          <w:szCs w:val="18"/>
          <w:lang w:eastAsia="nl-NL"/>
        </w:rPr>
        <w:t>Toelichting</w:t>
      </w:r>
    </w:p>
    <w:p w:rsidR="002375F3" w:rsidRDefault="002375F3" w:rsidP="002375F3">
      <w:pPr>
        <w:spacing w:after="0" w:line="240" w:lineRule="exact"/>
        <w:outlineLvl w:val="3"/>
        <w:rPr>
          <w:rFonts w:asciiTheme="minorHAnsi" w:eastAsia="Times New Roman" w:hAnsiTheme="minorHAnsi" w:cs="Times New Roman"/>
          <w:b/>
          <w:bCs/>
          <w:szCs w:val="18"/>
          <w:lang w:eastAsia="nl-NL"/>
        </w:rPr>
      </w:pPr>
    </w:p>
    <w:p w:rsidR="002375F3" w:rsidRPr="00881C6F" w:rsidRDefault="002375F3" w:rsidP="002375F3">
      <w:pPr>
        <w:spacing w:after="0" w:line="240" w:lineRule="exact"/>
        <w:outlineLvl w:val="3"/>
        <w:rPr>
          <w:rFonts w:asciiTheme="minorHAnsi" w:eastAsia="Times New Roman" w:hAnsiTheme="minorHAnsi" w:cs="Times New Roman"/>
          <w:b/>
          <w:bCs/>
          <w:szCs w:val="18"/>
          <w:lang w:eastAsia="nl-NL"/>
        </w:rPr>
      </w:pPr>
      <w:r w:rsidRPr="00881C6F">
        <w:rPr>
          <w:rFonts w:asciiTheme="minorHAnsi" w:eastAsia="Times New Roman" w:hAnsiTheme="minorHAnsi" w:cs="Times New Roman"/>
          <w:b/>
          <w:bCs/>
          <w:szCs w:val="18"/>
          <w:lang w:eastAsia="nl-NL"/>
        </w:rPr>
        <w:t>Verplichtingen, uitgaven en ontvangsten</w:t>
      </w:r>
    </w:p>
    <w:p w:rsidR="002375F3" w:rsidRPr="00881C6F" w:rsidRDefault="002375F3" w:rsidP="002375F3">
      <w:pPr>
        <w:spacing w:after="0" w:line="240" w:lineRule="exact"/>
        <w:rPr>
          <w:rFonts w:asciiTheme="minorHAnsi" w:eastAsia="Times New Roman" w:hAnsiTheme="minorHAnsi" w:cs="Times New Roman"/>
          <w:szCs w:val="18"/>
          <w:lang w:eastAsia="nl-NL"/>
        </w:rPr>
      </w:pPr>
      <w:r w:rsidRPr="00881C6F">
        <w:rPr>
          <w:rFonts w:asciiTheme="minorHAnsi" w:eastAsia="Times New Roman" w:hAnsiTheme="minorHAnsi" w:cs="Times New Roman"/>
          <w:szCs w:val="18"/>
          <w:lang w:eastAsia="nl-NL"/>
        </w:rPr>
        <w:t>Er hebben geen mutaties plaatsgevonden.</w:t>
      </w:r>
    </w:p>
    <w:p w:rsidR="002375F3" w:rsidRDefault="002375F3" w:rsidP="002375F3">
      <w:pPr>
        <w:rPr>
          <w:rFonts w:asciiTheme="minorHAnsi" w:hAnsiTheme="minorHAnsi"/>
          <w:b/>
          <w:szCs w:val="18"/>
        </w:rPr>
      </w:pPr>
      <w:r w:rsidRPr="00881C6F">
        <w:rPr>
          <w:rFonts w:asciiTheme="minorHAnsi" w:hAnsiTheme="minorHAnsi"/>
          <w:b/>
          <w:szCs w:val="18"/>
        </w:rPr>
        <w:br w:type="page"/>
      </w:r>
    </w:p>
    <w:p w:rsidR="002375F3" w:rsidRPr="001C6635" w:rsidRDefault="002375F3" w:rsidP="002375F3">
      <w:pPr>
        <w:rPr>
          <w:rFonts w:asciiTheme="minorHAnsi" w:hAnsiTheme="minorHAnsi"/>
          <w:b/>
          <w:szCs w:val="18"/>
        </w:rPr>
      </w:pPr>
      <w:r w:rsidRPr="001C6635">
        <w:rPr>
          <w:rStyle w:val="nr"/>
          <w:b/>
        </w:rPr>
        <w:lastRenderedPageBreak/>
        <w:t xml:space="preserve">2.3 </w:t>
      </w:r>
      <w:r w:rsidRPr="001C6635">
        <w:rPr>
          <w:b/>
        </w:rPr>
        <w:t>De niet-beleidsartikelen</w:t>
      </w:r>
    </w:p>
    <w:p w:rsidR="002375F3" w:rsidRDefault="002375F3" w:rsidP="002375F3">
      <w:pPr>
        <w:rPr>
          <w:b/>
        </w:rPr>
      </w:pPr>
      <w:r w:rsidRPr="00832B6A">
        <w:rPr>
          <w:b/>
        </w:rPr>
        <w:t>Artikel 8 Centraal Apparaat</w:t>
      </w:r>
    </w:p>
    <w:tbl>
      <w:tblPr>
        <w:tblW w:w="6220" w:type="dxa"/>
        <w:tblInd w:w="70" w:type="dxa"/>
        <w:tblCellMar>
          <w:left w:w="70" w:type="dxa"/>
          <w:right w:w="70" w:type="dxa"/>
        </w:tblCellMar>
        <w:tblLook w:val="04A0" w:firstRow="1" w:lastRow="0" w:firstColumn="1" w:lastColumn="0" w:noHBand="0" w:noVBand="1"/>
      </w:tblPr>
      <w:tblGrid>
        <w:gridCol w:w="1660"/>
        <w:gridCol w:w="1140"/>
        <w:gridCol w:w="1140"/>
        <w:gridCol w:w="1140"/>
        <w:gridCol w:w="1140"/>
      </w:tblGrid>
      <w:tr w:rsidR="002375F3" w:rsidRPr="00A6256E" w:rsidTr="00D66A40">
        <w:trPr>
          <w:trHeight w:val="330"/>
        </w:trPr>
        <w:tc>
          <w:tcPr>
            <w:tcW w:w="6220" w:type="dxa"/>
            <w:gridSpan w:val="5"/>
            <w:tcBorders>
              <w:top w:val="nil"/>
              <w:left w:val="nil"/>
              <w:bottom w:val="nil"/>
              <w:right w:val="nil"/>
            </w:tcBorders>
            <w:shd w:val="clear" w:color="000000" w:fill="FFFFFF"/>
            <w:vAlign w:val="bottom"/>
            <w:hideMark/>
          </w:tcPr>
          <w:p w:rsidR="002375F3" w:rsidRPr="00A6256E" w:rsidRDefault="002375F3" w:rsidP="00D66A40">
            <w:pPr>
              <w:spacing w:after="0" w:line="240" w:lineRule="auto"/>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Budgettaire gevolgen van beleid  - niet beleidsartikel 8 Centraal Apparaat Kerndepartement</w:t>
            </w:r>
          </w:p>
        </w:tc>
      </w:tr>
      <w:tr w:rsidR="002375F3" w:rsidRPr="00A6256E" w:rsidTr="00D66A40">
        <w:trPr>
          <w:trHeight w:val="180"/>
        </w:trPr>
        <w:tc>
          <w:tcPr>
            <w:tcW w:w="1660" w:type="dxa"/>
            <w:tcBorders>
              <w:top w:val="nil"/>
              <w:left w:val="nil"/>
              <w:bottom w:val="nil"/>
              <w:right w:val="nil"/>
            </w:tcBorders>
            <w:shd w:val="clear" w:color="000000" w:fill="FFFFFF"/>
            <w:noWrap/>
            <w:vAlign w:val="bottom"/>
            <w:hideMark/>
          </w:tcPr>
          <w:p w:rsidR="002375F3" w:rsidRPr="00A6256E" w:rsidRDefault="002375F3" w:rsidP="00D66A40">
            <w:pPr>
              <w:spacing w:after="0" w:line="240" w:lineRule="auto"/>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Bedragen x € 1.000</w:t>
            </w:r>
          </w:p>
        </w:tc>
        <w:tc>
          <w:tcPr>
            <w:tcW w:w="1140" w:type="dxa"/>
            <w:tcBorders>
              <w:top w:val="nil"/>
              <w:left w:val="nil"/>
              <w:bottom w:val="nil"/>
              <w:right w:val="nil"/>
            </w:tcBorders>
            <w:shd w:val="clear" w:color="000000" w:fill="FFFFFF"/>
            <w:noWrap/>
            <w:vAlign w:val="bottom"/>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r>
      <w:tr w:rsidR="002375F3" w:rsidRPr="00A6256E" w:rsidTr="00D66A40">
        <w:trPr>
          <w:trHeight w:val="1170"/>
        </w:trPr>
        <w:tc>
          <w:tcPr>
            <w:tcW w:w="1660" w:type="dxa"/>
            <w:tcBorders>
              <w:top w:val="single" w:sz="4" w:space="0" w:color="auto"/>
              <w:left w:val="nil"/>
              <w:bottom w:val="single" w:sz="8" w:space="0" w:color="auto"/>
              <w:right w:val="nil"/>
            </w:tcBorders>
            <w:shd w:val="clear" w:color="auto" w:fill="auto"/>
            <w:vAlign w:val="center"/>
            <w:hideMark/>
          </w:tcPr>
          <w:p w:rsidR="002375F3" w:rsidRPr="00A6256E" w:rsidRDefault="002375F3" w:rsidP="00D66A40">
            <w:pPr>
              <w:spacing w:after="0" w:line="240" w:lineRule="auto"/>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 </w:t>
            </w:r>
          </w:p>
        </w:tc>
        <w:tc>
          <w:tcPr>
            <w:tcW w:w="1140" w:type="dxa"/>
            <w:tcBorders>
              <w:top w:val="single" w:sz="4" w:space="0" w:color="auto"/>
              <w:left w:val="nil"/>
              <w:bottom w:val="single" w:sz="8" w:space="0" w:color="auto"/>
              <w:right w:val="nil"/>
            </w:tcBorders>
            <w:shd w:val="clear" w:color="000000" w:fill="FFFFFF"/>
            <w:hideMark/>
          </w:tcPr>
          <w:p w:rsidR="002375F3" w:rsidRPr="00A6256E" w:rsidRDefault="002375F3" w:rsidP="00D66A40">
            <w:pPr>
              <w:spacing w:after="0" w:line="240" w:lineRule="auto"/>
              <w:jc w:val="center"/>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Stand</w:t>
            </w:r>
            <w:r w:rsidRPr="00A6256E">
              <w:rPr>
                <w:rFonts w:ascii="Arial" w:eastAsia="Times New Roman" w:hAnsi="Arial" w:cs="Arial"/>
                <w:b/>
                <w:bCs/>
                <w:sz w:val="12"/>
                <w:szCs w:val="12"/>
                <w:lang w:eastAsia="nl-NL"/>
              </w:rPr>
              <w:br/>
              <w:t>vastgestelde</w:t>
            </w:r>
            <w:r w:rsidRPr="00A6256E">
              <w:rPr>
                <w:rFonts w:ascii="Arial" w:eastAsia="Times New Roman" w:hAnsi="Arial" w:cs="Arial"/>
                <w:b/>
                <w:bCs/>
                <w:sz w:val="12"/>
                <w:szCs w:val="12"/>
                <w:lang w:eastAsia="nl-NL"/>
              </w:rPr>
              <w:br/>
              <w:t>begroting (na</w:t>
            </w:r>
            <w:r w:rsidRPr="00A6256E">
              <w:rPr>
                <w:rFonts w:ascii="Arial" w:eastAsia="Times New Roman" w:hAnsi="Arial" w:cs="Arial"/>
                <w:b/>
                <w:bCs/>
                <w:sz w:val="12"/>
                <w:szCs w:val="12"/>
                <w:lang w:eastAsia="nl-NL"/>
              </w:rPr>
              <w:br/>
              <w:t>Nota</w:t>
            </w:r>
            <w:r w:rsidRPr="00A6256E">
              <w:rPr>
                <w:rFonts w:ascii="Arial" w:eastAsia="Times New Roman" w:hAnsi="Arial" w:cs="Arial"/>
                <w:b/>
                <w:bCs/>
                <w:sz w:val="12"/>
                <w:szCs w:val="12"/>
                <w:lang w:eastAsia="nl-NL"/>
              </w:rPr>
              <w:br/>
              <w:t>van Wijziging,</w:t>
            </w:r>
            <w:r w:rsidRPr="00A6256E">
              <w:rPr>
                <w:rFonts w:ascii="Arial" w:eastAsia="Times New Roman" w:hAnsi="Arial" w:cs="Arial"/>
                <w:b/>
                <w:bCs/>
                <w:sz w:val="12"/>
                <w:szCs w:val="12"/>
                <w:lang w:eastAsia="nl-NL"/>
              </w:rPr>
              <w:br/>
              <w:t>amendementen</w:t>
            </w:r>
            <w:r w:rsidRPr="00A6256E">
              <w:rPr>
                <w:rFonts w:ascii="Arial" w:eastAsia="Times New Roman" w:hAnsi="Arial" w:cs="Arial"/>
                <w:b/>
                <w:bCs/>
                <w:sz w:val="12"/>
                <w:szCs w:val="12"/>
                <w:lang w:eastAsia="nl-NL"/>
              </w:rPr>
              <w:br/>
              <w:t>en ISB) (1)</w:t>
            </w:r>
          </w:p>
        </w:tc>
        <w:tc>
          <w:tcPr>
            <w:tcW w:w="1140" w:type="dxa"/>
            <w:tcBorders>
              <w:top w:val="single" w:sz="4" w:space="0" w:color="auto"/>
              <w:left w:val="nil"/>
              <w:bottom w:val="single" w:sz="8" w:space="0" w:color="auto"/>
              <w:right w:val="nil"/>
            </w:tcBorders>
            <w:shd w:val="clear" w:color="000000" w:fill="FFFFFF"/>
            <w:hideMark/>
          </w:tcPr>
          <w:p w:rsidR="002375F3" w:rsidRPr="00A6256E" w:rsidRDefault="002375F3" w:rsidP="00D66A40">
            <w:pPr>
              <w:spacing w:after="0" w:line="240" w:lineRule="auto"/>
              <w:jc w:val="center"/>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Stand 1ste suppletoire begroting (2)</w:t>
            </w:r>
          </w:p>
        </w:tc>
        <w:tc>
          <w:tcPr>
            <w:tcW w:w="1140" w:type="dxa"/>
            <w:tcBorders>
              <w:top w:val="single" w:sz="4" w:space="0" w:color="auto"/>
              <w:left w:val="nil"/>
              <w:bottom w:val="single" w:sz="8" w:space="0" w:color="auto"/>
              <w:right w:val="nil"/>
            </w:tcBorders>
            <w:shd w:val="clear" w:color="000000" w:fill="FFFFFF"/>
            <w:hideMark/>
          </w:tcPr>
          <w:p w:rsidR="002375F3" w:rsidRPr="00A6256E" w:rsidRDefault="002375F3" w:rsidP="00D66A40">
            <w:pPr>
              <w:spacing w:after="0" w:line="240" w:lineRule="auto"/>
              <w:jc w:val="center"/>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Mutaties</w:t>
            </w:r>
            <w:r w:rsidRPr="00A6256E">
              <w:rPr>
                <w:rFonts w:ascii="Arial" w:eastAsia="Times New Roman" w:hAnsi="Arial" w:cs="Arial"/>
                <w:b/>
                <w:bCs/>
                <w:sz w:val="12"/>
                <w:szCs w:val="12"/>
                <w:lang w:eastAsia="nl-NL"/>
              </w:rPr>
              <w:br/>
              <w:t>2e suppletoire</w:t>
            </w:r>
            <w:r w:rsidRPr="00A6256E">
              <w:rPr>
                <w:rFonts w:ascii="Arial" w:eastAsia="Times New Roman" w:hAnsi="Arial" w:cs="Arial"/>
                <w:b/>
                <w:bCs/>
                <w:sz w:val="12"/>
                <w:szCs w:val="12"/>
                <w:lang w:eastAsia="nl-NL"/>
              </w:rPr>
              <w:br/>
              <w:t>begroting (3)</w:t>
            </w:r>
          </w:p>
        </w:tc>
        <w:tc>
          <w:tcPr>
            <w:tcW w:w="1140" w:type="dxa"/>
            <w:tcBorders>
              <w:top w:val="single" w:sz="4" w:space="0" w:color="auto"/>
              <w:left w:val="nil"/>
              <w:bottom w:val="single" w:sz="8" w:space="0" w:color="auto"/>
              <w:right w:val="nil"/>
            </w:tcBorders>
            <w:shd w:val="clear" w:color="000000" w:fill="FFFFFF"/>
            <w:hideMark/>
          </w:tcPr>
          <w:p w:rsidR="002375F3" w:rsidRPr="00A6256E" w:rsidRDefault="002375F3" w:rsidP="00D66A40">
            <w:pPr>
              <w:spacing w:after="0" w:line="240" w:lineRule="auto"/>
              <w:jc w:val="center"/>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Stand</w:t>
            </w:r>
            <w:r w:rsidRPr="00A6256E">
              <w:rPr>
                <w:rFonts w:ascii="Arial" w:eastAsia="Times New Roman" w:hAnsi="Arial" w:cs="Arial"/>
                <w:b/>
                <w:bCs/>
                <w:sz w:val="12"/>
                <w:szCs w:val="12"/>
                <w:lang w:eastAsia="nl-NL"/>
              </w:rPr>
              <w:br/>
              <w:t>2e suppletoire</w:t>
            </w:r>
            <w:r w:rsidRPr="00A6256E">
              <w:rPr>
                <w:rFonts w:ascii="Arial" w:eastAsia="Times New Roman" w:hAnsi="Arial" w:cs="Arial"/>
                <w:b/>
                <w:bCs/>
                <w:sz w:val="12"/>
                <w:szCs w:val="12"/>
                <w:lang w:eastAsia="nl-NL"/>
              </w:rPr>
              <w:br/>
              <w:t>begroting</w:t>
            </w:r>
            <w:r w:rsidRPr="00A6256E">
              <w:rPr>
                <w:rFonts w:ascii="Arial" w:eastAsia="Times New Roman" w:hAnsi="Arial" w:cs="Arial"/>
                <w:b/>
                <w:bCs/>
                <w:sz w:val="12"/>
                <w:szCs w:val="12"/>
                <w:lang w:eastAsia="nl-NL"/>
              </w:rPr>
              <w:br/>
              <w:t>(4)=(2+3)</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Verplichtingen</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236.162</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245.318</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-7.627</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237.691</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 </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i/>
                <w:iCs/>
                <w:color w:val="000000"/>
                <w:sz w:val="12"/>
                <w:szCs w:val="12"/>
                <w:lang w:eastAsia="nl-NL"/>
              </w:rPr>
            </w:pPr>
            <w:r w:rsidRPr="00A6256E">
              <w:rPr>
                <w:rFonts w:ascii="Arial" w:eastAsia="Times New Roman" w:hAnsi="Arial" w:cs="Arial"/>
                <w:b/>
                <w:bCs/>
                <w:i/>
                <w:iCs/>
                <w:color w:val="000000"/>
                <w:sz w:val="12"/>
                <w:szCs w:val="12"/>
                <w:lang w:eastAsia="nl-NL"/>
              </w:rPr>
              <w:t>Uitgaven</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236.162</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245.318</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-7.577</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237.741</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 </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rPr>
                <w:rFonts w:ascii="Arial" w:eastAsia="Times New Roman" w:hAnsi="Arial" w:cs="Arial"/>
                <w:sz w:val="12"/>
                <w:szCs w:val="12"/>
                <w:lang w:eastAsia="nl-NL"/>
              </w:rPr>
            </w:pPr>
            <w:r w:rsidRPr="00A6256E">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r>
      <w:tr w:rsidR="002375F3" w:rsidRPr="00A6256E" w:rsidTr="00D66A40">
        <w:trPr>
          <w:trHeight w:val="36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Personeel Kerndepartement</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145.996</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152.941</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-44</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152.897</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Eigen personeel</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142.206</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146.181</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-1.750</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144.431</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Inhuur externen</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2.981</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5.951</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1.707</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7.658</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Overig personeel</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809</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809</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808</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 </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rPr>
                <w:rFonts w:ascii="Arial" w:eastAsia="Times New Roman" w:hAnsi="Arial" w:cs="Arial"/>
                <w:sz w:val="12"/>
                <w:szCs w:val="12"/>
                <w:lang w:eastAsia="nl-NL"/>
              </w:rPr>
            </w:pPr>
            <w:r w:rsidRPr="00A6256E">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r>
      <w:tr w:rsidR="002375F3" w:rsidRPr="00A6256E" w:rsidTr="00D66A40">
        <w:trPr>
          <w:trHeight w:val="33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color w:val="000000"/>
                <w:sz w:val="12"/>
                <w:szCs w:val="12"/>
                <w:lang w:eastAsia="nl-NL"/>
              </w:rPr>
            </w:pPr>
            <w:r w:rsidRPr="00A6256E">
              <w:rPr>
                <w:rFonts w:ascii="Arial" w:eastAsia="Times New Roman" w:hAnsi="Arial" w:cs="Arial"/>
                <w:b/>
                <w:bCs/>
                <w:color w:val="000000"/>
                <w:sz w:val="12"/>
                <w:szCs w:val="12"/>
                <w:lang w:eastAsia="nl-NL"/>
              </w:rPr>
              <w:t>Materieel Kerndepartement</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90.166</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92.377</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-7.533</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84.844</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xml:space="preserve">waarvan ICT </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13.168</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11.941</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-831</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11.110</w:t>
            </w:r>
          </w:p>
        </w:tc>
      </w:tr>
      <w:tr w:rsidR="002375F3" w:rsidRPr="00A6256E" w:rsidTr="00D66A40">
        <w:trPr>
          <w:trHeight w:val="435"/>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xml:space="preserve">waarvan bijdrage aan </w:t>
            </w:r>
            <w:proofErr w:type="spellStart"/>
            <w:r w:rsidRPr="00A6256E">
              <w:rPr>
                <w:rFonts w:ascii="Arial" w:eastAsia="Times New Roman" w:hAnsi="Arial" w:cs="Arial"/>
                <w:color w:val="000000"/>
                <w:sz w:val="12"/>
                <w:szCs w:val="12"/>
                <w:lang w:eastAsia="nl-NL"/>
              </w:rPr>
              <w:t>SSO's</w:t>
            </w:r>
            <w:proofErr w:type="spellEnd"/>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36.285</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42.978</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26</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43.004</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waarvan overig materieel</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40.713</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37.458</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-6.728</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sz w:val="12"/>
                <w:szCs w:val="12"/>
                <w:lang w:eastAsia="nl-NL"/>
              </w:rPr>
            </w:pPr>
            <w:r w:rsidRPr="00A6256E">
              <w:rPr>
                <w:rFonts w:ascii="Arial" w:eastAsia="Times New Roman" w:hAnsi="Arial" w:cs="Arial"/>
                <w:sz w:val="12"/>
                <w:szCs w:val="12"/>
                <w:lang w:eastAsia="nl-NL"/>
              </w:rPr>
              <w:t>30.730</w:t>
            </w: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w:t>
            </w:r>
          </w:p>
        </w:tc>
        <w:tc>
          <w:tcPr>
            <w:tcW w:w="1140" w:type="dxa"/>
            <w:tcBorders>
              <w:top w:val="nil"/>
              <w:left w:val="nil"/>
              <w:bottom w:val="nil"/>
              <w:right w:val="nil"/>
            </w:tcBorders>
            <w:shd w:val="clear" w:color="000000" w:fill="FFFFFF"/>
            <w:noWrap/>
            <w:hideMark/>
          </w:tcPr>
          <w:p w:rsidR="002375F3" w:rsidRPr="00A6256E" w:rsidRDefault="002375F3" w:rsidP="00D66A40">
            <w:pPr>
              <w:spacing w:after="0" w:line="240" w:lineRule="auto"/>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p>
        </w:tc>
      </w:tr>
      <w:tr w:rsidR="002375F3" w:rsidRPr="00A6256E" w:rsidTr="00D66A40">
        <w:trPr>
          <w:trHeight w:val="180"/>
        </w:trPr>
        <w:tc>
          <w:tcPr>
            <w:tcW w:w="1660" w:type="dxa"/>
            <w:tcBorders>
              <w:top w:val="nil"/>
              <w:left w:val="nil"/>
              <w:bottom w:val="nil"/>
              <w:right w:val="nil"/>
            </w:tcBorders>
            <w:shd w:val="clear" w:color="000000" w:fill="FFFFFF"/>
            <w:hideMark/>
          </w:tcPr>
          <w:p w:rsidR="002375F3" w:rsidRPr="00A6256E" w:rsidRDefault="002375F3" w:rsidP="00D66A40">
            <w:pPr>
              <w:spacing w:after="0" w:line="240" w:lineRule="auto"/>
              <w:rPr>
                <w:rFonts w:ascii="Arial" w:eastAsia="Times New Roman" w:hAnsi="Arial" w:cs="Arial"/>
                <w:b/>
                <w:bCs/>
                <w:i/>
                <w:iCs/>
                <w:color w:val="000000"/>
                <w:sz w:val="12"/>
                <w:szCs w:val="12"/>
                <w:lang w:eastAsia="nl-NL"/>
              </w:rPr>
            </w:pPr>
            <w:r w:rsidRPr="00A6256E">
              <w:rPr>
                <w:rFonts w:ascii="Arial" w:eastAsia="Times New Roman" w:hAnsi="Arial" w:cs="Arial"/>
                <w:b/>
                <w:bCs/>
                <w:i/>
                <w:iCs/>
                <w:color w:val="000000"/>
                <w:sz w:val="12"/>
                <w:szCs w:val="12"/>
                <w:lang w:eastAsia="nl-NL"/>
              </w:rPr>
              <w:t>Ontvangsten</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55.903</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72.422</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-7.787</w:t>
            </w:r>
          </w:p>
        </w:tc>
        <w:tc>
          <w:tcPr>
            <w:tcW w:w="1140" w:type="dxa"/>
            <w:tcBorders>
              <w:top w:val="nil"/>
              <w:left w:val="nil"/>
              <w:bottom w:val="nil"/>
              <w:right w:val="nil"/>
            </w:tcBorders>
            <w:shd w:val="clear" w:color="auto" w:fill="auto"/>
            <w:noWrap/>
            <w:hideMark/>
          </w:tcPr>
          <w:p w:rsidR="002375F3" w:rsidRPr="00A6256E" w:rsidRDefault="002375F3" w:rsidP="00D66A40">
            <w:pPr>
              <w:spacing w:after="0" w:line="240" w:lineRule="auto"/>
              <w:jc w:val="right"/>
              <w:rPr>
                <w:rFonts w:ascii="Arial" w:eastAsia="Times New Roman" w:hAnsi="Arial" w:cs="Arial"/>
                <w:b/>
                <w:bCs/>
                <w:sz w:val="12"/>
                <w:szCs w:val="12"/>
                <w:lang w:eastAsia="nl-NL"/>
              </w:rPr>
            </w:pPr>
            <w:r w:rsidRPr="00A6256E">
              <w:rPr>
                <w:rFonts w:ascii="Arial" w:eastAsia="Times New Roman" w:hAnsi="Arial" w:cs="Arial"/>
                <w:b/>
                <w:bCs/>
                <w:sz w:val="12"/>
                <w:szCs w:val="12"/>
                <w:lang w:eastAsia="nl-NL"/>
              </w:rPr>
              <w:t>64.635</w:t>
            </w:r>
          </w:p>
        </w:tc>
      </w:tr>
      <w:tr w:rsidR="002375F3" w:rsidRPr="00A6256E" w:rsidTr="00D66A40">
        <w:trPr>
          <w:trHeight w:val="195"/>
        </w:trPr>
        <w:tc>
          <w:tcPr>
            <w:tcW w:w="1660" w:type="dxa"/>
            <w:tcBorders>
              <w:top w:val="nil"/>
              <w:left w:val="nil"/>
              <w:bottom w:val="single" w:sz="8" w:space="0" w:color="auto"/>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000000" w:fill="FFFFFF"/>
            <w:noWrap/>
            <w:hideMark/>
          </w:tcPr>
          <w:p w:rsidR="002375F3" w:rsidRPr="00A6256E" w:rsidRDefault="002375F3" w:rsidP="00D66A40">
            <w:pPr>
              <w:spacing w:after="0" w:line="240" w:lineRule="auto"/>
              <w:rPr>
                <w:rFonts w:ascii="Arial" w:eastAsia="Times New Roman" w:hAnsi="Arial" w:cs="Arial"/>
                <w:sz w:val="12"/>
                <w:szCs w:val="12"/>
                <w:lang w:eastAsia="nl-NL"/>
              </w:rPr>
            </w:pPr>
            <w:r w:rsidRPr="00A6256E">
              <w:rPr>
                <w:rFonts w:ascii="Arial" w:eastAsia="Times New Roman" w:hAnsi="Arial" w:cs="Arial"/>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hideMark/>
          </w:tcPr>
          <w:p w:rsidR="002375F3" w:rsidRPr="00A6256E" w:rsidRDefault="002375F3" w:rsidP="00D66A40">
            <w:pPr>
              <w:spacing w:after="0" w:line="240" w:lineRule="auto"/>
              <w:rPr>
                <w:rFonts w:ascii="Arial" w:eastAsia="Times New Roman" w:hAnsi="Arial" w:cs="Arial"/>
                <w:color w:val="000000"/>
                <w:sz w:val="12"/>
                <w:szCs w:val="12"/>
                <w:lang w:eastAsia="nl-NL"/>
              </w:rPr>
            </w:pPr>
            <w:r w:rsidRPr="00A6256E">
              <w:rPr>
                <w:rFonts w:ascii="Arial" w:eastAsia="Times New Roman" w:hAnsi="Arial" w:cs="Arial"/>
                <w:color w:val="000000"/>
                <w:sz w:val="12"/>
                <w:szCs w:val="12"/>
                <w:lang w:eastAsia="nl-NL"/>
              </w:rPr>
              <w:t> </w:t>
            </w:r>
          </w:p>
        </w:tc>
      </w:tr>
    </w:tbl>
    <w:p w:rsidR="002375F3" w:rsidRDefault="002375F3" w:rsidP="002375F3">
      <w:pPr>
        <w:spacing w:after="0" w:line="240" w:lineRule="exact"/>
        <w:rPr>
          <w:rFonts w:asciiTheme="minorHAnsi" w:hAnsiTheme="minorHAnsi"/>
          <w:b/>
          <w:bCs/>
          <w:szCs w:val="18"/>
          <w:u w:val="single"/>
        </w:rPr>
      </w:pPr>
    </w:p>
    <w:p w:rsidR="002375F3" w:rsidRPr="00832B6A" w:rsidRDefault="002375F3" w:rsidP="002375F3">
      <w:pPr>
        <w:spacing w:after="0" w:line="240" w:lineRule="exact"/>
        <w:rPr>
          <w:rFonts w:asciiTheme="minorHAnsi" w:hAnsiTheme="minorHAnsi"/>
          <w:b/>
          <w:bCs/>
          <w:szCs w:val="18"/>
        </w:rPr>
      </w:pPr>
      <w:r w:rsidRPr="00832B6A">
        <w:rPr>
          <w:rFonts w:asciiTheme="minorHAnsi" w:hAnsiTheme="minorHAnsi"/>
          <w:b/>
          <w:bCs/>
          <w:szCs w:val="18"/>
        </w:rPr>
        <w:t>Toelichting</w:t>
      </w:r>
    </w:p>
    <w:p w:rsidR="002375F3" w:rsidRPr="00881C6F" w:rsidRDefault="002375F3" w:rsidP="002375F3">
      <w:pPr>
        <w:spacing w:after="0" w:line="240" w:lineRule="exact"/>
        <w:rPr>
          <w:rFonts w:asciiTheme="minorHAnsi" w:hAnsiTheme="minorHAnsi"/>
          <w:b/>
          <w:bCs/>
          <w:szCs w:val="18"/>
        </w:rPr>
      </w:pPr>
    </w:p>
    <w:p w:rsidR="002375F3" w:rsidRPr="00376F4A" w:rsidRDefault="002375F3" w:rsidP="002375F3">
      <w:pPr>
        <w:spacing w:after="0" w:line="240" w:lineRule="exact"/>
        <w:rPr>
          <w:b/>
          <w:bCs/>
        </w:rPr>
      </w:pPr>
      <w:r>
        <w:rPr>
          <w:b/>
          <w:bCs/>
        </w:rPr>
        <w:t>Uitgaven en Verplichtingen (- € 7,6 mln.)</w:t>
      </w:r>
    </w:p>
    <w:p w:rsidR="002375F3" w:rsidRDefault="002375F3" w:rsidP="002375F3">
      <w:pPr>
        <w:spacing w:after="0" w:line="240" w:lineRule="exact"/>
        <w:rPr>
          <w:i/>
          <w:iCs/>
        </w:rPr>
      </w:pPr>
    </w:p>
    <w:p w:rsidR="002375F3" w:rsidRDefault="002375F3" w:rsidP="002375F3">
      <w:pPr>
        <w:spacing w:after="0" w:line="240" w:lineRule="exact"/>
        <w:rPr>
          <w:i/>
          <w:iCs/>
        </w:rPr>
      </w:pPr>
      <w:r>
        <w:rPr>
          <w:i/>
          <w:iCs/>
        </w:rPr>
        <w:t>Materieel kerndepartement (- € 7,5 mln.)</w:t>
      </w:r>
    </w:p>
    <w:p w:rsidR="002375F3" w:rsidRDefault="002375F3" w:rsidP="002375F3">
      <w:pPr>
        <w:spacing w:after="0" w:line="240" w:lineRule="exact"/>
      </w:pPr>
      <w:r>
        <w:t xml:space="preserve">Bij de materiële uitgaven is per saldo sprake van lagere uitgaven. De belangrijkste oorzaak is dat de uitgaven van Domeinen Roerende Zaken € 2,6 mln. lager zijn dan begroot door vertraging in de uitbreiding van verkoopactiviteiten voor CJIB-deurwaarders en executieverkopen voor de Belastingdienst (zie ook ontvangsten). Andere oorzaken zijn vertraging bij ICT-projecten en uitrol van de Landelijke Voorziening WOZ bij gemeenten, waardoor de uitgaven in 2016 vallen, het effect hiervan is ca. € 1,2 mln. Bij de Directoraten Generaal is vooruitgelopen op de taakstelling Rutte II, met als gevolg lagere uitgaven dan geraamd, totaal € 3,6 mln. Er is onder andere bezuinigd op uitgaven aan communicatie, buitenlandse reizen en evenementen, en (vervolg)onderzoeken.  </w:t>
      </w:r>
    </w:p>
    <w:p w:rsidR="002375F3" w:rsidRDefault="002375F3" w:rsidP="002375F3">
      <w:pPr>
        <w:spacing w:after="0" w:line="240" w:lineRule="exact"/>
        <w:rPr>
          <w:b/>
          <w:bCs/>
        </w:rPr>
      </w:pPr>
    </w:p>
    <w:p w:rsidR="002375F3" w:rsidRDefault="002375F3" w:rsidP="002375F3">
      <w:pPr>
        <w:spacing w:after="0" w:line="240" w:lineRule="exact"/>
        <w:rPr>
          <w:b/>
          <w:i/>
        </w:rPr>
      </w:pPr>
      <w:r>
        <w:rPr>
          <w:b/>
          <w:bCs/>
        </w:rPr>
        <w:t xml:space="preserve">Ontvangsten </w:t>
      </w:r>
      <w:r>
        <w:rPr>
          <w:b/>
          <w:i/>
        </w:rPr>
        <w:t>(- € 7,8 mln.)</w:t>
      </w:r>
    </w:p>
    <w:p w:rsidR="002375F3" w:rsidRDefault="002375F3" w:rsidP="002375F3">
      <w:pPr>
        <w:spacing w:after="0" w:line="240" w:lineRule="exact"/>
        <w:rPr>
          <w:b/>
          <w:bCs/>
        </w:rPr>
      </w:pPr>
    </w:p>
    <w:p w:rsidR="002375F3" w:rsidRDefault="002375F3" w:rsidP="002375F3">
      <w:pPr>
        <w:spacing w:after="0" w:line="240" w:lineRule="exact"/>
        <w:rPr>
          <w:i/>
        </w:rPr>
      </w:pPr>
      <w:r>
        <w:rPr>
          <w:i/>
        </w:rPr>
        <w:t>Ontvangsten (- € 7,8 mln.)</w:t>
      </w:r>
    </w:p>
    <w:p w:rsidR="002375F3" w:rsidRDefault="002375F3" w:rsidP="002375F3">
      <w:pPr>
        <w:spacing w:after="0" w:line="240" w:lineRule="exact"/>
      </w:pPr>
      <w:r>
        <w:t xml:space="preserve">De lagere ontvangsten hebben voor € 3,5 mln. betrekking op technische mutaties. Hierdoor worden zowel de uitgaven als ontvangsten verlaagd. Van andere departementen wordt nu budget overgeheveld in plaats van het onderling factureren van diensten. Op de uitgaven heeft dit geen effect vanwege overheveling van budget, terwijl de ontvangsten dalen. </w:t>
      </w:r>
    </w:p>
    <w:p w:rsidR="002375F3" w:rsidRDefault="002375F3" w:rsidP="002375F3">
      <w:pPr>
        <w:spacing w:after="0" w:line="240" w:lineRule="exact"/>
      </w:pPr>
    </w:p>
    <w:p w:rsidR="002375F3" w:rsidRDefault="002375F3" w:rsidP="002375F3">
      <w:pPr>
        <w:spacing w:after="0" w:line="240" w:lineRule="exact"/>
      </w:pPr>
      <w:r>
        <w:t xml:space="preserve">Bij Domeinen Roerende Zaken (DRZ) zijn de ontvangsten lager dan de raming doordat de uitbreiding van de verkoopactiviteiten voor CJIB-deurwaarders en executieverkopen voor de Belastingdienst voor onbepaalde tijd zijn uitgesteld (ca. - € 2,6 </w:t>
      </w:r>
      <w:proofErr w:type="spellStart"/>
      <w:r>
        <w:t>mln</w:t>
      </w:r>
      <w:proofErr w:type="spellEnd"/>
      <w:r>
        <w:t xml:space="preserve">). </w:t>
      </w:r>
    </w:p>
    <w:p w:rsidR="002375F3" w:rsidRDefault="002375F3" w:rsidP="002375F3">
      <w:pPr>
        <w:spacing w:after="0" w:line="240" w:lineRule="exact"/>
      </w:pPr>
    </w:p>
    <w:p w:rsidR="002375F3" w:rsidRDefault="002375F3" w:rsidP="002375F3">
      <w:pPr>
        <w:spacing w:after="0" w:line="240" w:lineRule="exact"/>
      </w:pPr>
      <w:r>
        <w:t>Daarnaast zijn er enkele andere zaken met minder ontvangsten dan geraamd door onder andere minder uitgeleend personeel (per saldo ca. - € 1,7 mln.).</w:t>
      </w:r>
    </w:p>
    <w:p w:rsidR="002375F3" w:rsidRDefault="002375F3" w:rsidP="002375F3">
      <w:pPr>
        <w:rPr>
          <w:rFonts w:asciiTheme="minorHAnsi" w:hAnsiTheme="minorHAnsi"/>
          <w:szCs w:val="18"/>
        </w:rPr>
      </w:pPr>
      <w:r>
        <w:rPr>
          <w:rFonts w:asciiTheme="minorHAnsi" w:hAnsiTheme="minorHAnsi"/>
          <w:szCs w:val="18"/>
        </w:rPr>
        <w:br w:type="page"/>
      </w:r>
    </w:p>
    <w:p w:rsidR="002375F3" w:rsidRDefault="002375F3" w:rsidP="002375F3">
      <w:pPr>
        <w:pStyle w:val="Geenafstand"/>
        <w:spacing w:line="240" w:lineRule="exact"/>
        <w:rPr>
          <w:b/>
        </w:rPr>
      </w:pPr>
      <w:r w:rsidRPr="001C6635">
        <w:rPr>
          <w:b/>
        </w:rPr>
        <w:lastRenderedPageBreak/>
        <w:t>Artikel 10 Nominaal en onvoorzien</w:t>
      </w:r>
    </w:p>
    <w:p w:rsidR="002375F3" w:rsidRDefault="002375F3" w:rsidP="002375F3">
      <w:pPr>
        <w:pStyle w:val="Geenafstand"/>
        <w:spacing w:line="240" w:lineRule="exact"/>
        <w:rPr>
          <w:b/>
        </w:rPr>
      </w:pPr>
    </w:p>
    <w:tbl>
      <w:tblPr>
        <w:tblW w:w="5800" w:type="dxa"/>
        <w:tblInd w:w="70" w:type="dxa"/>
        <w:tblCellMar>
          <w:left w:w="70" w:type="dxa"/>
          <w:right w:w="70" w:type="dxa"/>
        </w:tblCellMar>
        <w:tblLook w:val="04A0" w:firstRow="1" w:lastRow="0" w:firstColumn="1" w:lastColumn="0" w:noHBand="0" w:noVBand="1"/>
      </w:tblPr>
      <w:tblGrid>
        <w:gridCol w:w="1240"/>
        <w:gridCol w:w="1140"/>
        <w:gridCol w:w="1140"/>
        <w:gridCol w:w="1140"/>
        <w:gridCol w:w="1140"/>
      </w:tblGrid>
      <w:tr w:rsidR="002375F3" w:rsidRPr="00B6737D" w:rsidTr="00D66A40">
        <w:trPr>
          <w:trHeight w:val="240"/>
        </w:trPr>
        <w:tc>
          <w:tcPr>
            <w:tcW w:w="5800" w:type="dxa"/>
            <w:gridSpan w:val="5"/>
            <w:tcBorders>
              <w:top w:val="nil"/>
              <w:left w:val="nil"/>
              <w:bottom w:val="nil"/>
              <w:right w:val="nil"/>
            </w:tcBorders>
            <w:shd w:val="clear" w:color="000000" w:fill="FFFFFF"/>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Budgettaire gevolgen van beleid  - niet beleidsartikel 10 Nominaal en Onvoorzien</w:t>
            </w:r>
          </w:p>
        </w:tc>
      </w:tr>
      <w:tr w:rsidR="002375F3" w:rsidRPr="00B6737D" w:rsidTr="00D66A40">
        <w:trPr>
          <w:trHeight w:val="240"/>
        </w:trPr>
        <w:tc>
          <w:tcPr>
            <w:tcW w:w="4660" w:type="dxa"/>
            <w:gridSpan w:val="4"/>
            <w:tcBorders>
              <w:top w:val="nil"/>
              <w:left w:val="nil"/>
              <w:bottom w:val="single" w:sz="4" w:space="0" w:color="auto"/>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Bedragen x € 1.000</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1170"/>
        </w:trPr>
        <w:tc>
          <w:tcPr>
            <w:tcW w:w="1240" w:type="dxa"/>
            <w:tcBorders>
              <w:top w:val="nil"/>
              <w:left w:val="nil"/>
              <w:bottom w:val="single" w:sz="8" w:space="0" w:color="auto"/>
              <w:right w:val="nil"/>
            </w:tcBorders>
            <w:shd w:val="clear" w:color="000000" w:fill="FFFFFF"/>
            <w:vAlign w:val="center"/>
            <w:hideMark/>
          </w:tcPr>
          <w:p w:rsidR="002375F3" w:rsidRPr="00B6737D" w:rsidRDefault="002375F3" w:rsidP="00D66A40">
            <w:pPr>
              <w:spacing w:after="0" w:line="240" w:lineRule="auto"/>
              <w:rPr>
                <w:rFonts w:ascii="Arial" w:eastAsia="Times New Roman" w:hAnsi="Arial" w:cs="Arial"/>
                <w:b/>
                <w:bCs/>
                <w:color w:val="000000"/>
                <w:sz w:val="12"/>
                <w:szCs w:val="12"/>
                <w:lang w:eastAsia="nl-NL"/>
              </w:rPr>
            </w:pPr>
            <w:r w:rsidRPr="00B6737D">
              <w:rPr>
                <w:rFonts w:ascii="Arial" w:eastAsia="Times New Roman" w:hAnsi="Arial" w:cs="Arial"/>
                <w:b/>
                <w:bCs/>
                <w:color w:val="000000"/>
                <w:sz w:val="12"/>
                <w:szCs w:val="12"/>
                <w:lang w:eastAsia="nl-NL"/>
              </w:rPr>
              <w:t> </w:t>
            </w:r>
          </w:p>
        </w:tc>
        <w:tc>
          <w:tcPr>
            <w:tcW w:w="1140" w:type="dxa"/>
            <w:tcBorders>
              <w:top w:val="nil"/>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Stand</w:t>
            </w:r>
            <w:r w:rsidRPr="00B6737D">
              <w:rPr>
                <w:rFonts w:ascii="Arial" w:eastAsia="Times New Roman" w:hAnsi="Arial" w:cs="Arial"/>
                <w:b/>
                <w:bCs/>
                <w:sz w:val="12"/>
                <w:szCs w:val="12"/>
                <w:lang w:eastAsia="nl-NL"/>
              </w:rPr>
              <w:br/>
              <w:t>vastgestelde</w:t>
            </w:r>
            <w:r w:rsidRPr="00B6737D">
              <w:rPr>
                <w:rFonts w:ascii="Arial" w:eastAsia="Times New Roman" w:hAnsi="Arial" w:cs="Arial"/>
                <w:b/>
                <w:bCs/>
                <w:sz w:val="12"/>
                <w:szCs w:val="12"/>
                <w:lang w:eastAsia="nl-NL"/>
              </w:rPr>
              <w:br/>
              <w:t>begroting (na</w:t>
            </w:r>
            <w:r w:rsidRPr="00B6737D">
              <w:rPr>
                <w:rFonts w:ascii="Arial" w:eastAsia="Times New Roman" w:hAnsi="Arial" w:cs="Arial"/>
                <w:b/>
                <w:bCs/>
                <w:sz w:val="12"/>
                <w:szCs w:val="12"/>
                <w:lang w:eastAsia="nl-NL"/>
              </w:rPr>
              <w:br/>
              <w:t>Nota</w:t>
            </w:r>
            <w:r w:rsidRPr="00B6737D">
              <w:rPr>
                <w:rFonts w:ascii="Arial" w:eastAsia="Times New Roman" w:hAnsi="Arial" w:cs="Arial"/>
                <w:b/>
                <w:bCs/>
                <w:sz w:val="12"/>
                <w:szCs w:val="12"/>
                <w:lang w:eastAsia="nl-NL"/>
              </w:rPr>
              <w:br/>
              <w:t>van Wijziging,</w:t>
            </w:r>
            <w:r w:rsidRPr="00B6737D">
              <w:rPr>
                <w:rFonts w:ascii="Arial" w:eastAsia="Times New Roman" w:hAnsi="Arial" w:cs="Arial"/>
                <w:b/>
                <w:bCs/>
                <w:sz w:val="12"/>
                <w:szCs w:val="12"/>
                <w:lang w:eastAsia="nl-NL"/>
              </w:rPr>
              <w:br/>
              <w:t>amendementen</w:t>
            </w:r>
            <w:r w:rsidRPr="00B6737D">
              <w:rPr>
                <w:rFonts w:ascii="Arial" w:eastAsia="Times New Roman" w:hAnsi="Arial" w:cs="Arial"/>
                <w:b/>
                <w:bCs/>
                <w:sz w:val="12"/>
                <w:szCs w:val="12"/>
                <w:lang w:eastAsia="nl-NL"/>
              </w:rPr>
              <w:br/>
              <w:t>en ISB) (1)</w:t>
            </w:r>
          </w:p>
        </w:tc>
        <w:tc>
          <w:tcPr>
            <w:tcW w:w="1140" w:type="dxa"/>
            <w:tcBorders>
              <w:top w:val="nil"/>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Stand 1ste suppletoire begroting (2)</w:t>
            </w:r>
          </w:p>
        </w:tc>
        <w:tc>
          <w:tcPr>
            <w:tcW w:w="1140" w:type="dxa"/>
            <w:tcBorders>
              <w:top w:val="nil"/>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Mutaties</w:t>
            </w:r>
            <w:r w:rsidRPr="00B6737D">
              <w:rPr>
                <w:rFonts w:ascii="Arial" w:eastAsia="Times New Roman" w:hAnsi="Arial" w:cs="Arial"/>
                <w:b/>
                <w:bCs/>
                <w:sz w:val="12"/>
                <w:szCs w:val="12"/>
                <w:lang w:eastAsia="nl-NL"/>
              </w:rPr>
              <w:br/>
              <w:t>2e suppletoire</w:t>
            </w:r>
            <w:r w:rsidRPr="00B6737D">
              <w:rPr>
                <w:rFonts w:ascii="Arial" w:eastAsia="Times New Roman" w:hAnsi="Arial" w:cs="Arial"/>
                <w:b/>
                <w:bCs/>
                <w:sz w:val="12"/>
                <w:szCs w:val="12"/>
                <w:lang w:eastAsia="nl-NL"/>
              </w:rPr>
              <w:br/>
              <w:t>begroting (3)</w:t>
            </w:r>
          </w:p>
        </w:tc>
        <w:tc>
          <w:tcPr>
            <w:tcW w:w="1140" w:type="dxa"/>
            <w:tcBorders>
              <w:top w:val="single" w:sz="4" w:space="0" w:color="auto"/>
              <w:left w:val="nil"/>
              <w:bottom w:val="single" w:sz="8" w:space="0" w:color="auto"/>
              <w:right w:val="nil"/>
            </w:tcBorders>
            <w:shd w:val="clear" w:color="000000" w:fill="FFFFFF"/>
            <w:hideMark/>
          </w:tcPr>
          <w:p w:rsidR="002375F3" w:rsidRPr="00B6737D" w:rsidRDefault="002375F3" w:rsidP="00D66A40">
            <w:pPr>
              <w:spacing w:after="0" w:line="240" w:lineRule="auto"/>
              <w:jc w:val="center"/>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Stand</w:t>
            </w:r>
            <w:r w:rsidRPr="00B6737D">
              <w:rPr>
                <w:rFonts w:ascii="Arial" w:eastAsia="Times New Roman" w:hAnsi="Arial" w:cs="Arial"/>
                <w:b/>
                <w:bCs/>
                <w:sz w:val="12"/>
                <w:szCs w:val="12"/>
                <w:lang w:eastAsia="nl-NL"/>
              </w:rPr>
              <w:br/>
              <w:t>2e suppletoire</w:t>
            </w:r>
            <w:r w:rsidRPr="00B6737D">
              <w:rPr>
                <w:rFonts w:ascii="Arial" w:eastAsia="Times New Roman" w:hAnsi="Arial" w:cs="Arial"/>
                <w:b/>
                <w:bCs/>
                <w:sz w:val="12"/>
                <w:szCs w:val="12"/>
                <w:lang w:eastAsia="nl-NL"/>
              </w:rPr>
              <w:br/>
              <w:t>begroting</w:t>
            </w:r>
            <w:r w:rsidRPr="00B6737D">
              <w:rPr>
                <w:rFonts w:ascii="Arial" w:eastAsia="Times New Roman" w:hAnsi="Arial" w:cs="Arial"/>
                <w:b/>
                <w:bCs/>
                <w:sz w:val="12"/>
                <w:szCs w:val="12"/>
                <w:lang w:eastAsia="nl-NL"/>
              </w:rPr>
              <w:br/>
              <w:t>(4)=(2+3)</w:t>
            </w:r>
          </w:p>
        </w:tc>
      </w:tr>
      <w:tr w:rsidR="002375F3" w:rsidRPr="00B6737D" w:rsidTr="00D66A40">
        <w:trPr>
          <w:trHeight w:val="240"/>
        </w:trPr>
        <w:tc>
          <w:tcPr>
            <w:tcW w:w="12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Verplichtingen</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50.043</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13.716</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-13.244</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472</w:t>
            </w:r>
          </w:p>
        </w:tc>
      </w:tr>
      <w:tr w:rsidR="002375F3" w:rsidRPr="00B6737D" w:rsidTr="00D66A40">
        <w:trPr>
          <w:trHeight w:val="240"/>
        </w:trPr>
        <w:tc>
          <w:tcPr>
            <w:tcW w:w="12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jc w:val="center"/>
              <w:rPr>
                <w:rFonts w:ascii="Arial" w:eastAsia="Times New Roman" w:hAnsi="Arial" w:cs="Arial"/>
                <w:i/>
                <w:iCs/>
                <w:sz w:val="12"/>
                <w:szCs w:val="12"/>
                <w:lang w:eastAsia="nl-NL"/>
              </w:rPr>
            </w:pPr>
            <w:r w:rsidRPr="00B6737D">
              <w:rPr>
                <w:rFonts w:ascii="Arial" w:eastAsia="Times New Roman" w:hAnsi="Arial" w:cs="Arial"/>
                <w:i/>
                <w:iCs/>
                <w:sz w:val="12"/>
                <w:szCs w:val="12"/>
                <w:lang w:eastAsia="nl-NL"/>
              </w:rPr>
              <w:t> </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240"/>
        </w:trPr>
        <w:tc>
          <w:tcPr>
            <w:tcW w:w="12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Uitgaven</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50.043</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13.716</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-13.244</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472</w:t>
            </w:r>
          </w:p>
        </w:tc>
      </w:tr>
      <w:tr w:rsidR="002375F3" w:rsidRPr="00B6737D" w:rsidTr="00D66A40">
        <w:trPr>
          <w:trHeight w:val="240"/>
        </w:trPr>
        <w:tc>
          <w:tcPr>
            <w:tcW w:w="12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sz w:val="12"/>
                <w:szCs w:val="12"/>
                <w:lang w:eastAsia="nl-NL"/>
              </w:rPr>
            </w:pPr>
            <w:r w:rsidRPr="00B6737D">
              <w:rPr>
                <w:rFonts w:ascii="Arial" w:eastAsia="Times New Roman" w:hAnsi="Arial" w:cs="Arial"/>
                <w:sz w:val="12"/>
                <w:szCs w:val="12"/>
                <w:lang w:eastAsia="nl-NL"/>
              </w:rPr>
              <w:t> </w:t>
            </w:r>
          </w:p>
        </w:tc>
        <w:tc>
          <w:tcPr>
            <w:tcW w:w="11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jc w:val="right"/>
              <w:rPr>
                <w:rFonts w:ascii="Arial" w:eastAsia="Times New Roman" w:hAnsi="Arial" w:cs="Arial"/>
                <w:sz w:val="12"/>
                <w:szCs w:val="12"/>
                <w:lang w:eastAsia="nl-NL"/>
              </w:rPr>
            </w:pPr>
            <w:r w:rsidRPr="00B6737D">
              <w:rPr>
                <w:rFonts w:ascii="Arial" w:eastAsia="Times New Roman" w:hAnsi="Arial" w:cs="Arial"/>
                <w:sz w:val="12"/>
                <w:szCs w:val="12"/>
                <w:lang w:eastAsia="nl-NL"/>
              </w:rPr>
              <w:t> </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p>
        </w:tc>
      </w:tr>
      <w:tr w:rsidR="002375F3" w:rsidRPr="00B6737D" w:rsidTr="00D66A40">
        <w:trPr>
          <w:trHeight w:val="240"/>
        </w:trPr>
        <w:tc>
          <w:tcPr>
            <w:tcW w:w="1240" w:type="dxa"/>
            <w:tcBorders>
              <w:top w:val="nil"/>
              <w:left w:val="nil"/>
              <w:bottom w:val="nil"/>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Ontvangsten</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vAlign w:val="bottom"/>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c>
          <w:tcPr>
            <w:tcW w:w="1140" w:type="dxa"/>
            <w:tcBorders>
              <w:top w:val="nil"/>
              <w:left w:val="nil"/>
              <w:bottom w:val="nil"/>
              <w:right w:val="nil"/>
            </w:tcBorders>
            <w:shd w:val="clear" w:color="auto" w:fill="auto"/>
            <w:noWrap/>
            <w:hideMark/>
          </w:tcPr>
          <w:p w:rsidR="002375F3" w:rsidRPr="00B6737D" w:rsidRDefault="002375F3" w:rsidP="00D66A40">
            <w:pPr>
              <w:spacing w:after="0" w:line="240" w:lineRule="auto"/>
              <w:jc w:val="right"/>
              <w:rPr>
                <w:rFonts w:ascii="Arial" w:eastAsia="Times New Roman" w:hAnsi="Arial" w:cs="Arial"/>
                <w:b/>
                <w:bCs/>
                <w:sz w:val="12"/>
                <w:szCs w:val="12"/>
                <w:lang w:eastAsia="nl-NL"/>
              </w:rPr>
            </w:pPr>
            <w:r w:rsidRPr="00B6737D">
              <w:rPr>
                <w:rFonts w:ascii="Arial" w:eastAsia="Times New Roman" w:hAnsi="Arial" w:cs="Arial"/>
                <w:b/>
                <w:bCs/>
                <w:sz w:val="12"/>
                <w:szCs w:val="12"/>
                <w:lang w:eastAsia="nl-NL"/>
              </w:rPr>
              <w:t>0</w:t>
            </w:r>
          </w:p>
        </w:tc>
      </w:tr>
      <w:tr w:rsidR="002375F3" w:rsidRPr="00B6737D" w:rsidTr="00D66A40">
        <w:trPr>
          <w:trHeight w:val="255"/>
        </w:trPr>
        <w:tc>
          <w:tcPr>
            <w:tcW w:w="1240" w:type="dxa"/>
            <w:tcBorders>
              <w:top w:val="nil"/>
              <w:left w:val="nil"/>
              <w:bottom w:val="single" w:sz="8" w:space="0" w:color="auto"/>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000000" w:fill="FFFFFF"/>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c>
          <w:tcPr>
            <w:tcW w:w="1140" w:type="dxa"/>
            <w:tcBorders>
              <w:top w:val="nil"/>
              <w:left w:val="nil"/>
              <w:bottom w:val="single" w:sz="8" w:space="0" w:color="auto"/>
              <w:right w:val="nil"/>
            </w:tcBorders>
            <w:shd w:val="clear" w:color="auto" w:fill="auto"/>
            <w:noWrap/>
            <w:vAlign w:val="bottom"/>
            <w:hideMark/>
          </w:tcPr>
          <w:p w:rsidR="002375F3" w:rsidRPr="00B6737D" w:rsidRDefault="002375F3" w:rsidP="00D66A40">
            <w:pPr>
              <w:spacing w:after="0" w:line="240" w:lineRule="auto"/>
              <w:rPr>
                <w:rFonts w:ascii="Arial" w:eastAsia="Times New Roman" w:hAnsi="Arial" w:cs="Arial"/>
                <w:color w:val="000000"/>
                <w:sz w:val="12"/>
                <w:szCs w:val="12"/>
                <w:lang w:eastAsia="nl-NL"/>
              </w:rPr>
            </w:pPr>
            <w:r w:rsidRPr="00B6737D">
              <w:rPr>
                <w:rFonts w:ascii="Arial" w:eastAsia="Times New Roman" w:hAnsi="Arial" w:cs="Arial"/>
                <w:color w:val="000000"/>
                <w:sz w:val="12"/>
                <w:szCs w:val="12"/>
                <w:lang w:eastAsia="nl-NL"/>
              </w:rPr>
              <w:t> </w:t>
            </w:r>
          </w:p>
        </w:tc>
      </w:tr>
    </w:tbl>
    <w:p w:rsidR="002375F3" w:rsidRDefault="002375F3" w:rsidP="002375F3">
      <w:pPr>
        <w:pStyle w:val="Geenafstand"/>
        <w:spacing w:line="240" w:lineRule="exact"/>
        <w:rPr>
          <w:rFonts w:asciiTheme="minorHAnsi" w:hAnsiTheme="minorHAnsi"/>
          <w:b/>
          <w:szCs w:val="18"/>
        </w:rPr>
      </w:pPr>
    </w:p>
    <w:p w:rsidR="002375F3" w:rsidRDefault="002375F3" w:rsidP="002375F3">
      <w:pPr>
        <w:pStyle w:val="Geenafstand"/>
        <w:spacing w:line="240" w:lineRule="exact"/>
        <w:rPr>
          <w:rFonts w:asciiTheme="minorHAnsi" w:hAnsiTheme="minorHAnsi"/>
          <w:b/>
          <w:szCs w:val="18"/>
        </w:rPr>
      </w:pPr>
    </w:p>
    <w:p w:rsidR="002375F3" w:rsidRPr="007C0242" w:rsidRDefault="002375F3" w:rsidP="002375F3">
      <w:pPr>
        <w:spacing w:after="0" w:line="240" w:lineRule="exact"/>
        <w:rPr>
          <w:b/>
          <w:bCs/>
          <w:szCs w:val="18"/>
        </w:rPr>
      </w:pPr>
      <w:r w:rsidRPr="007C0242">
        <w:rPr>
          <w:b/>
          <w:bCs/>
          <w:szCs w:val="18"/>
        </w:rPr>
        <w:t xml:space="preserve">Verplichtingen </w:t>
      </w:r>
      <w:r>
        <w:rPr>
          <w:b/>
          <w:bCs/>
          <w:szCs w:val="18"/>
        </w:rPr>
        <w:t>en u</w:t>
      </w:r>
      <w:r w:rsidRPr="007C0242">
        <w:rPr>
          <w:b/>
          <w:bCs/>
          <w:szCs w:val="18"/>
        </w:rPr>
        <w:t xml:space="preserve">itgaven </w:t>
      </w:r>
      <w:r>
        <w:rPr>
          <w:b/>
          <w:bCs/>
          <w:szCs w:val="18"/>
        </w:rPr>
        <w:t>(- € 13,2 mln.)</w:t>
      </w:r>
    </w:p>
    <w:p w:rsidR="002375F3" w:rsidRDefault="002375F3" w:rsidP="002375F3">
      <w:pPr>
        <w:spacing w:after="0" w:line="240" w:lineRule="exact"/>
        <w:rPr>
          <w:color w:val="1F497D"/>
          <w:szCs w:val="18"/>
        </w:rPr>
      </w:pPr>
    </w:p>
    <w:p w:rsidR="002375F3" w:rsidRDefault="002375F3" w:rsidP="002375F3">
      <w:pPr>
        <w:spacing w:after="0" w:line="240" w:lineRule="exact"/>
      </w:pPr>
      <w:r>
        <w:t>De mutatie wordt veroorzaakt doordat de loon- en prijsbijstelling is verdeeld over de beleidsartikelen.</w:t>
      </w:r>
    </w:p>
    <w:p w:rsidR="002375F3" w:rsidRDefault="002375F3" w:rsidP="002375F3">
      <w:r>
        <w:br w:type="page"/>
      </w:r>
    </w:p>
    <w:p w:rsidR="002375F3" w:rsidRPr="007C0242" w:rsidRDefault="002375F3" w:rsidP="002375F3">
      <w:pPr>
        <w:pStyle w:val="Kop3"/>
        <w:rPr>
          <w:rFonts w:asciiTheme="minorHAnsi" w:hAnsiTheme="minorHAnsi"/>
          <w:color w:val="auto"/>
          <w:szCs w:val="18"/>
        </w:rPr>
      </w:pPr>
      <w:r>
        <w:rPr>
          <w:rStyle w:val="nr"/>
          <w:rFonts w:asciiTheme="minorHAnsi" w:hAnsiTheme="minorHAnsi"/>
          <w:color w:val="auto"/>
          <w:szCs w:val="18"/>
        </w:rPr>
        <w:lastRenderedPageBreak/>
        <w:t>2.3</w:t>
      </w:r>
      <w:r w:rsidRPr="007C0242">
        <w:rPr>
          <w:rStyle w:val="nr"/>
          <w:rFonts w:asciiTheme="minorHAnsi" w:hAnsiTheme="minorHAnsi"/>
          <w:color w:val="auto"/>
          <w:szCs w:val="18"/>
        </w:rPr>
        <w:t xml:space="preserve"> </w:t>
      </w:r>
      <w:r w:rsidRPr="007C0242">
        <w:rPr>
          <w:rFonts w:asciiTheme="minorHAnsi" w:hAnsiTheme="minorHAnsi"/>
          <w:color w:val="auto"/>
          <w:szCs w:val="18"/>
        </w:rPr>
        <w:t>De beleidsartikelen (Nationale Schuld)</w:t>
      </w:r>
    </w:p>
    <w:p w:rsidR="002375F3" w:rsidRDefault="002375F3" w:rsidP="002375F3">
      <w:pPr>
        <w:pStyle w:val="Kop4"/>
        <w:spacing w:before="0" w:beforeAutospacing="0" w:after="0" w:afterAutospacing="0" w:line="240" w:lineRule="exact"/>
        <w:rPr>
          <w:rFonts w:asciiTheme="minorHAnsi" w:hAnsiTheme="minorHAnsi"/>
          <w:sz w:val="18"/>
          <w:szCs w:val="18"/>
        </w:rPr>
      </w:pPr>
    </w:p>
    <w:p w:rsidR="002375F3" w:rsidRDefault="002375F3" w:rsidP="002375F3">
      <w:pPr>
        <w:pStyle w:val="Kop4"/>
        <w:spacing w:before="0" w:beforeAutospacing="0" w:after="0" w:afterAutospacing="0" w:line="240" w:lineRule="exact"/>
        <w:rPr>
          <w:rFonts w:asciiTheme="minorHAnsi" w:hAnsiTheme="minorHAnsi"/>
          <w:sz w:val="18"/>
          <w:szCs w:val="18"/>
        </w:rPr>
      </w:pPr>
      <w:r w:rsidRPr="007C0242">
        <w:rPr>
          <w:rFonts w:asciiTheme="minorHAnsi" w:hAnsiTheme="minorHAnsi"/>
          <w:sz w:val="18"/>
          <w:szCs w:val="18"/>
        </w:rPr>
        <w:t>Artikel 11 Financiering Staatschuld</w:t>
      </w:r>
    </w:p>
    <w:p w:rsidR="002375F3" w:rsidRDefault="002375F3" w:rsidP="002375F3">
      <w:pPr>
        <w:pStyle w:val="Kop4"/>
        <w:spacing w:before="0" w:beforeAutospacing="0" w:after="0" w:afterAutospacing="0" w:line="240" w:lineRule="exact"/>
        <w:rPr>
          <w:rFonts w:asciiTheme="minorHAnsi" w:hAnsiTheme="minorHAnsi"/>
          <w:sz w:val="18"/>
          <w:szCs w:val="18"/>
        </w:rPr>
      </w:pPr>
    </w:p>
    <w:tbl>
      <w:tblPr>
        <w:tblW w:w="5700" w:type="dxa"/>
        <w:tblInd w:w="56" w:type="dxa"/>
        <w:tblCellMar>
          <w:left w:w="70" w:type="dxa"/>
          <w:right w:w="70" w:type="dxa"/>
        </w:tblCellMar>
        <w:tblLook w:val="04A0" w:firstRow="1" w:lastRow="0" w:firstColumn="1" w:lastColumn="0" w:noHBand="0" w:noVBand="1"/>
      </w:tblPr>
      <w:tblGrid>
        <w:gridCol w:w="1660"/>
        <w:gridCol w:w="1440"/>
        <w:gridCol w:w="960"/>
        <w:gridCol w:w="895"/>
        <w:gridCol w:w="895"/>
      </w:tblGrid>
      <w:tr w:rsidR="002375F3" w:rsidRPr="00BA4D69" w:rsidTr="00D66A40">
        <w:trPr>
          <w:trHeight w:val="225"/>
        </w:trPr>
        <w:tc>
          <w:tcPr>
            <w:tcW w:w="3100" w:type="dxa"/>
            <w:gridSpan w:val="2"/>
            <w:tcBorders>
              <w:top w:val="nil"/>
              <w:left w:val="nil"/>
              <w:bottom w:val="nil"/>
              <w:right w:val="nil"/>
            </w:tcBorders>
            <w:shd w:val="clear" w:color="auto" w:fill="auto"/>
            <w:noWrap/>
            <w:vAlign w:val="bottom"/>
            <w:hideMark/>
          </w:tcPr>
          <w:p w:rsidR="002375F3" w:rsidRPr="00BA4D69" w:rsidRDefault="002375F3" w:rsidP="00D66A40">
            <w:pPr>
              <w:spacing w:after="0" w:line="240" w:lineRule="auto"/>
              <w:rPr>
                <w:rFonts w:ascii="Arial" w:eastAsia="Times New Roman" w:hAnsi="Arial" w:cs="Arial"/>
                <w:b/>
                <w:bCs/>
                <w:sz w:val="12"/>
                <w:szCs w:val="12"/>
                <w:lang w:eastAsia="nl-NL"/>
              </w:rPr>
            </w:pPr>
            <w:r w:rsidRPr="00BA4D69">
              <w:rPr>
                <w:rFonts w:ascii="Arial" w:eastAsia="Times New Roman" w:hAnsi="Arial" w:cs="Arial"/>
                <w:b/>
                <w:bCs/>
                <w:sz w:val="12"/>
                <w:szCs w:val="12"/>
                <w:lang w:eastAsia="nl-NL"/>
              </w:rPr>
              <w:t xml:space="preserve">Tabel budgettaire gevolgen (x € 1 mln.) </w:t>
            </w:r>
          </w:p>
        </w:tc>
        <w:tc>
          <w:tcPr>
            <w:tcW w:w="960" w:type="dxa"/>
            <w:tcBorders>
              <w:top w:val="nil"/>
              <w:left w:val="nil"/>
              <w:bottom w:val="nil"/>
              <w:right w:val="nil"/>
            </w:tcBorders>
            <w:shd w:val="clear" w:color="auto" w:fill="auto"/>
            <w:noWrap/>
            <w:vAlign w:val="bottom"/>
            <w:hideMark/>
          </w:tcPr>
          <w:p w:rsidR="002375F3" w:rsidRPr="00BA4D69" w:rsidRDefault="002375F3" w:rsidP="00D66A40">
            <w:pPr>
              <w:spacing w:after="0" w:line="240" w:lineRule="auto"/>
              <w:rPr>
                <w:rFonts w:eastAsia="Times New Roman" w:cs="Times New Roman"/>
                <w:sz w:val="12"/>
                <w:szCs w:val="12"/>
                <w:lang w:eastAsia="nl-NL"/>
              </w:rPr>
            </w:pPr>
          </w:p>
        </w:tc>
        <w:tc>
          <w:tcPr>
            <w:tcW w:w="820" w:type="dxa"/>
            <w:tcBorders>
              <w:top w:val="nil"/>
              <w:left w:val="nil"/>
              <w:bottom w:val="nil"/>
              <w:right w:val="nil"/>
            </w:tcBorders>
            <w:shd w:val="clear" w:color="auto" w:fill="auto"/>
            <w:noWrap/>
            <w:vAlign w:val="bottom"/>
            <w:hideMark/>
          </w:tcPr>
          <w:p w:rsidR="002375F3" w:rsidRPr="00BA4D69" w:rsidRDefault="002375F3" w:rsidP="00D66A40">
            <w:pPr>
              <w:spacing w:after="0" w:line="240" w:lineRule="auto"/>
              <w:rPr>
                <w:rFonts w:eastAsia="Times New Roman" w:cs="Times New Roman"/>
                <w:sz w:val="12"/>
                <w:szCs w:val="12"/>
                <w:lang w:eastAsia="nl-NL"/>
              </w:rPr>
            </w:pPr>
          </w:p>
        </w:tc>
        <w:tc>
          <w:tcPr>
            <w:tcW w:w="820" w:type="dxa"/>
            <w:tcBorders>
              <w:top w:val="nil"/>
              <w:left w:val="nil"/>
              <w:bottom w:val="nil"/>
              <w:right w:val="nil"/>
            </w:tcBorders>
            <w:shd w:val="clear" w:color="auto" w:fill="auto"/>
            <w:noWrap/>
            <w:vAlign w:val="bottom"/>
            <w:hideMark/>
          </w:tcPr>
          <w:p w:rsidR="002375F3" w:rsidRPr="00BA4D69" w:rsidRDefault="002375F3" w:rsidP="00D66A40">
            <w:pPr>
              <w:spacing w:after="0" w:line="240" w:lineRule="auto"/>
              <w:rPr>
                <w:rFonts w:eastAsia="Times New Roman" w:cs="Times New Roman"/>
                <w:sz w:val="12"/>
                <w:szCs w:val="12"/>
                <w:lang w:eastAsia="nl-NL"/>
              </w:rPr>
            </w:pPr>
          </w:p>
        </w:tc>
      </w:tr>
      <w:tr w:rsidR="002375F3" w:rsidRPr="00BA4D69" w:rsidTr="00D66A40">
        <w:trPr>
          <w:trHeight w:val="1275"/>
        </w:trPr>
        <w:tc>
          <w:tcPr>
            <w:tcW w:w="1660" w:type="dxa"/>
            <w:tcBorders>
              <w:top w:val="single" w:sz="4" w:space="0" w:color="auto"/>
              <w:left w:val="nil"/>
              <w:bottom w:val="single" w:sz="8" w:space="0" w:color="auto"/>
              <w:right w:val="nil"/>
            </w:tcBorders>
            <w:shd w:val="clear" w:color="000000" w:fill="FFFFFF"/>
            <w:noWrap/>
            <w:vAlign w:val="bottom"/>
            <w:hideMark/>
          </w:tcPr>
          <w:p w:rsidR="002375F3" w:rsidRPr="00BA4D69" w:rsidRDefault="002375F3" w:rsidP="00D66A40">
            <w:pPr>
              <w:spacing w:after="0" w:line="240" w:lineRule="auto"/>
              <w:jc w:val="right"/>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 </w:t>
            </w:r>
          </w:p>
        </w:tc>
        <w:tc>
          <w:tcPr>
            <w:tcW w:w="1440" w:type="dxa"/>
            <w:tcBorders>
              <w:top w:val="single" w:sz="4" w:space="0" w:color="auto"/>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4"/>
                <w:szCs w:val="14"/>
                <w:lang w:eastAsia="nl-NL"/>
              </w:rPr>
            </w:pPr>
            <w:r w:rsidRPr="00BA4D69">
              <w:rPr>
                <w:rFonts w:ascii="Arial" w:eastAsia="Times New Roman" w:hAnsi="Arial" w:cs="Arial"/>
                <w:b/>
                <w:bCs/>
                <w:sz w:val="14"/>
                <w:szCs w:val="14"/>
                <w:lang w:eastAsia="nl-NL"/>
              </w:rPr>
              <w:t>Stand</w:t>
            </w:r>
            <w:r w:rsidRPr="00BA4D69">
              <w:rPr>
                <w:rFonts w:ascii="Arial" w:eastAsia="Times New Roman" w:hAnsi="Arial" w:cs="Arial"/>
                <w:b/>
                <w:bCs/>
                <w:sz w:val="14"/>
                <w:szCs w:val="14"/>
                <w:lang w:eastAsia="nl-NL"/>
              </w:rPr>
              <w:br/>
              <w:t>vastgestelde</w:t>
            </w:r>
            <w:r w:rsidRPr="00BA4D69">
              <w:rPr>
                <w:rFonts w:ascii="Arial" w:eastAsia="Times New Roman" w:hAnsi="Arial" w:cs="Arial"/>
                <w:b/>
                <w:bCs/>
                <w:sz w:val="14"/>
                <w:szCs w:val="14"/>
                <w:lang w:eastAsia="nl-NL"/>
              </w:rPr>
              <w:br/>
              <w:t>begroting (na</w:t>
            </w:r>
            <w:r w:rsidRPr="00BA4D69">
              <w:rPr>
                <w:rFonts w:ascii="Arial" w:eastAsia="Times New Roman" w:hAnsi="Arial" w:cs="Arial"/>
                <w:b/>
                <w:bCs/>
                <w:sz w:val="14"/>
                <w:szCs w:val="14"/>
                <w:lang w:eastAsia="nl-NL"/>
              </w:rPr>
              <w:br/>
              <w:t>Nota</w:t>
            </w:r>
            <w:r w:rsidRPr="00BA4D69">
              <w:rPr>
                <w:rFonts w:ascii="Arial" w:eastAsia="Times New Roman" w:hAnsi="Arial" w:cs="Arial"/>
                <w:b/>
                <w:bCs/>
                <w:sz w:val="14"/>
                <w:szCs w:val="14"/>
                <w:lang w:eastAsia="nl-NL"/>
              </w:rPr>
              <w:br/>
              <w:t>van Wijziging,</w:t>
            </w:r>
            <w:r w:rsidRPr="00BA4D69">
              <w:rPr>
                <w:rFonts w:ascii="Arial" w:eastAsia="Times New Roman" w:hAnsi="Arial" w:cs="Arial"/>
                <w:b/>
                <w:bCs/>
                <w:sz w:val="14"/>
                <w:szCs w:val="14"/>
                <w:lang w:eastAsia="nl-NL"/>
              </w:rPr>
              <w:br/>
              <w:t>amendementen</w:t>
            </w:r>
            <w:r w:rsidRPr="00BA4D69">
              <w:rPr>
                <w:rFonts w:ascii="Arial" w:eastAsia="Times New Roman" w:hAnsi="Arial" w:cs="Arial"/>
                <w:b/>
                <w:bCs/>
                <w:sz w:val="14"/>
                <w:szCs w:val="14"/>
                <w:lang w:eastAsia="nl-NL"/>
              </w:rPr>
              <w:br/>
              <w:t>en ISB) (1)</w:t>
            </w:r>
          </w:p>
        </w:tc>
        <w:tc>
          <w:tcPr>
            <w:tcW w:w="960" w:type="dxa"/>
            <w:tcBorders>
              <w:top w:val="single" w:sz="4" w:space="0" w:color="auto"/>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2"/>
                <w:szCs w:val="12"/>
                <w:lang w:eastAsia="nl-NL"/>
              </w:rPr>
            </w:pPr>
            <w:r w:rsidRPr="00BA4D69">
              <w:rPr>
                <w:rFonts w:ascii="Arial" w:eastAsia="Times New Roman" w:hAnsi="Arial" w:cs="Arial"/>
                <w:b/>
                <w:bCs/>
                <w:sz w:val="12"/>
                <w:szCs w:val="12"/>
                <w:lang w:eastAsia="nl-NL"/>
              </w:rPr>
              <w:t xml:space="preserve"> Stand 1ste suppletoire begroting (2) </w:t>
            </w:r>
          </w:p>
        </w:tc>
        <w:tc>
          <w:tcPr>
            <w:tcW w:w="820" w:type="dxa"/>
            <w:tcBorders>
              <w:top w:val="single" w:sz="4" w:space="0" w:color="auto"/>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4"/>
                <w:szCs w:val="14"/>
                <w:lang w:eastAsia="nl-NL"/>
              </w:rPr>
            </w:pPr>
            <w:r w:rsidRPr="00BA4D69">
              <w:rPr>
                <w:rFonts w:ascii="Arial" w:eastAsia="Times New Roman" w:hAnsi="Arial" w:cs="Arial"/>
                <w:b/>
                <w:bCs/>
                <w:sz w:val="14"/>
                <w:szCs w:val="14"/>
                <w:lang w:eastAsia="nl-NL"/>
              </w:rPr>
              <w:t>Mutaties</w:t>
            </w:r>
            <w:r w:rsidRPr="00BA4D69">
              <w:rPr>
                <w:rFonts w:ascii="Arial" w:eastAsia="Times New Roman" w:hAnsi="Arial" w:cs="Arial"/>
                <w:b/>
                <w:bCs/>
                <w:sz w:val="14"/>
                <w:szCs w:val="14"/>
                <w:lang w:eastAsia="nl-NL"/>
              </w:rPr>
              <w:br/>
              <w:t>2e suppletoire</w:t>
            </w:r>
            <w:r w:rsidRPr="00BA4D69">
              <w:rPr>
                <w:rFonts w:ascii="Arial" w:eastAsia="Times New Roman" w:hAnsi="Arial" w:cs="Arial"/>
                <w:b/>
                <w:bCs/>
                <w:sz w:val="14"/>
                <w:szCs w:val="14"/>
                <w:lang w:eastAsia="nl-NL"/>
              </w:rPr>
              <w:br/>
              <w:t>begroting (3)</w:t>
            </w:r>
          </w:p>
        </w:tc>
        <w:tc>
          <w:tcPr>
            <w:tcW w:w="820" w:type="dxa"/>
            <w:tcBorders>
              <w:top w:val="single" w:sz="4" w:space="0" w:color="auto"/>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4"/>
                <w:szCs w:val="14"/>
                <w:lang w:eastAsia="nl-NL"/>
              </w:rPr>
            </w:pPr>
            <w:r w:rsidRPr="00BA4D69">
              <w:rPr>
                <w:rFonts w:ascii="Arial" w:eastAsia="Times New Roman" w:hAnsi="Arial" w:cs="Arial"/>
                <w:b/>
                <w:bCs/>
                <w:sz w:val="14"/>
                <w:szCs w:val="14"/>
                <w:lang w:eastAsia="nl-NL"/>
              </w:rPr>
              <w:t>Stand</w:t>
            </w:r>
            <w:r w:rsidRPr="00BA4D69">
              <w:rPr>
                <w:rFonts w:ascii="Arial" w:eastAsia="Times New Roman" w:hAnsi="Arial" w:cs="Arial"/>
                <w:b/>
                <w:bCs/>
                <w:sz w:val="14"/>
                <w:szCs w:val="14"/>
                <w:lang w:eastAsia="nl-NL"/>
              </w:rPr>
              <w:br/>
              <w:t>2e suppletoire</w:t>
            </w:r>
            <w:r w:rsidRPr="00BA4D69">
              <w:rPr>
                <w:rFonts w:ascii="Arial" w:eastAsia="Times New Roman" w:hAnsi="Arial" w:cs="Arial"/>
                <w:b/>
                <w:bCs/>
                <w:sz w:val="14"/>
                <w:szCs w:val="14"/>
                <w:lang w:eastAsia="nl-NL"/>
              </w:rPr>
              <w:br/>
              <w:t>begroting</w:t>
            </w:r>
            <w:r w:rsidRPr="00BA4D69">
              <w:rPr>
                <w:rFonts w:ascii="Arial" w:eastAsia="Times New Roman" w:hAnsi="Arial" w:cs="Arial"/>
                <w:b/>
                <w:bCs/>
                <w:sz w:val="14"/>
                <w:szCs w:val="14"/>
                <w:lang w:eastAsia="nl-NL"/>
              </w:rPr>
              <w:br/>
              <w:t>(4)=(2+3)</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xml:space="preserve"> Uitgaven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50.474</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48.896</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5.655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54.551</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 xml:space="preserve"> waarvan juridisch verplicht </w:t>
            </w:r>
          </w:p>
        </w:tc>
        <w:tc>
          <w:tcPr>
            <w:tcW w:w="14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100%</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100%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100%</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4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xml:space="preserve"> Rente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8.693</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8.050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28</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8.078</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Rentelasten vaste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8.638</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8.095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8.084</w:t>
            </w:r>
          </w:p>
        </w:tc>
      </w:tr>
      <w:tr w:rsidR="002375F3" w:rsidRPr="00BA4D69" w:rsidTr="00D66A40">
        <w:trPr>
          <w:trHeight w:val="330"/>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Rentelasten vlottende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55</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39</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-6</w:t>
            </w:r>
          </w:p>
        </w:tc>
      </w:tr>
      <w:tr w:rsidR="002375F3" w:rsidRPr="00BA4D69" w:rsidTr="00D66A40">
        <w:trPr>
          <w:trHeight w:val="330"/>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Uitgaven voortijdige beëindiging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25"/>
        </w:trPr>
        <w:tc>
          <w:tcPr>
            <w:tcW w:w="1660" w:type="dxa"/>
            <w:tcBorders>
              <w:top w:val="nil"/>
              <w:left w:val="nil"/>
              <w:bottom w:val="nil"/>
              <w:right w:val="nil"/>
            </w:tcBorders>
            <w:shd w:val="clear" w:color="auto" w:fill="auto"/>
            <w:vAlign w:val="bottom"/>
            <w:hideMark/>
          </w:tcPr>
          <w:p w:rsidR="002375F3" w:rsidRPr="00BA4D69" w:rsidRDefault="002375F3" w:rsidP="00D66A40">
            <w:pPr>
              <w:spacing w:after="0" w:line="240" w:lineRule="auto"/>
              <w:rPr>
                <w:rFonts w:eastAsia="Times New Roman" w:cs="Times New Roman"/>
                <w:color w:val="000000"/>
                <w:sz w:val="12"/>
                <w:szCs w:val="12"/>
                <w:lang w:eastAsia="nl-NL"/>
              </w:rPr>
            </w:pP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p>
        </w:tc>
        <w:tc>
          <w:tcPr>
            <w:tcW w:w="96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c>
          <w:tcPr>
            <w:tcW w:w="82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c>
          <w:tcPr>
            <w:tcW w:w="82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xml:space="preserve"> Leningen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41.762</w:t>
            </w:r>
          </w:p>
        </w:tc>
        <w:tc>
          <w:tcPr>
            <w:tcW w:w="96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40.831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5.627</w:t>
            </w:r>
          </w:p>
        </w:tc>
        <w:tc>
          <w:tcPr>
            <w:tcW w:w="82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46.458</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Aflossing vaste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41.762</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40.831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4.964</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45.795</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Mutatie vlottende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663</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663</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4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xml:space="preserve"> Opdrachten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19</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15</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Overige kosten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19</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15</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4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xml:space="preserve"> Ontvangsten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55.364</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53.183</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-556</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52.627</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4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xml:space="preserve"> Rente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1.277</w:t>
            </w:r>
          </w:p>
        </w:tc>
        <w:tc>
          <w:tcPr>
            <w:tcW w:w="96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2.851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1.775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4.627</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Rentebaten vaste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1.169</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1.101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-38</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1.063</w:t>
            </w:r>
          </w:p>
        </w:tc>
      </w:tr>
      <w:tr w:rsidR="002375F3" w:rsidRPr="00BA4D69" w:rsidTr="00D66A40">
        <w:trPr>
          <w:trHeight w:val="330"/>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Rentebaten vlottende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107</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105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-7</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98</w:t>
            </w:r>
          </w:p>
        </w:tc>
      </w:tr>
      <w:tr w:rsidR="002375F3" w:rsidRPr="00BA4D69" w:rsidTr="00D66A40">
        <w:trPr>
          <w:trHeight w:val="330"/>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Ontvangsten voortijdige beëindiging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1.646</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1.820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3.466</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4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xml:space="preserve"> Leningen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54.087</w:t>
            </w:r>
          </w:p>
        </w:tc>
        <w:tc>
          <w:tcPr>
            <w:tcW w:w="96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50.332</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-2.332</w:t>
            </w:r>
          </w:p>
        </w:tc>
        <w:tc>
          <w:tcPr>
            <w:tcW w:w="820"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48.000</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Uitgifte vaste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54.087</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48.000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48.000</w:t>
            </w:r>
          </w:p>
        </w:tc>
      </w:tr>
      <w:tr w:rsidR="002375F3" w:rsidRPr="00BA4D69" w:rsidTr="00D66A40">
        <w:trPr>
          <w:trHeight w:val="225"/>
        </w:trPr>
        <w:tc>
          <w:tcPr>
            <w:tcW w:w="1660"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xml:space="preserve"> Mutatie vlottende schuld </w:t>
            </w:r>
          </w:p>
        </w:tc>
        <w:tc>
          <w:tcPr>
            <w:tcW w:w="1440"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96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2.332</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-2.332</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40"/>
        </w:trPr>
        <w:tc>
          <w:tcPr>
            <w:tcW w:w="1660" w:type="dxa"/>
            <w:tcBorders>
              <w:top w:val="nil"/>
              <w:left w:val="nil"/>
              <w:bottom w:val="single" w:sz="8" w:space="0" w:color="auto"/>
              <w:right w:val="nil"/>
            </w:tcBorders>
            <w:shd w:val="clear" w:color="auto" w:fill="auto"/>
            <w:vAlign w:val="bottom"/>
            <w:hideMark/>
          </w:tcPr>
          <w:p w:rsidR="002375F3" w:rsidRPr="00BA4D69" w:rsidRDefault="002375F3" w:rsidP="00D66A40">
            <w:pPr>
              <w:spacing w:after="0" w:line="240" w:lineRule="auto"/>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c>
          <w:tcPr>
            <w:tcW w:w="1440" w:type="dxa"/>
            <w:tcBorders>
              <w:top w:val="nil"/>
              <w:left w:val="nil"/>
              <w:bottom w:val="single" w:sz="8" w:space="0" w:color="auto"/>
              <w:right w:val="nil"/>
            </w:tcBorders>
            <w:shd w:val="clear" w:color="auto" w:fill="auto"/>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c>
          <w:tcPr>
            <w:tcW w:w="960" w:type="dxa"/>
            <w:tcBorders>
              <w:top w:val="nil"/>
              <w:left w:val="nil"/>
              <w:bottom w:val="single" w:sz="8" w:space="0" w:color="auto"/>
              <w:right w:val="nil"/>
            </w:tcBorders>
            <w:shd w:val="clear" w:color="auto" w:fill="auto"/>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c>
          <w:tcPr>
            <w:tcW w:w="820" w:type="dxa"/>
            <w:tcBorders>
              <w:top w:val="nil"/>
              <w:left w:val="nil"/>
              <w:bottom w:val="single" w:sz="8" w:space="0" w:color="auto"/>
              <w:right w:val="nil"/>
            </w:tcBorders>
            <w:shd w:val="clear" w:color="auto" w:fill="auto"/>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c>
          <w:tcPr>
            <w:tcW w:w="820" w:type="dxa"/>
            <w:tcBorders>
              <w:top w:val="nil"/>
              <w:left w:val="nil"/>
              <w:bottom w:val="single" w:sz="8" w:space="0" w:color="auto"/>
              <w:right w:val="nil"/>
            </w:tcBorders>
            <w:shd w:val="clear" w:color="auto" w:fill="auto"/>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r w:rsidRPr="00BA4D69">
              <w:rPr>
                <w:rFonts w:eastAsia="Times New Roman" w:cs="Times New Roman"/>
                <w:color w:val="000000"/>
                <w:sz w:val="12"/>
                <w:szCs w:val="12"/>
                <w:lang w:eastAsia="nl-NL"/>
              </w:rPr>
              <w:t> </w:t>
            </w:r>
          </w:p>
        </w:tc>
      </w:tr>
    </w:tbl>
    <w:p w:rsidR="002375F3" w:rsidRDefault="002375F3" w:rsidP="002375F3">
      <w:pPr>
        <w:pStyle w:val="Kop4"/>
        <w:spacing w:before="0" w:beforeAutospacing="0" w:after="0" w:afterAutospacing="0" w:line="240" w:lineRule="exact"/>
        <w:rPr>
          <w:rFonts w:asciiTheme="minorHAnsi" w:hAnsiTheme="minorHAnsi"/>
          <w:b w:val="0"/>
          <w:sz w:val="18"/>
          <w:szCs w:val="18"/>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Toelichting</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Verplichtingen en uitgaven</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Algemeen</w:t>
      </w:r>
    </w:p>
    <w:p w:rsidR="002375F3"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De totale uitgaven en ontvangsten zijn opgebouwd uit drie onderdelen. Ten eerste worden de rentelasten en rentebaten verantwoord. Hierbinnen wordt onderscheid gemaakt tussen de rentelasten vaste schuld (schuld met een oorspronkelijke looptijd van langer dan een jaar) en de rentelasten vlottende schuld (looptijd korter dan een jaar). Ten tweede zijn de aflossing en de uitgifte van vaste schuld en de mutatie vlottende schuld in de tabel opgenomen. De derde en verreweg de kleinste post betreft de overige kosten. Deze kosten bestaan met name uit betalingsverkeer vanwege het schatkistbankieren en veilingkosten.</w:t>
      </w:r>
    </w:p>
    <w:p w:rsidR="002375F3" w:rsidRDefault="002375F3" w:rsidP="002375F3">
      <w:pPr>
        <w:spacing w:after="0" w:line="240" w:lineRule="exact"/>
        <w:rPr>
          <w:rFonts w:asciiTheme="minorHAnsi" w:eastAsia="Times New Roman" w:hAnsiTheme="minorHAnsi" w:cs="Arial"/>
          <w:szCs w:val="18"/>
          <w:lang w:eastAsia="nl-NL"/>
        </w:rPr>
      </w:pPr>
      <w:r>
        <w:rPr>
          <w:rFonts w:asciiTheme="minorHAnsi" w:eastAsia="Times New Roman" w:hAnsiTheme="minorHAnsi" w:cs="Arial"/>
          <w:szCs w:val="18"/>
          <w:lang w:eastAsia="nl-NL"/>
        </w:rPr>
        <w:br w:type="page"/>
      </w:r>
    </w:p>
    <w:p w:rsidR="002375F3" w:rsidRPr="00404EDF" w:rsidRDefault="002375F3" w:rsidP="002375F3">
      <w:pPr>
        <w:spacing w:after="0" w:line="240" w:lineRule="exact"/>
        <w:rPr>
          <w:rFonts w:asciiTheme="minorHAnsi" w:eastAsia="Times New Roman" w:hAnsiTheme="minorHAnsi" w:cs="Arial"/>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Toelichting op de raming van de programma-uitgaven en -ontvangsten</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Rentelasten en rentebaten schuld (+ € 28 mln. en + € 1,8 mld.)</w:t>
      </w:r>
    </w:p>
    <w:p w:rsidR="002375F3" w:rsidRPr="00404EDF"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De raming van de rentelasten voor 2015 is nagenoeg gelijk gebleven. De rentebaten zullen naar verwachting € 1,8 mld. hoger uitvallen. Deze extra ontvangsten zijn het gevolg van het beëindigen van rentederivaten. De belangrijkste reden om deze derivaten te beëindigen is om de gemiddelde looptijd van de schuld te verlengen. Bij voortijdige beëindiging van rentederivaten ontvangt de Staat in één keer de contant gemaakte waarde van de rentebaten die anders in de komende jaren zouden zijn ontvangen.</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 xml:space="preserve">Aflossing en uitgifte van vaste schuld (+ € 5,0 mld. en + € 0 mld.) en mutatie vlottende schuld (+ </w:t>
      </w:r>
      <w:r>
        <w:rPr>
          <w:rFonts w:asciiTheme="minorHAnsi" w:eastAsia="Times New Roman" w:hAnsiTheme="minorHAnsi" w:cs="Arial"/>
          <w:b/>
          <w:bCs/>
          <w:szCs w:val="18"/>
          <w:lang w:eastAsia="nl-NL"/>
        </w:rPr>
        <w:t xml:space="preserve">€ </w:t>
      </w:r>
      <w:r w:rsidRPr="00404EDF">
        <w:rPr>
          <w:rFonts w:asciiTheme="minorHAnsi" w:eastAsia="Times New Roman" w:hAnsiTheme="minorHAnsi" w:cs="Arial"/>
          <w:b/>
          <w:bCs/>
          <w:szCs w:val="18"/>
          <w:lang w:eastAsia="nl-NL"/>
        </w:rPr>
        <w:t>663 mln. en - € 2,3 mld.)</w:t>
      </w:r>
    </w:p>
    <w:p w:rsidR="002375F3" w:rsidRPr="00404EDF"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De raming voor de aflossingen vaste schuld is met € 5,0 mld. toegenomen. In 2015 zijn extra aflossingen gedaan op leningen die anders in 2016 en 2017 plaats zouden hebben. Hierdoor zijn de aflossingen op de schuldportefeuille de komende jaren gelijkmatiger. Door een verbetering van het kassaldo wordt dit jaar geraamd dat € 663 mln. op de geldmarkt wordt uitgezet. Eerder werd geraamd dat € 2,3 mld. op de geldmarkt moest worden aangetrokken. Het kassaldo is ten opzichte van de stand bij de 1</w:t>
      </w:r>
      <w:r w:rsidRPr="00404EDF">
        <w:rPr>
          <w:rFonts w:asciiTheme="minorHAnsi" w:eastAsia="Times New Roman" w:hAnsiTheme="minorHAnsi" w:cs="Arial"/>
          <w:szCs w:val="18"/>
          <w:vertAlign w:val="superscript"/>
          <w:lang w:eastAsia="nl-NL"/>
        </w:rPr>
        <w:t>e</w:t>
      </w:r>
      <w:r w:rsidRPr="00404EDF">
        <w:rPr>
          <w:rFonts w:asciiTheme="minorHAnsi" w:eastAsia="Times New Roman" w:hAnsiTheme="minorHAnsi" w:cs="Arial"/>
          <w:szCs w:val="18"/>
          <w:lang w:eastAsia="nl-NL"/>
        </w:rPr>
        <w:t xml:space="preserve"> suppletoire begroting sterk verbeterd, onder andere doordat ABN Amro een lening van € 1,7 mld. voortijdig heeft afgelost en de opbrengsten van de eerste tranche aandelen van ABN Amro zijn ge</w:t>
      </w:r>
      <w:r w:rsidRPr="00404EDF">
        <w:rPr>
          <w:rFonts w:asciiTheme="minorHAnsi" w:eastAsia="Times New Roman" w:hAnsiTheme="minorHAnsi" w:cs="Arial"/>
          <w:bCs/>
          <w:szCs w:val="18"/>
          <w:lang w:eastAsia="nl-NL"/>
        </w:rPr>
        <w:t>ï</w:t>
      </w:r>
      <w:r w:rsidRPr="00404EDF">
        <w:rPr>
          <w:rFonts w:asciiTheme="minorHAnsi" w:eastAsia="Times New Roman" w:hAnsiTheme="minorHAnsi" w:cs="Arial"/>
          <w:szCs w:val="18"/>
          <w:lang w:eastAsia="nl-NL"/>
        </w:rPr>
        <w:t>ncasseerd.</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Pr>
          <w:rFonts w:asciiTheme="minorHAnsi" w:eastAsia="Times New Roman" w:hAnsiTheme="minorHAnsi" w:cs="Arial"/>
          <w:b/>
          <w:bCs/>
          <w:szCs w:val="18"/>
          <w:lang w:eastAsia="nl-NL"/>
        </w:rPr>
        <w:t>Overige kosten schulduitgifte (</w:t>
      </w:r>
      <w:r w:rsidRPr="00404EDF">
        <w:rPr>
          <w:rFonts w:asciiTheme="minorHAnsi" w:eastAsia="Times New Roman" w:hAnsiTheme="minorHAnsi" w:cs="Arial"/>
          <w:b/>
          <w:bCs/>
          <w:szCs w:val="18"/>
          <w:lang w:eastAsia="nl-NL"/>
        </w:rPr>
        <w:t>€ 0  mln.)</w:t>
      </w:r>
    </w:p>
    <w:p w:rsidR="002375F3" w:rsidRPr="00404EDF"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De post overige kosten schulduitgifte bestaat voor het grootste deel uit veilingkosten voor obligaties, bankkosten voor het beheer van de staatsschuld en schatkistbankieren. Er is geen bijstelling van de raming nodig voor deze kosten.</w:t>
      </w:r>
    </w:p>
    <w:p w:rsidR="002375F3" w:rsidRPr="00404EDF" w:rsidRDefault="002375F3" w:rsidP="002375F3">
      <w:pPr>
        <w:spacing w:before="100" w:beforeAutospacing="1" w:after="100" w:afterAutospacing="1" w:line="240" w:lineRule="auto"/>
        <w:outlineLvl w:val="3"/>
        <w:rPr>
          <w:rFonts w:asciiTheme="minorHAnsi" w:eastAsia="Times New Roman" w:hAnsiTheme="minorHAnsi" w:cs="Arial"/>
          <w:b/>
          <w:bCs/>
          <w:szCs w:val="18"/>
          <w:lang w:eastAsia="nl-NL"/>
        </w:rPr>
      </w:pPr>
    </w:p>
    <w:p w:rsidR="002375F3" w:rsidRDefault="002375F3" w:rsidP="002375F3">
      <w:pPr>
        <w:rPr>
          <w:rFonts w:asciiTheme="minorHAnsi" w:eastAsia="Times New Roman" w:hAnsiTheme="minorHAnsi" w:cs="Times New Roman"/>
          <w:bCs/>
          <w:szCs w:val="18"/>
          <w:lang w:eastAsia="nl-NL"/>
        </w:rPr>
      </w:pPr>
      <w:r>
        <w:rPr>
          <w:rFonts w:asciiTheme="minorHAnsi" w:hAnsiTheme="minorHAnsi"/>
          <w:b/>
          <w:szCs w:val="18"/>
        </w:rPr>
        <w:br w:type="page"/>
      </w:r>
    </w:p>
    <w:p w:rsidR="002375F3" w:rsidRDefault="002375F3" w:rsidP="002375F3">
      <w:pPr>
        <w:pStyle w:val="Kop4"/>
        <w:spacing w:before="0" w:beforeAutospacing="0" w:after="0" w:afterAutospacing="0" w:line="240" w:lineRule="exact"/>
        <w:rPr>
          <w:rFonts w:asciiTheme="minorHAnsi" w:hAnsiTheme="minorHAnsi" w:cs="Arial"/>
          <w:sz w:val="18"/>
          <w:szCs w:val="18"/>
        </w:rPr>
      </w:pPr>
      <w:r w:rsidRPr="007C0242">
        <w:rPr>
          <w:rFonts w:asciiTheme="minorHAnsi" w:hAnsiTheme="minorHAnsi" w:cs="Arial"/>
          <w:sz w:val="18"/>
          <w:szCs w:val="18"/>
        </w:rPr>
        <w:lastRenderedPageBreak/>
        <w:t>Artikel 12 Kasbeheer</w:t>
      </w:r>
    </w:p>
    <w:p w:rsidR="002375F3" w:rsidRDefault="002375F3" w:rsidP="002375F3">
      <w:pPr>
        <w:spacing w:after="0" w:line="240" w:lineRule="exact"/>
        <w:rPr>
          <w:color w:val="1F497D"/>
          <w:szCs w:val="18"/>
        </w:rPr>
      </w:pPr>
    </w:p>
    <w:tbl>
      <w:tblPr>
        <w:tblW w:w="5800" w:type="dxa"/>
        <w:tblInd w:w="56" w:type="dxa"/>
        <w:tblCellMar>
          <w:left w:w="70" w:type="dxa"/>
          <w:right w:w="70" w:type="dxa"/>
        </w:tblCellMar>
        <w:tblLook w:val="04A0" w:firstRow="1" w:lastRow="0" w:firstColumn="1" w:lastColumn="0" w:noHBand="0" w:noVBand="1"/>
      </w:tblPr>
      <w:tblGrid>
        <w:gridCol w:w="1351"/>
        <w:gridCol w:w="1319"/>
        <w:gridCol w:w="1340"/>
        <w:gridCol w:w="895"/>
        <w:gridCol w:w="895"/>
      </w:tblGrid>
      <w:tr w:rsidR="002375F3" w:rsidRPr="00BA4D69" w:rsidTr="00D66A40">
        <w:trPr>
          <w:trHeight w:val="450"/>
        </w:trPr>
        <w:tc>
          <w:tcPr>
            <w:tcW w:w="2857" w:type="dxa"/>
            <w:gridSpan w:val="2"/>
            <w:tcBorders>
              <w:top w:val="nil"/>
              <w:left w:val="nil"/>
              <w:bottom w:val="single" w:sz="4" w:space="0" w:color="auto"/>
              <w:right w:val="nil"/>
            </w:tcBorders>
            <w:shd w:val="clear" w:color="auto" w:fill="auto"/>
            <w:vAlign w:val="bottom"/>
            <w:hideMark/>
          </w:tcPr>
          <w:p w:rsidR="002375F3" w:rsidRPr="00BA4D69" w:rsidRDefault="002375F3" w:rsidP="00D66A40">
            <w:pPr>
              <w:spacing w:after="0" w:line="240" w:lineRule="auto"/>
              <w:rPr>
                <w:rFonts w:ascii="Arial" w:eastAsia="Times New Roman" w:hAnsi="Arial" w:cs="Arial"/>
                <w:b/>
                <w:bCs/>
                <w:sz w:val="12"/>
                <w:szCs w:val="12"/>
                <w:lang w:eastAsia="nl-NL"/>
              </w:rPr>
            </w:pPr>
            <w:r w:rsidRPr="00BA4D69">
              <w:rPr>
                <w:rFonts w:ascii="Arial" w:eastAsia="Times New Roman" w:hAnsi="Arial" w:cs="Arial"/>
                <w:b/>
                <w:bCs/>
                <w:sz w:val="12"/>
                <w:szCs w:val="12"/>
                <w:lang w:eastAsia="nl-NL"/>
              </w:rPr>
              <w:t>Tabel budgettaire gevolgen (x € 1 mln.)</w:t>
            </w:r>
          </w:p>
        </w:tc>
        <w:tc>
          <w:tcPr>
            <w:tcW w:w="1340" w:type="dxa"/>
            <w:tcBorders>
              <w:top w:val="nil"/>
              <w:left w:val="nil"/>
              <w:bottom w:val="nil"/>
              <w:right w:val="nil"/>
            </w:tcBorders>
            <w:shd w:val="clear" w:color="auto" w:fill="auto"/>
            <w:noWrap/>
            <w:vAlign w:val="bottom"/>
            <w:hideMark/>
          </w:tcPr>
          <w:p w:rsidR="002375F3" w:rsidRPr="00BA4D69" w:rsidRDefault="002375F3" w:rsidP="00D66A40">
            <w:pPr>
              <w:spacing w:after="0" w:line="240" w:lineRule="auto"/>
              <w:rPr>
                <w:rFonts w:eastAsia="Times New Roman" w:cs="Times New Roman"/>
                <w:sz w:val="12"/>
                <w:szCs w:val="12"/>
                <w:lang w:eastAsia="nl-NL"/>
              </w:rPr>
            </w:pPr>
          </w:p>
        </w:tc>
        <w:tc>
          <w:tcPr>
            <w:tcW w:w="820" w:type="dxa"/>
            <w:tcBorders>
              <w:top w:val="nil"/>
              <w:left w:val="nil"/>
              <w:bottom w:val="nil"/>
              <w:right w:val="nil"/>
            </w:tcBorders>
            <w:shd w:val="clear" w:color="auto" w:fill="auto"/>
            <w:noWrap/>
            <w:vAlign w:val="bottom"/>
            <w:hideMark/>
          </w:tcPr>
          <w:p w:rsidR="002375F3" w:rsidRPr="00BA4D69" w:rsidRDefault="002375F3" w:rsidP="00D66A40">
            <w:pPr>
              <w:spacing w:after="0" w:line="240" w:lineRule="auto"/>
              <w:rPr>
                <w:rFonts w:eastAsia="Times New Roman" w:cs="Times New Roman"/>
                <w:sz w:val="12"/>
                <w:szCs w:val="12"/>
                <w:lang w:eastAsia="nl-NL"/>
              </w:rPr>
            </w:pPr>
          </w:p>
        </w:tc>
        <w:tc>
          <w:tcPr>
            <w:tcW w:w="783" w:type="dxa"/>
            <w:tcBorders>
              <w:top w:val="nil"/>
              <w:left w:val="nil"/>
              <w:bottom w:val="nil"/>
              <w:right w:val="nil"/>
            </w:tcBorders>
            <w:shd w:val="clear" w:color="auto" w:fill="auto"/>
            <w:noWrap/>
            <w:vAlign w:val="bottom"/>
            <w:hideMark/>
          </w:tcPr>
          <w:p w:rsidR="002375F3" w:rsidRPr="00BA4D69" w:rsidRDefault="002375F3" w:rsidP="00D66A40">
            <w:pPr>
              <w:spacing w:after="0" w:line="240" w:lineRule="auto"/>
              <w:rPr>
                <w:rFonts w:eastAsia="Times New Roman" w:cs="Times New Roman"/>
                <w:sz w:val="12"/>
                <w:szCs w:val="12"/>
                <w:lang w:eastAsia="nl-NL"/>
              </w:rPr>
            </w:pPr>
          </w:p>
        </w:tc>
      </w:tr>
      <w:tr w:rsidR="002375F3" w:rsidRPr="00BA4D69" w:rsidTr="00D66A40">
        <w:trPr>
          <w:trHeight w:val="1455"/>
        </w:trPr>
        <w:tc>
          <w:tcPr>
            <w:tcW w:w="1538" w:type="dxa"/>
            <w:tcBorders>
              <w:top w:val="nil"/>
              <w:left w:val="nil"/>
              <w:bottom w:val="single" w:sz="8" w:space="0" w:color="auto"/>
              <w:right w:val="nil"/>
            </w:tcBorders>
            <w:shd w:val="clear" w:color="000000" w:fill="FFFFFF"/>
            <w:vAlign w:val="bottom"/>
            <w:hideMark/>
          </w:tcPr>
          <w:p w:rsidR="002375F3" w:rsidRPr="00BA4D69" w:rsidRDefault="002375F3" w:rsidP="00D66A40">
            <w:pPr>
              <w:spacing w:after="0" w:line="240" w:lineRule="auto"/>
              <w:jc w:val="right"/>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 </w:t>
            </w:r>
          </w:p>
        </w:tc>
        <w:tc>
          <w:tcPr>
            <w:tcW w:w="1319" w:type="dxa"/>
            <w:tcBorders>
              <w:top w:val="nil"/>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4"/>
                <w:szCs w:val="14"/>
                <w:lang w:eastAsia="nl-NL"/>
              </w:rPr>
            </w:pPr>
            <w:r w:rsidRPr="00BA4D69">
              <w:rPr>
                <w:rFonts w:ascii="Arial" w:eastAsia="Times New Roman" w:hAnsi="Arial" w:cs="Arial"/>
                <w:b/>
                <w:bCs/>
                <w:sz w:val="14"/>
                <w:szCs w:val="14"/>
                <w:lang w:eastAsia="nl-NL"/>
              </w:rPr>
              <w:t>Stand</w:t>
            </w:r>
            <w:r w:rsidRPr="00BA4D69">
              <w:rPr>
                <w:rFonts w:ascii="Arial" w:eastAsia="Times New Roman" w:hAnsi="Arial" w:cs="Arial"/>
                <w:b/>
                <w:bCs/>
                <w:sz w:val="14"/>
                <w:szCs w:val="14"/>
                <w:lang w:eastAsia="nl-NL"/>
              </w:rPr>
              <w:br/>
              <w:t>vastgestelde</w:t>
            </w:r>
            <w:r w:rsidRPr="00BA4D69">
              <w:rPr>
                <w:rFonts w:ascii="Arial" w:eastAsia="Times New Roman" w:hAnsi="Arial" w:cs="Arial"/>
                <w:b/>
                <w:bCs/>
                <w:sz w:val="14"/>
                <w:szCs w:val="14"/>
                <w:lang w:eastAsia="nl-NL"/>
              </w:rPr>
              <w:br/>
              <w:t>begroting (na</w:t>
            </w:r>
            <w:r w:rsidRPr="00BA4D69">
              <w:rPr>
                <w:rFonts w:ascii="Arial" w:eastAsia="Times New Roman" w:hAnsi="Arial" w:cs="Arial"/>
                <w:b/>
                <w:bCs/>
                <w:sz w:val="14"/>
                <w:szCs w:val="14"/>
                <w:lang w:eastAsia="nl-NL"/>
              </w:rPr>
              <w:br/>
              <w:t>Nota</w:t>
            </w:r>
            <w:r w:rsidRPr="00BA4D69">
              <w:rPr>
                <w:rFonts w:ascii="Arial" w:eastAsia="Times New Roman" w:hAnsi="Arial" w:cs="Arial"/>
                <w:b/>
                <w:bCs/>
                <w:sz w:val="14"/>
                <w:szCs w:val="14"/>
                <w:lang w:eastAsia="nl-NL"/>
              </w:rPr>
              <w:br/>
              <w:t>van Wijziging,</w:t>
            </w:r>
            <w:r w:rsidRPr="00BA4D69">
              <w:rPr>
                <w:rFonts w:ascii="Arial" w:eastAsia="Times New Roman" w:hAnsi="Arial" w:cs="Arial"/>
                <w:b/>
                <w:bCs/>
                <w:sz w:val="14"/>
                <w:szCs w:val="14"/>
                <w:lang w:eastAsia="nl-NL"/>
              </w:rPr>
              <w:br/>
              <w:t>amendementen</w:t>
            </w:r>
            <w:r w:rsidRPr="00BA4D69">
              <w:rPr>
                <w:rFonts w:ascii="Arial" w:eastAsia="Times New Roman" w:hAnsi="Arial" w:cs="Arial"/>
                <w:b/>
                <w:bCs/>
                <w:sz w:val="14"/>
                <w:szCs w:val="14"/>
                <w:lang w:eastAsia="nl-NL"/>
              </w:rPr>
              <w:br/>
              <w:t>en ISB) (1)</w:t>
            </w:r>
          </w:p>
        </w:tc>
        <w:tc>
          <w:tcPr>
            <w:tcW w:w="1340" w:type="dxa"/>
            <w:tcBorders>
              <w:top w:val="single" w:sz="4" w:space="0" w:color="auto"/>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4"/>
                <w:szCs w:val="14"/>
                <w:lang w:eastAsia="nl-NL"/>
              </w:rPr>
            </w:pPr>
            <w:r w:rsidRPr="00BA4D69">
              <w:rPr>
                <w:rFonts w:ascii="Arial" w:eastAsia="Times New Roman" w:hAnsi="Arial" w:cs="Arial"/>
                <w:b/>
                <w:bCs/>
                <w:sz w:val="14"/>
                <w:szCs w:val="14"/>
                <w:lang w:eastAsia="nl-NL"/>
              </w:rPr>
              <w:t>Stand 1ste suppletoire begroting (2)</w:t>
            </w:r>
          </w:p>
        </w:tc>
        <w:tc>
          <w:tcPr>
            <w:tcW w:w="820" w:type="dxa"/>
            <w:tcBorders>
              <w:top w:val="single" w:sz="4" w:space="0" w:color="auto"/>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4"/>
                <w:szCs w:val="14"/>
                <w:lang w:eastAsia="nl-NL"/>
              </w:rPr>
            </w:pPr>
            <w:r w:rsidRPr="00BA4D69">
              <w:rPr>
                <w:rFonts w:ascii="Arial" w:eastAsia="Times New Roman" w:hAnsi="Arial" w:cs="Arial"/>
                <w:b/>
                <w:bCs/>
                <w:sz w:val="14"/>
                <w:szCs w:val="14"/>
                <w:lang w:eastAsia="nl-NL"/>
              </w:rPr>
              <w:t>Mutaties</w:t>
            </w:r>
            <w:r w:rsidRPr="00BA4D69">
              <w:rPr>
                <w:rFonts w:ascii="Arial" w:eastAsia="Times New Roman" w:hAnsi="Arial" w:cs="Arial"/>
                <w:b/>
                <w:bCs/>
                <w:sz w:val="14"/>
                <w:szCs w:val="14"/>
                <w:lang w:eastAsia="nl-NL"/>
              </w:rPr>
              <w:br/>
              <w:t>2e suppletoire</w:t>
            </w:r>
            <w:r w:rsidRPr="00BA4D69">
              <w:rPr>
                <w:rFonts w:ascii="Arial" w:eastAsia="Times New Roman" w:hAnsi="Arial" w:cs="Arial"/>
                <w:b/>
                <w:bCs/>
                <w:sz w:val="14"/>
                <w:szCs w:val="14"/>
                <w:lang w:eastAsia="nl-NL"/>
              </w:rPr>
              <w:br/>
              <w:t>begroting (3)</w:t>
            </w:r>
          </w:p>
        </w:tc>
        <w:tc>
          <w:tcPr>
            <w:tcW w:w="783" w:type="dxa"/>
            <w:tcBorders>
              <w:top w:val="single" w:sz="4" w:space="0" w:color="auto"/>
              <w:left w:val="nil"/>
              <w:bottom w:val="single" w:sz="8" w:space="0" w:color="auto"/>
              <w:right w:val="nil"/>
            </w:tcBorders>
            <w:shd w:val="clear" w:color="000000" w:fill="FFFFFF"/>
            <w:hideMark/>
          </w:tcPr>
          <w:p w:rsidR="002375F3" w:rsidRPr="00BA4D69" w:rsidRDefault="002375F3" w:rsidP="00D66A40">
            <w:pPr>
              <w:spacing w:after="0" w:line="240" w:lineRule="auto"/>
              <w:jc w:val="center"/>
              <w:rPr>
                <w:rFonts w:ascii="Arial" w:eastAsia="Times New Roman" w:hAnsi="Arial" w:cs="Arial"/>
                <w:b/>
                <w:bCs/>
                <w:sz w:val="14"/>
                <w:szCs w:val="14"/>
                <w:lang w:eastAsia="nl-NL"/>
              </w:rPr>
            </w:pPr>
            <w:r w:rsidRPr="00BA4D69">
              <w:rPr>
                <w:rFonts w:ascii="Arial" w:eastAsia="Times New Roman" w:hAnsi="Arial" w:cs="Arial"/>
                <w:b/>
                <w:bCs/>
                <w:sz w:val="14"/>
                <w:szCs w:val="14"/>
                <w:lang w:eastAsia="nl-NL"/>
              </w:rPr>
              <w:t>Stand</w:t>
            </w:r>
            <w:r w:rsidRPr="00BA4D69">
              <w:rPr>
                <w:rFonts w:ascii="Arial" w:eastAsia="Times New Roman" w:hAnsi="Arial" w:cs="Arial"/>
                <w:b/>
                <w:bCs/>
                <w:sz w:val="14"/>
                <w:szCs w:val="14"/>
                <w:lang w:eastAsia="nl-NL"/>
              </w:rPr>
              <w:br/>
              <w:t>2e suppletoire</w:t>
            </w:r>
            <w:r w:rsidRPr="00BA4D69">
              <w:rPr>
                <w:rFonts w:ascii="Arial" w:eastAsia="Times New Roman" w:hAnsi="Arial" w:cs="Arial"/>
                <w:b/>
                <w:bCs/>
                <w:sz w:val="14"/>
                <w:szCs w:val="14"/>
                <w:lang w:eastAsia="nl-NL"/>
              </w:rPr>
              <w:br/>
              <w:t>begroting</w:t>
            </w:r>
            <w:r w:rsidRPr="00BA4D69">
              <w:rPr>
                <w:rFonts w:ascii="Arial" w:eastAsia="Times New Roman" w:hAnsi="Arial" w:cs="Arial"/>
                <w:b/>
                <w:bCs/>
                <w:sz w:val="14"/>
                <w:szCs w:val="14"/>
                <w:lang w:eastAsia="nl-NL"/>
              </w:rPr>
              <w:br/>
              <w:t>(4)=(2+3)</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Uitgaven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4.359</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3.311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4.156</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7.467</w:t>
            </w:r>
          </w:p>
        </w:tc>
      </w:tr>
      <w:tr w:rsidR="002375F3" w:rsidRPr="00BA4D69" w:rsidTr="00D66A40">
        <w:trPr>
          <w:trHeight w:val="330"/>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waarvan juridisch verplicht</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100%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100%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sz w:val="12"/>
                <w:szCs w:val="12"/>
                <w:lang w:eastAsia="nl-NL"/>
              </w:rPr>
            </w:pPr>
            <w:r w:rsidRPr="00BA4D69">
              <w:rPr>
                <w:rFonts w:ascii="Arial" w:eastAsia="Times New Roman" w:hAnsi="Arial" w:cs="Arial"/>
                <w:sz w:val="12"/>
                <w:szCs w:val="12"/>
                <w:lang w:eastAsia="nl-NL"/>
              </w:rPr>
              <w:t>100%</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 </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 </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i/>
                <w:iCs/>
                <w:color w:val="000000"/>
                <w:sz w:val="12"/>
                <w:szCs w:val="12"/>
                <w:lang w:eastAsia="nl-NL"/>
              </w:rPr>
            </w:pPr>
            <w:r w:rsidRPr="00BA4D69">
              <w:rPr>
                <w:rFonts w:ascii="Arial" w:eastAsia="Times New Roman" w:hAnsi="Arial" w:cs="Arial"/>
                <w:i/>
                <w:iCs/>
                <w:color w:val="000000"/>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Rente</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53</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37</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6</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43</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Rentelasten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53</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37</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6</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43</w:t>
            </w:r>
          </w:p>
        </w:tc>
      </w:tr>
      <w:tr w:rsidR="002375F3" w:rsidRPr="00BA4D69" w:rsidTr="00D66A40">
        <w:trPr>
          <w:trHeight w:val="37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Uitgaven bij voortijdige beëindiging (hoofdsom)</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25"/>
        </w:trPr>
        <w:tc>
          <w:tcPr>
            <w:tcW w:w="1538" w:type="dxa"/>
            <w:tcBorders>
              <w:top w:val="nil"/>
              <w:left w:val="nil"/>
              <w:bottom w:val="nil"/>
              <w:right w:val="nil"/>
            </w:tcBorders>
            <w:shd w:val="clear" w:color="auto" w:fill="auto"/>
            <w:vAlign w:val="bottom"/>
            <w:hideMark/>
          </w:tcPr>
          <w:p w:rsidR="002375F3" w:rsidRPr="00BA4D69" w:rsidRDefault="002375F3" w:rsidP="00D66A40">
            <w:pPr>
              <w:spacing w:after="0" w:line="240" w:lineRule="auto"/>
              <w:rPr>
                <w:rFonts w:eastAsia="Times New Roman" w:cs="Times New Roman"/>
                <w:color w:val="000000"/>
                <w:sz w:val="12"/>
                <w:szCs w:val="12"/>
                <w:lang w:eastAsia="nl-NL"/>
              </w:rPr>
            </w:pPr>
          </w:p>
        </w:tc>
        <w:tc>
          <w:tcPr>
            <w:tcW w:w="1319" w:type="dxa"/>
            <w:tcBorders>
              <w:top w:val="nil"/>
              <w:left w:val="nil"/>
              <w:bottom w:val="nil"/>
              <w:right w:val="nil"/>
            </w:tcBorders>
            <w:shd w:val="clear" w:color="auto" w:fill="auto"/>
            <w:noWrap/>
            <w:hideMark/>
          </w:tcPr>
          <w:p w:rsidR="002375F3" w:rsidRPr="00BA4D69" w:rsidRDefault="002375F3" w:rsidP="00D66A40">
            <w:pPr>
              <w:spacing w:after="0" w:line="240" w:lineRule="auto"/>
              <w:jc w:val="right"/>
              <w:rPr>
                <w:rFonts w:eastAsia="Times New Roman" w:cs="Times New Roman"/>
                <w:color w:val="000000"/>
                <w:sz w:val="12"/>
                <w:szCs w:val="12"/>
                <w:lang w:eastAsia="nl-NL"/>
              </w:rPr>
            </w:pP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Leningen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1.250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1.150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5.669</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6.819</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Verstrekte leningen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1.250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1.150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5.669</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6.819</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49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Mutaties in rekening-courant en deposito's</w:t>
            </w:r>
          </w:p>
        </w:tc>
        <w:tc>
          <w:tcPr>
            <w:tcW w:w="1319"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3.055</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2.124</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-1.519</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605</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Agentschappen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113</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113</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proofErr w:type="spellStart"/>
            <w:r w:rsidRPr="00BA4D69">
              <w:rPr>
                <w:rFonts w:ascii="Arial" w:eastAsia="Times New Roman" w:hAnsi="Arial" w:cs="Arial"/>
                <w:color w:val="000000"/>
                <w:sz w:val="12"/>
                <w:szCs w:val="12"/>
                <w:lang w:eastAsia="nl-NL"/>
              </w:rPr>
              <w:t>RWT’s</w:t>
            </w:r>
            <w:proofErr w:type="spellEnd"/>
            <w:r w:rsidRPr="00BA4D69">
              <w:rPr>
                <w:rFonts w:ascii="Arial" w:eastAsia="Times New Roman" w:hAnsi="Arial" w:cs="Arial"/>
                <w:color w:val="000000"/>
                <w:sz w:val="12"/>
                <w:szCs w:val="12"/>
                <w:lang w:eastAsia="nl-NL"/>
              </w:rPr>
              <w:t xml:space="preserve"> en derden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Sociale fondsen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3.055</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2.124</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-1.633</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491</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Decentrale Overheden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Ontvangsten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2.732</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2.986</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7.156</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10.142</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 </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Rente</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383</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361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-80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281</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Rentebaten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383</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361</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-80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281</w:t>
            </w:r>
          </w:p>
        </w:tc>
      </w:tr>
      <w:tr w:rsidR="002375F3" w:rsidRPr="00BA4D69" w:rsidTr="00D66A40">
        <w:trPr>
          <w:trHeight w:val="360"/>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Ontvangsten bij voortijdige beëindiging</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225"/>
        </w:trPr>
        <w:tc>
          <w:tcPr>
            <w:tcW w:w="1538" w:type="dxa"/>
            <w:tcBorders>
              <w:top w:val="nil"/>
              <w:left w:val="nil"/>
              <w:bottom w:val="nil"/>
              <w:right w:val="nil"/>
            </w:tcBorders>
            <w:shd w:val="clear" w:color="000000" w:fill="FFFFFF"/>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Leningen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1.249</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1.525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4.527</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6.052</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Ontvangen aflossingen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1.249</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1.525</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4.527</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6.052</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 </w:t>
            </w:r>
          </w:p>
        </w:tc>
      </w:tr>
      <w:tr w:rsidR="002375F3" w:rsidRPr="00BA4D69" w:rsidTr="00D66A40">
        <w:trPr>
          <w:trHeight w:val="49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Mutaties in rekening-courant en deposito's</w:t>
            </w:r>
          </w:p>
        </w:tc>
        <w:tc>
          <w:tcPr>
            <w:tcW w:w="1319" w:type="dxa"/>
            <w:tcBorders>
              <w:top w:val="nil"/>
              <w:left w:val="nil"/>
              <w:bottom w:val="nil"/>
              <w:right w:val="nil"/>
            </w:tcBorders>
            <w:shd w:val="clear" w:color="000000" w:fill="FFFFFF"/>
            <w:noWrap/>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1.100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1.100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2.709</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b/>
                <w:bCs/>
                <w:color w:val="000000"/>
                <w:sz w:val="12"/>
                <w:szCs w:val="12"/>
                <w:lang w:eastAsia="nl-NL"/>
              </w:rPr>
            </w:pPr>
            <w:r w:rsidRPr="00BA4D69">
              <w:rPr>
                <w:rFonts w:ascii="Arial" w:eastAsia="Times New Roman" w:hAnsi="Arial" w:cs="Arial"/>
                <w:b/>
                <w:bCs/>
                <w:color w:val="000000"/>
                <w:sz w:val="12"/>
                <w:szCs w:val="12"/>
                <w:lang w:eastAsia="nl-NL"/>
              </w:rPr>
              <w:t>3.809</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Agentschappen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proofErr w:type="spellStart"/>
            <w:r w:rsidRPr="00BA4D69">
              <w:rPr>
                <w:rFonts w:ascii="Arial" w:eastAsia="Times New Roman" w:hAnsi="Arial" w:cs="Arial"/>
                <w:color w:val="000000"/>
                <w:sz w:val="12"/>
                <w:szCs w:val="12"/>
                <w:lang w:eastAsia="nl-NL"/>
              </w:rPr>
              <w:t>RWT’s</w:t>
            </w:r>
            <w:proofErr w:type="spellEnd"/>
            <w:r w:rsidRPr="00BA4D69">
              <w:rPr>
                <w:rFonts w:ascii="Arial" w:eastAsia="Times New Roman" w:hAnsi="Arial" w:cs="Arial"/>
                <w:color w:val="000000"/>
                <w:sz w:val="12"/>
                <w:szCs w:val="12"/>
                <w:lang w:eastAsia="nl-NL"/>
              </w:rPr>
              <w:t xml:space="preserve"> en derden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1.142</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1.142</w:t>
            </w:r>
          </w:p>
        </w:tc>
      </w:tr>
      <w:tr w:rsidR="002375F3" w:rsidRPr="00BA4D69" w:rsidTr="00D66A40">
        <w:trPr>
          <w:trHeight w:val="225"/>
        </w:trPr>
        <w:tc>
          <w:tcPr>
            <w:tcW w:w="1538" w:type="dxa"/>
            <w:tcBorders>
              <w:top w:val="nil"/>
              <w:left w:val="nil"/>
              <w:bottom w:val="nil"/>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Sociale fondsen</w:t>
            </w:r>
          </w:p>
        </w:tc>
        <w:tc>
          <w:tcPr>
            <w:tcW w:w="1319"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134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820"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c>
          <w:tcPr>
            <w:tcW w:w="783" w:type="dxa"/>
            <w:tcBorders>
              <w:top w:val="nil"/>
              <w:left w:val="nil"/>
              <w:bottom w:val="nil"/>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0</w:t>
            </w:r>
          </w:p>
        </w:tc>
      </w:tr>
      <w:tr w:rsidR="002375F3" w:rsidRPr="00BA4D69" w:rsidTr="00D66A40">
        <w:trPr>
          <w:trHeight w:val="240"/>
        </w:trPr>
        <w:tc>
          <w:tcPr>
            <w:tcW w:w="1538" w:type="dxa"/>
            <w:tcBorders>
              <w:top w:val="nil"/>
              <w:left w:val="nil"/>
              <w:bottom w:val="single" w:sz="8" w:space="0" w:color="auto"/>
              <w:right w:val="nil"/>
            </w:tcBorders>
            <w:shd w:val="clear" w:color="000000" w:fill="FFFFFF"/>
            <w:vAlign w:val="bottom"/>
            <w:hideMark/>
          </w:tcPr>
          <w:p w:rsidR="002375F3" w:rsidRPr="00BA4D69" w:rsidRDefault="002375F3" w:rsidP="00D66A40">
            <w:pPr>
              <w:spacing w:after="0" w:line="240" w:lineRule="auto"/>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Decentrale Overheden</w:t>
            </w:r>
          </w:p>
        </w:tc>
        <w:tc>
          <w:tcPr>
            <w:tcW w:w="1319" w:type="dxa"/>
            <w:tcBorders>
              <w:top w:val="nil"/>
              <w:left w:val="nil"/>
              <w:bottom w:val="single" w:sz="8" w:space="0" w:color="auto"/>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1.100</w:t>
            </w:r>
          </w:p>
        </w:tc>
        <w:tc>
          <w:tcPr>
            <w:tcW w:w="1340" w:type="dxa"/>
            <w:tcBorders>
              <w:top w:val="nil"/>
              <w:left w:val="nil"/>
              <w:bottom w:val="single" w:sz="8" w:space="0" w:color="auto"/>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1.100</w:t>
            </w:r>
          </w:p>
        </w:tc>
        <w:tc>
          <w:tcPr>
            <w:tcW w:w="820" w:type="dxa"/>
            <w:tcBorders>
              <w:top w:val="nil"/>
              <w:left w:val="nil"/>
              <w:bottom w:val="single" w:sz="8" w:space="0" w:color="auto"/>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1.567</w:t>
            </w:r>
          </w:p>
        </w:tc>
        <w:tc>
          <w:tcPr>
            <w:tcW w:w="783" w:type="dxa"/>
            <w:tcBorders>
              <w:top w:val="nil"/>
              <w:left w:val="nil"/>
              <w:bottom w:val="single" w:sz="8" w:space="0" w:color="auto"/>
              <w:right w:val="nil"/>
            </w:tcBorders>
            <w:shd w:val="clear" w:color="000000" w:fill="FFFFFF"/>
            <w:hideMark/>
          </w:tcPr>
          <w:p w:rsidR="002375F3" w:rsidRPr="00BA4D69" w:rsidRDefault="002375F3" w:rsidP="00D66A40">
            <w:pPr>
              <w:spacing w:after="0" w:line="240" w:lineRule="auto"/>
              <w:jc w:val="right"/>
              <w:rPr>
                <w:rFonts w:ascii="Arial" w:eastAsia="Times New Roman" w:hAnsi="Arial" w:cs="Arial"/>
                <w:color w:val="000000"/>
                <w:sz w:val="12"/>
                <w:szCs w:val="12"/>
                <w:lang w:eastAsia="nl-NL"/>
              </w:rPr>
            </w:pPr>
            <w:r w:rsidRPr="00BA4D69">
              <w:rPr>
                <w:rFonts w:ascii="Arial" w:eastAsia="Times New Roman" w:hAnsi="Arial" w:cs="Arial"/>
                <w:color w:val="000000"/>
                <w:sz w:val="12"/>
                <w:szCs w:val="12"/>
                <w:lang w:eastAsia="nl-NL"/>
              </w:rPr>
              <w:t>2.667</w:t>
            </w:r>
          </w:p>
        </w:tc>
      </w:tr>
    </w:tbl>
    <w:p w:rsidR="002375F3" w:rsidRDefault="002375F3" w:rsidP="002375F3">
      <w:pPr>
        <w:pStyle w:val="Geenafstand"/>
        <w:spacing w:line="240" w:lineRule="exact"/>
        <w:rPr>
          <w:rFonts w:asciiTheme="minorHAnsi" w:hAnsiTheme="minorHAnsi"/>
          <w:b/>
          <w:szCs w:val="18"/>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Toelichting</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Verplichtingen en uitgaven</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Algemeen</w:t>
      </w:r>
    </w:p>
    <w:p w:rsidR="002375F3" w:rsidRPr="00404EDF"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 xml:space="preserve">De totale uitgaven en ontvangsten zijn opgebouwd uit drie onderdelen: (1) rentelasten en rentebaten, (2) mutaties in leningen en aflossingen en (3) mutaties in rekening-courant en deposito’s. Onder de rentelasten vallen de rentebetalingen aan baten-lastendiensten, </w:t>
      </w:r>
      <w:proofErr w:type="spellStart"/>
      <w:r w:rsidRPr="00404EDF">
        <w:rPr>
          <w:rFonts w:asciiTheme="minorHAnsi" w:eastAsia="Times New Roman" w:hAnsiTheme="minorHAnsi" w:cs="Arial"/>
          <w:szCs w:val="18"/>
          <w:lang w:eastAsia="nl-NL"/>
        </w:rPr>
        <w:t>RWT’s</w:t>
      </w:r>
      <w:proofErr w:type="spellEnd"/>
      <w:r w:rsidRPr="00404EDF">
        <w:rPr>
          <w:rFonts w:asciiTheme="minorHAnsi" w:eastAsia="Times New Roman" w:hAnsiTheme="minorHAnsi" w:cs="Arial"/>
          <w:szCs w:val="18"/>
          <w:lang w:eastAsia="nl-NL"/>
        </w:rPr>
        <w:t xml:space="preserve"> en sociale fondsen over de bij het Rijk aangehouden rekening-couranttegoeden en deposito’s. De rentebaten bestaan uit renteontvangsten over aan baten-lastendiensten en </w:t>
      </w:r>
      <w:proofErr w:type="spellStart"/>
      <w:r w:rsidRPr="00404EDF">
        <w:rPr>
          <w:rFonts w:asciiTheme="minorHAnsi" w:eastAsia="Times New Roman" w:hAnsiTheme="minorHAnsi" w:cs="Arial"/>
          <w:szCs w:val="18"/>
          <w:lang w:eastAsia="nl-NL"/>
        </w:rPr>
        <w:t>RWT’s</w:t>
      </w:r>
      <w:proofErr w:type="spellEnd"/>
      <w:r w:rsidRPr="00404EDF">
        <w:rPr>
          <w:rFonts w:asciiTheme="minorHAnsi" w:eastAsia="Times New Roman" w:hAnsiTheme="minorHAnsi" w:cs="Arial"/>
          <w:szCs w:val="18"/>
          <w:lang w:eastAsia="nl-NL"/>
        </w:rPr>
        <w:t xml:space="preserve"> verstrekte leningen en de renteontvangsten over negatieve rekening-couranttegoeden. Mutaties in leningen, aflossingen, rekening-courant en deposito’s bepalen de mutaties in de schuldverhouding van het Rijk met baten-lastendiensten, </w:t>
      </w:r>
      <w:proofErr w:type="spellStart"/>
      <w:r w:rsidRPr="00404EDF">
        <w:rPr>
          <w:rFonts w:asciiTheme="minorHAnsi" w:eastAsia="Times New Roman" w:hAnsiTheme="minorHAnsi" w:cs="Arial"/>
          <w:szCs w:val="18"/>
          <w:lang w:eastAsia="nl-NL"/>
        </w:rPr>
        <w:t>RWT’s</w:t>
      </w:r>
      <w:proofErr w:type="spellEnd"/>
      <w:r w:rsidRPr="00404EDF">
        <w:rPr>
          <w:rFonts w:asciiTheme="minorHAnsi" w:eastAsia="Times New Roman" w:hAnsiTheme="minorHAnsi" w:cs="Arial"/>
          <w:szCs w:val="18"/>
          <w:lang w:eastAsia="nl-NL"/>
        </w:rPr>
        <w:t xml:space="preserve"> en sociale fondsen in het kader van geïntegreerd middelenbeheer.</w:t>
      </w: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Toelichting op de raming van de programma-uitgaven en -ontvangsten</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lastRenderedPageBreak/>
        <w:t>Rentelasten en rentebaten (+ € 6 mln. en – € 80 mln.)</w:t>
      </w:r>
    </w:p>
    <w:p w:rsidR="002375F3" w:rsidRPr="00404EDF"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De rentelasten op leningen, rekening-courantstanden en deposito’s worden bij de tweede suppletoire begroting iets hoger geraamd dan ten tijde van de 1</w:t>
      </w:r>
      <w:r w:rsidRPr="00404EDF">
        <w:rPr>
          <w:rFonts w:asciiTheme="minorHAnsi" w:eastAsia="Times New Roman" w:hAnsiTheme="minorHAnsi" w:cs="Arial"/>
          <w:szCs w:val="18"/>
          <w:vertAlign w:val="superscript"/>
          <w:lang w:eastAsia="nl-NL"/>
        </w:rPr>
        <w:t>e</w:t>
      </w:r>
      <w:r w:rsidRPr="00404EDF">
        <w:rPr>
          <w:rFonts w:asciiTheme="minorHAnsi" w:eastAsia="Times New Roman" w:hAnsiTheme="minorHAnsi" w:cs="Arial"/>
          <w:szCs w:val="18"/>
          <w:lang w:eastAsia="nl-NL"/>
        </w:rPr>
        <w:t xml:space="preserve"> suppletoire begroting. Dit wordt grotendeels verklaard doordat de </w:t>
      </w:r>
      <w:proofErr w:type="spellStart"/>
      <w:r w:rsidRPr="00404EDF">
        <w:rPr>
          <w:rFonts w:asciiTheme="minorHAnsi" w:eastAsia="Times New Roman" w:hAnsiTheme="minorHAnsi" w:cs="Arial"/>
          <w:szCs w:val="18"/>
          <w:lang w:eastAsia="nl-NL"/>
        </w:rPr>
        <w:t>RWT’s</w:t>
      </w:r>
      <w:proofErr w:type="spellEnd"/>
      <w:r w:rsidRPr="00404EDF">
        <w:rPr>
          <w:rFonts w:asciiTheme="minorHAnsi" w:eastAsia="Times New Roman" w:hAnsiTheme="minorHAnsi" w:cs="Arial"/>
          <w:szCs w:val="18"/>
          <w:lang w:eastAsia="nl-NL"/>
        </w:rPr>
        <w:t xml:space="preserve"> en decentrale overheden meer tegoeden aanhouden op hun rekening-courant. De rentebaten zijn lager uitgevallen doordat de sociale fondsen minder rood zijn gaan staan.</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 xml:space="preserve">Mutaties in rekening-courant en deposito’s (- € 1,5 mld. en + 2,7 mld.) </w:t>
      </w:r>
    </w:p>
    <w:p w:rsidR="002375F3" w:rsidRPr="00404EDF"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De mutatie aan de uitgavenkant komt grotendeels voor rekening van de Sociale Fondsen die lagere tekorten hebben op hun rekening-courant.</w:t>
      </w:r>
    </w:p>
    <w:p w:rsidR="002375F3" w:rsidRPr="00404EDF" w:rsidRDefault="002375F3" w:rsidP="002375F3">
      <w:pPr>
        <w:spacing w:after="0" w:line="240" w:lineRule="exact"/>
        <w:rPr>
          <w:rFonts w:asciiTheme="minorHAnsi" w:eastAsia="Times New Roman" w:hAnsiTheme="minorHAnsi" w:cs="Arial"/>
          <w:szCs w:val="18"/>
          <w:lang w:eastAsia="nl-NL"/>
        </w:rPr>
      </w:pPr>
      <w:r w:rsidRPr="00404EDF">
        <w:rPr>
          <w:rFonts w:asciiTheme="minorHAnsi" w:eastAsia="Times New Roman" w:hAnsiTheme="minorHAnsi" w:cs="Arial"/>
          <w:szCs w:val="18"/>
          <w:lang w:eastAsia="nl-NL"/>
        </w:rPr>
        <w:t xml:space="preserve">De mutatie aan de ontvangstenkant wordt veroorzaakt doordat zowel de </w:t>
      </w:r>
      <w:proofErr w:type="spellStart"/>
      <w:r w:rsidRPr="00404EDF">
        <w:rPr>
          <w:rFonts w:asciiTheme="minorHAnsi" w:eastAsia="Times New Roman" w:hAnsiTheme="minorHAnsi" w:cs="Arial"/>
          <w:szCs w:val="18"/>
          <w:lang w:eastAsia="nl-NL"/>
        </w:rPr>
        <w:t>RWT’s</w:t>
      </w:r>
      <w:proofErr w:type="spellEnd"/>
      <w:r w:rsidRPr="00404EDF">
        <w:rPr>
          <w:rFonts w:asciiTheme="minorHAnsi" w:eastAsia="Times New Roman" w:hAnsiTheme="minorHAnsi" w:cs="Arial"/>
          <w:szCs w:val="18"/>
          <w:lang w:eastAsia="nl-NL"/>
        </w:rPr>
        <w:t xml:space="preserve"> als de decentrale overheden meer tegoeden aanhouden op hun rekening-courant.</w:t>
      </w:r>
    </w:p>
    <w:p w:rsidR="002375F3" w:rsidRDefault="002375F3" w:rsidP="002375F3">
      <w:pPr>
        <w:spacing w:after="0" w:line="240" w:lineRule="exact"/>
        <w:outlineLvl w:val="3"/>
        <w:rPr>
          <w:rFonts w:asciiTheme="minorHAnsi" w:eastAsia="Times New Roman" w:hAnsiTheme="minorHAnsi" w:cs="Arial"/>
          <w:b/>
          <w:bCs/>
          <w:szCs w:val="18"/>
          <w:lang w:eastAsia="nl-NL"/>
        </w:rPr>
      </w:pPr>
    </w:p>
    <w:p w:rsidR="002375F3" w:rsidRPr="00404EDF" w:rsidRDefault="002375F3" w:rsidP="002375F3">
      <w:pPr>
        <w:spacing w:after="0" w:line="240" w:lineRule="exact"/>
        <w:outlineLvl w:val="3"/>
        <w:rPr>
          <w:rFonts w:asciiTheme="minorHAnsi" w:eastAsia="Times New Roman" w:hAnsiTheme="minorHAnsi" w:cs="Arial"/>
          <w:b/>
          <w:bCs/>
          <w:szCs w:val="18"/>
          <w:lang w:eastAsia="nl-NL"/>
        </w:rPr>
      </w:pPr>
      <w:r w:rsidRPr="00404EDF">
        <w:rPr>
          <w:rFonts w:asciiTheme="minorHAnsi" w:eastAsia="Times New Roman" w:hAnsiTheme="minorHAnsi" w:cs="Arial"/>
          <w:b/>
          <w:bCs/>
          <w:szCs w:val="18"/>
          <w:lang w:eastAsia="nl-NL"/>
        </w:rPr>
        <w:t>Verstrekte leningen en ontvangen aflossingen (+ € 5,7 mld. en + € 4,5 mld.)</w:t>
      </w:r>
    </w:p>
    <w:p w:rsidR="002375F3" w:rsidRPr="00404EDF" w:rsidRDefault="002375F3" w:rsidP="002375F3">
      <w:pPr>
        <w:spacing w:after="0" w:line="240" w:lineRule="exact"/>
        <w:rPr>
          <w:rFonts w:asciiTheme="minorHAnsi" w:hAnsiTheme="minorHAnsi" w:cs="Arial"/>
          <w:szCs w:val="18"/>
        </w:rPr>
      </w:pPr>
      <w:r w:rsidRPr="00404EDF">
        <w:rPr>
          <w:rFonts w:asciiTheme="minorHAnsi" w:hAnsiTheme="minorHAnsi" w:cs="Arial"/>
          <w:szCs w:val="18"/>
        </w:rPr>
        <w:t>Eerder dit jaar zijn de leningen van het Rijksvastgoedbedrijf geherstructureerd (in totaal ca. € 4,5 mld.). Dit bedrag be</w:t>
      </w:r>
      <w:r w:rsidRPr="00404EDF">
        <w:rPr>
          <w:rFonts w:asciiTheme="minorHAnsi" w:eastAsia="Times New Roman" w:hAnsiTheme="minorHAnsi" w:cs="Arial"/>
          <w:bCs/>
          <w:szCs w:val="18"/>
          <w:lang w:eastAsia="nl-NL"/>
        </w:rPr>
        <w:t>ï</w:t>
      </w:r>
      <w:r w:rsidRPr="00404EDF">
        <w:rPr>
          <w:rFonts w:asciiTheme="minorHAnsi" w:hAnsiTheme="minorHAnsi" w:cs="Arial"/>
          <w:szCs w:val="18"/>
        </w:rPr>
        <w:t xml:space="preserve">nvloedt deze begroting aanzienlijk doordat  de oude leningen eerst volledig zijn afgelost waarna nieuwe leningen zijn opgevoerd. Daarnaast zijn ook meer leningen verstrekt aan de </w:t>
      </w:r>
      <w:proofErr w:type="spellStart"/>
      <w:r w:rsidRPr="00404EDF">
        <w:rPr>
          <w:rFonts w:asciiTheme="minorHAnsi" w:hAnsiTheme="minorHAnsi" w:cs="Arial"/>
          <w:szCs w:val="18"/>
        </w:rPr>
        <w:t>RWT’s</w:t>
      </w:r>
      <w:proofErr w:type="spellEnd"/>
      <w:r w:rsidRPr="00404EDF">
        <w:rPr>
          <w:rFonts w:asciiTheme="minorHAnsi" w:hAnsiTheme="minorHAnsi" w:cs="Arial"/>
          <w:szCs w:val="18"/>
        </w:rPr>
        <w:t>.</w:t>
      </w:r>
    </w:p>
    <w:p w:rsidR="002375F3" w:rsidRDefault="002375F3" w:rsidP="002375F3">
      <w:pPr>
        <w:rPr>
          <w:rFonts w:ascii="Arial" w:hAnsi="Arial" w:cs="Arial"/>
          <w:sz w:val="20"/>
          <w:szCs w:val="20"/>
        </w:rPr>
      </w:pPr>
    </w:p>
    <w:p w:rsidR="002375F3" w:rsidRPr="001C6635" w:rsidRDefault="002375F3" w:rsidP="002375F3">
      <w:pPr>
        <w:pStyle w:val="Geenafstand"/>
        <w:spacing w:line="240" w:lineRule="exact"/>
        <w:rPr>
          <w:rFonts w:asciiTheme="minorHAnsi" w:hAnsiTheme="minorHAnsi"/>
          <w:b/>
          <w:szCs w:val="18"/>
        </w:rPr>
      </w:pPr>
    </w:p>
    <w:p w:rsidR="009E7070" w:rsidRDefault="009E7070">
      <w:bookmarkStart w:id="0" w:name="_GoBack"/>
      <w:bookmarkEnd w:id="0"/>
    </w:p>
    <w:sectPr w:rsidR="009E7070" w:rsidSect="00A17C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315DF"/>
    <w:multiLevelType w:val="hybridMultilevel"/>
    <w:tmpl w:val="A23C7B0A"/>
    <w:lvl w:ilvl="0" w:tplc="0409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E9627C8"/>
    <w:multiLevelType w:val="hybridMultilevel"/>
    <w:tmpl w:val="3DF2B900"/>
    <w:lvl w:ilvl="0" w:tplc="13FE4C5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7D326E"/>
    <w:multiLevelType w:val="hybridMultilevel"/>
    <w:tmpl w:val="583A1FAA"/>
    <w:lvl w:ilvl="0" w:tplc="DA3CCD6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7F869A2"/>
    <w:multiLevelType w:val="hybridMultilevel"/>
    <w:tmpl w:val="80CA58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0024E6"/>
    <w:multiLevelType w:val="hybridMultilevel"/>
    <w:tmpl w:val="8E92DA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10F1A0E"/>
    <w:multiLevelType w:val="hybridMultilevel"/>
    <w:tmpl w:val="87D8D98E"/>
    <w:lvl w:ilvl="0" w:tplc="1780E1C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53006B7"/>
    <w:multiLevelType w:val="hybridMultilevel"/>
    <w:tmpl w:val="F4E8F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D0C6A4D"/>
    <w:multiLevelType w:val="hybridMultilevel"/>
    <w:tmpl w:val="AB100790"/>
    <w:lvl w:ilvl="0" w:tplc="88C21DF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F3"/>
    <w:rsid w:val="002375F3"/>
    <w:rsid w:val="00485333"/>
    <w:rsid w:val="004F79F1"/>
    <w:rsid w:val="009E7070"/>
    <w:rsid w:val="00A54391"/>
    <w:rsid w:val="00F6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75F3"/>
    <w:pPr>
      <w:spacing w:after="200" w:line="276" w:lineRule="auto"/>
    </w:pPr>
    <w:rPr>
      <w:rFonts w:ascii="Verdana" w:eastAsiaTheme="minorHAnsi" w:hAnsi="Verdana" w:cstheme="minorBidi"/>
      <w:sz w:val="18"/>
      <w:szCs w:val="22"/>
      <w:lang w:eastAsia="en-US"/>
    </w:rPr>
  </w:style>
  <w:style w:type="paragraph" w:styleId="Kop1">
    <w:name w:val="heading 1"/>
    <w:basedOn w:val="Standaard"/>
    <w:next w:val="Standaard"/>
    <w:link w:val="Kop1Char"/>
    <w:uiPriority w:val="9"/>
    <w:qFormat/>
    <w:rsid w:val="00237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237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375F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2375F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5F3"/>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semiHidden/>
    <w:rsid w:val="002375F3"/>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2375F3"/>
    <w:rPr>
      <w:rFonts w:asciiTheme="majorHAnsi" w:eastAsiaTheme="majorEastAsia" w:hAnsiTheme="majorHAnsi" w:cstheme="majorBidi"/>
      <w:b/>
      <w:bCs/>
      <w:color w:val="4F81BD" w:themeColor="accent1"/>
      <w:sz w:val="18"/>
      <w:szCs w:val="22"/>
      <w:lang w:eastAsia="en-US"/>
    </w:rPr>
  </w:style>
  <w:style w:type="character" w:customStyle="1" w:styleId="Kop4Char">
    <w:name w:val="Kop 4 Char"/>
    <w:basedOn w:val="Standaardalinea-lettertype"/>
    <w:link w:val="Kop4"/>
    <w:uiPriority w:val="9"/>
    <w:rsid w:val="002375F3"/>
    <w:rPr>
      <w:b/>
      <w:bCs/>
      <w:sz w:val="24"/>
      <w:szCs w:val="24"/>
    </w:rPr>
  </w:style>
  <w:style w:type="paragraph" w:styleId="Geenafstand">
    <w:name w:val="No Spacing"/>
    <w:uiPriority w:val="1"/>
    <w:qFormat/>
    <w:rsid w:val="002375F3"/>
    <w:rPr>
      <w:rFonts w:ascii="Verdana" w:eastAsiaTheme="minorHAnsi" w:hAnsi="Verdana" w:cstheme="minorBidi"/>
      <w:sz w:val="18"/>
      <w:szCs w:val="22"/>
      <w:lang w:eastAsia="en-US"/>
    </w:rPr>
  </w:style>
  <w:style w:type="paragraph" w:styleId="Koptekst">
    <w:name w:val="header"/>
    <w:basedOn w:val="Standaard"/>
    <w:link w:val="KoptekstChar"/>
    <w:unhideWhenUsed/>
    <w:rsid w:val="002375F3"/>
    <w:pPr>
      <w:tabs>
        <w:tab w:val="center" w:pos="4536"/>
        <w:tab w:val="right" w:pos="9072"/>
      </w:tabs>
      <w:spacing w:after="0" w:line="240" w:lineRule="auto"/>
    </w:pPr>
  </w:style>
  <w:style w:type="character" w:customStyle="1" w:styleId="KoptekstChar">
    <w:name w:val="Koptekst Char"/>
    <w:basedOn w:val="Standaardalinea-lettertype"/>
    <w:link w:val="Koptekst"/>
    <w:rsid w:val="002375F3"/>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2375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75F3"/>
    <w:rPr>
      <w:rFonts w:ascii="Verdana" w:eastAsiaTheme="minorHAnsi" w:hAnsi="Verdana" w:cstheme="minorBidi"/>
      <w:sz w:val="18"/>
      <w:szCs w:val="22"/>
      <w:lang w:eastAsia="en-US"/>
    </w:rPr>
  </w:style>
  <w:style w:type="paragraph" w:styleId="Voetnoottekst">
    <w:name w:val="footnote text"/>
    <w:basedOn w:val="Standaard"/>
    <w:link w:val="VoetnoottekstChar"/>
    <w:uiPriority w:val="99"/>
    <w:unhideWhenUsed/>
    <w:rsid w:val="002375F3"/>
    <w:pPr>
      <w:spacing w:after="0" w:line="240" w:lineRule="auto"/>
    </w:pPr>
    <w:rPr>
      <w:sz w:val="20"/>
      <w:szCs w:val="20"/>
    </w:rPr>
  </w:style>
  <w:style w:type="character" w:customStyle="1" w:styleId="VoetnoottekstChar">
    <w:name w:val="Voetnoottekst Char"/>
    <w:basedOn w:val="Standaardalinea-lettertype"/>
    <w:link w:val="Voetnoottekst"/>
    <w:uiPriority w:val="99"/>
    <w:rsid w:val="002375F3"/>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2375F3"/>
    <w:rPr>
      <w:vertAlign w:val="superscript"/>
    </w:rPr>
  </w:style>
  <w:style w:type="paragraph" w:styleId="Normaalweb">
    <w:name w:val="Normal (Web)"/>
    <w:basedOn w:val="Standaard"/>
    <w:uiPriority w:val="99"/>
    <w:unhideWhenUse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375F3"/>
    <w:pPr>
      <w:ind w:left="720"/>
      <w:contextualSpacing/>
    </w:pPr>
  </w:style>
  <w:style w:type="character" w:styleId="Subtielebenadrukking">
    <w:name w:val="Subtle Emphasis"/>
    <w:basedOn w:val="Standaardalinea-lettertype"/>
    <w:uiPriority w:val="19"/>
    <w:qFormat/>
    <w:rsid w:val="002375F3"/>
    <w:rPr>
      <w:i/>
      <w:iCs/>
      <w:color w:val="808080" w:themeColor="text1" w:themeTint="7F"/>
    </w:rPr>
  </w:style>
  <w:style w:type="character" w:styleId="Verwijzingopmerking">
    <w:name w:val="annotation reference"/>
    <w:basedOn w:val="Standaardalinea-lettertype"/>
    <w:uiPriority w:val="99"/>
    <w:unhideWhenUsed/>
    <w:rsid w:val="002375F3"/>
    <w:rPr>
      <w:sz w:val="16"/>
      <w:szCs w:val="16"/>
    </w:rPr>
  </w:style>
  <w:style w:type="paragraph" w:styleId="Tekstopmerking">
    <w:name w:val="annotation text"/>
    <w:basedOn w:val="Standaard"/>
    <w:link w:val="TekstopmerkingChar"/>
    <w:uiPriority w:val="99"/>
    <w:unhideWhenUsed/>
    <w:rsid w:val="002375F3"/>
    <w:pPr>
      <w:spacing w:line="240" w:lineRule="auto"/>
    </w:pPr>
    <w:rPr>
      <w:sz w:val="20"/>
      <w:szCs w:val="20"/>
    </w:rPr>
  </w:style>
  <w:style w:type="character" w:customStyle="1" w:styleId="TekstopmerkingChar">
    <w:name w:val="Tekst opmerking Char"/>
    <w:basedOn w:val="Standaardalinea-lettertype"/>
    <w:link w:val="Tekstopmerking"/>
    <w:uiPriority w:val="99"/>
    <w:rsid w:val="002375F3"/>
    <w:rPr>
      <w:rFonts w:ascii="Verdana" w:eastAsiaTheme="minorHAnsi" w:hAnsi="Verdana" w:cstheme="minorBidi"/>
      <w:lang w:eastAsia="en-US"/>
    </w:rPr>
  </w:style>
  <w:style w:type="paragraph" w:styleId="Ballontekst">
    <w:name w:val="Balloon Text"/>
    <w:basedOn w:val="Standaard"/>
    <w:link w:val="BallontekstChar"/>
    <w:uiPriority w:val="99"/>
    <w:unhideWhenUsed/>
    <w:rsid w:val="002375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2375F3"/>
    <w:rPr>
      <w:rFonts w:ascii="Tahoma" w:eastAsiaTheme="minorHAnsi" w:hAnsi="Tahoma" w:cs="Tahoma"/>
      <w:sz w:val="16"/>
      <w:szCs w:val="16"/>
      <w:lang w:eastAsia="en-US"/>
    </w:rPr>
  </w:style>
  <w:style w:type="paragraph" w:customStyle="1" w:styleId="stuknr">
    <w:name w:val="stuknr"/>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tumtekst">
    <w:name w:val="datumtekst"/>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j">
    <w:name w:val="wij"/>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sideransal">
    <w:name w:val="considerans.al"/>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2375F3"/>
  </w:style>
  <w:style w:type="character" w:customStyle="1" w:styleId="nr">
    <w:name w:val="nr"/>
    <w:basedOn w:val="Standaardalinea-lettertype"/>
    <w:rsid w:val="002375F3"/>
  </w:style>
  <w:style w:type="paragraph" w:customStyle="1" w:styleId="ondertekening">
    <w:name w:val="ondertekening"/>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inspringen">
    <w:name w:val="Body Text Indent"/>
    <w:basedOn w:val="Standaard"/>
    <w:link w:val="PlattetekstinspringenChar"/>
    <w:rsid w:val="002375F3"/>
    <w:pPr>
      <w:spacing w:after="120" w:line="240" w:lineRule="auto"/>
      <w:ind w:left="283"/>
    </w:pPr>
    <w:rPr>
      <w:rFonts w:ascii="Arial" w:eastAsia="Times New Roman" w:hAnsi="Arial" w:cs="Times New Roman"/>
      <w:sz w:val="20"/>
      <w:szCs w:val="20"/>
      <w:lang w:val="nl" w:eastAsia="nl-NL"/>
    </w:rPr>
  </w:style>
  <w:style w:type="character" w:customStyle="1" w:styleId="PlattetekstinspringenChar">
    <w:name w:val="Platte tekst inspringen Char"/>
    <w:basedOn w:val="Standaardalinea-lettertype"/>
    <w:link w:val="Plattetekstinspringen"/>
    <w:rsid w:val="002375F3"/>
    <w:rPr>
      <w:rFonts w:ascii="Arial" w:hAnsi="Arial"/>
      <w:lang w:val="nl"/>
    </w:rPr>
  </w:style>
  <w:style w:type="paragraph" w:styleId="Onderwerpvanopmerking">
    <w:name w:val="annotation subject"/>
    <w:basedOn w:val="Tekstopmerking"/>
    <w:next w:val="Tekstopmerking"/>
    <w:link w:val="OnderwerpvanopmerkingChar"/>
    <w:uiPriority w:val="99"/>
    <w:unhideWhenUsed/>
    <w:rsid w:val="002375F3"/>
    <w:rPr>
      <w:b/>
      <w:bCs/>
    </w:rPr>
  </w:style>
  <w:style w:type="character" w:customStyle="1" w:styleId="OnderwerpvanopmerkingChar">
    <w:name w:val="Onderwerp van opmerking Char"/>
    <w:basedOn w:val="TekstopmerkingChar"/>
    <w:link w:val="Onderwerpvanopmerking"/>
    <w:uiPriority w:val="99"/>
    <w:rsid w:val="002375F3"/>
    <w:rPr>
      <w:rFonts w:ascii="Verdana" w:eastAsiaTheme="minorHAnsi" w:hAnsi="Verdana" w:cstheme="minorBidi"/>
      <w:b/>
      <w:bCs/>
      <w:lang w:eastAsia="en-US"/>
    </w:rPr>
  </w:style>
  <w:style w:type="character" w:styleId="Zwaar">
    <w:name w:val="Strong"/>
    <w:basedOn w:val="Standaardalinea-lettertype"/>
    <w:uiPriority w:val="22"/>
    <w:qFormat/>
    <w:rsid w:val="002375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75F3"/>
    <w:pPr>
      <w:spacing w:after="200" w:line="276" w:lineRule="auto"/>
    </w:pPr>
    <w:rPr>
      <w:rFonts w:ascii="Verdana" w:eastAsiaTheme="minorHAnsi" w:hAnsi="Verdana" w:cstheme="minorBidi"/>
      <w:sz w:val="18"/>
      <w:szCs w:val="22"/>
      <w:lang w:eastAsia="en-US"/>
    </w:rPr>
  </w:style>
  <w:style w:type="paragraph" w:styleId="Kop1">
    <w:name w:val="heading 1"/>
    <w:basedOn w:val="Standaard"/>
    <w:next w:val="Standaard"/>
    <w:link w:val="Kop1Char"/>
    <w:uiPriority w:val="9"/>
    <w:qFormat/>
    <w:rsid w:val="00237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2375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375F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link w:val="Kop4Char"/>
    <w:uiPriority w:val="9"/>
    <w:qFormat/>
    <w:rsid w:val="002375F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5F3"/>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semiHidden/>
    <w:rsid w:val="002375F3"/>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2375F3"/>
    <w:rPr>
      <w:rFonts w:asciiTheme="majorHAnsi" w:eastAsiaTheme="majorEastAsia" w:hAnsiTheme="majorHAnsi" w:cstheme="majorBidi"/>
      <w:b/>
      <w:bCs/>
      <w:color w:val="4F81BD" w:themeColor="accent1"/>
      <w:sz w:val="18"/>
      <w:szCs w:val="22"/>
      <w:lang w:eastAsia="en-US"/>
    </w:rPr>
  </w:style>
  <w:style w:type="character" w:customStyle="1" w:styleId="Kop4Char">
    <w:name w:val="Kop 4 Char"/>
    <w:basedOn w:val="Standaardalinea-lettertype"/>
    <w:link w:val="Kop4"/>
    <w:uiPriority w:val="9"/>
    <w:rsid w:val="002375F3"/>
    <w:rPr>
      <w:b/>
      <w:bCs/>
      <w:sz w:val="24"/>
      <w:szCs w:val="24"/>
    </w:rPr>
  </w:style>
  <w:style w:type="paragraph" w:styleId="Geenafstand">
    <w:name w:val="No Spacing"/>
    <w:uiPriority w:val="1"/>
    <w:qFormat/>
    <w:rsid w:val="002375F3"/>
    <w:rPr>
      <w:rFonts w:ascii="Verdana" w:eastAsiaTheme="minorHAnsi" w:hAnsi="Verdana" w:cstheme="minorBidi"/>
      <w:sz w:val="18"/>
      <w:szCs w:val="22"/>
      <w:lang w:eastAsia="en-US"/>
    </w:rPr>
  </w:style>
  <w:style w:type="paragraph" w:styleId="Koptekst">
    <w:name w:val="header"/>
    <w:basedOn w:val="Standaard"/>
    <w:link w:val="KoptekstChar"/>
    <w:unhideWhenUsed/>
    <w:rsid w:val="002375F3"/>
    <w:pPr>
      <w:tabs>
        <w:tab w:val="center" w:pos="4536"/>
        <w:tab w:val="right" w:pos="9072"/>
      </w:tabs>
      <w:spacing w:after="0" w:line="240" w:lineRule="auto"/>
    </w:pPr>
  </w:style>
  <w:style w:type="character" w:customStyle="1" w:styleId="KoptekstChar">
    <w:name w:val="Koptekst Char"/>
    <w:basedOn w:val="Standaardalinea-lettertype"/>
    <w:link w:val="Koptekst"/>
    <w:rsid w:val="002375F3"/>
    <w:rPr>
      <w:rFonts w:ascii="Verdana" w:eastAsiaTheme="minorHAnsi" w:hAnsi="Verdana" w:cstheme="minorBidi"/>
      <w:sz w:val="18"/>
      <w:szCs w:val="22"/>
      <w:lang w:eastAsia="en-US"/>
    </w:rPr>
  </w:style>
  <w:style w:type="paragraph" w:styleId="Voettekst">
    <w:name w:val="footer"/>
    <w:basedOn w:val="Standaard"/>
    <w:link w:val="VoettekstChar"/>
    <w:uiPriority w:val="99"/>
    <w:unhideWhenUsed/>
    <w:rsid w:val="002375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75F3"/>
    <w:rPr>
      <w:rFonts w:ascii="Verdana" w:eastAsiaTheme="minorHAnsi" w:hAnsi="Verdana" w:cstheme="minorBidi"/>
      <w:sz w:val="18"/>
      <w:szCs w:val="22"/>
      <w:lang w:eastAsia="en-US"/>
    </w:rPr>
  </w:style>
  <w:style w:type="paragraph" w:styleId="Voetnoottekst">
    <w:name w:val="footnote text"/>
    <w:basedOn w:val="Standaard"/>
    <w:link w:val="VoetnoottekstChar"/>
    <w:uiPriority w:val="99"/>
    <w:unhideWhenUsed/>
    <w:rsid w:val="002375F3"/>
    <w:pPr>
      <w:spacing w:after="0" w:line="240" w:lineRule="auto"/>
    </w:pPr>
    <w:rPr>
      <w:sz w:val="20"/>
      <w:szCs w:val="20"/>
    </w:rPr>
  </w:style>
  <w:style w:type="character" w:customStyle="1" w:styleId="VoetnoottekstChar">
    <w:name w:val="Voetnoottekst Char"/>
    <w:basedOn w:val="Standaardalinea-lettertype"/>
    <w:link w:val="Voetnoottekst"/>
    <w:uiPriority w:val="99"/>
    <w:rsid w:val="002375F3"/>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2375F3"/>
    <w:rPr>
      <w:vertAlign w:val="superscript"/>
    </w:rPr>
  </w:style>
  <w:style w:type="paragraph" w:styleId="Normaalweb">
    <w:name w:val="Normal (Web)"/>
    <w:basedOn w:val="Standaard"/>
    <w:uiPriority w:val="99"/>
    <w:unhideWhenUse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375F3"/>
    <w:pPr>
      <w:ind w:left="720"/>
      <w:contextualSpacing/>
    </w:pPr>
  </w:style>
  <w:style w:type="character" w:styleId="Subtielebenadrukking">
    <w:name w:val="Subtle Emphasis"/>
    <w:basedOn w:val="Standaardalinea-lettertype"/>
    <w:uiPriority w:val="19"/>
    <w:qFormat/>
    <w:rsid w:val="002375F3"/>
    <w:rPr>
      <w:i/>
      <w:iCs/>
      <w:color w:val="808080" w:themeColor="text1" w:themeTint="7F"/>
    </w:rPr>
  </w:style>
  <w:style w:type="character" w:styleId="Verwijzingopmerking">
    <w:name w:val="annotation reference"/>
    <w:basedOn w:val="Standaardalinea-lettertype"/>
    <w:uiPriority w:val="99"/>
    <w:unhideWhenUsed/>
    <w:rsid w:val="002375F3"/>
    <w:rPr>
      <w:sz w:val="16"/>
      <w:szCs w:val="16"/>
    </w:rPr>
  </w:style>
  <w:style w:type="paragraph" w:styleId="Tekstopmerking">
    <w:name w:val="annotation text"/>
    <w:basedOn w:val="Standaard"/>
    <w:link w:val="TekstopmerkingChar"/>
    <w:uiPriority w:val="99"/>
    <w:unhideWhenUsed/>
    <w:rsid w:val="002375F3"/>
    <w:pPr>
      <w:spacing w:line="240" w:lineRule="auto"/>
    </w:pPr>
    <w:rPr>
      <w:sz w:val="20"/>
      <w:szCs w:val="20"/>
    </w:rPr>
  </w:style>
  <w:style w:type="character" w:customStyle="1" w:styleId="TekstopmerkingChar">
    <w:name w:val="Tekst opmerking Char"/>
    <w:basedOn w:val="Standaardalinea-lettertype"/>
    <w:link w:val="Tekstopmerking"/>
    <w:uiPriority w:val="99"/>
    <w:rsid w:val="002375F3"/>
    <w:rPr>
      <w:rFonts w:ascii="Verdana" w:eastAsiaTheme="minorHAnsi" w:hAnsi="Verdana" w:cstheme="minorBidi"/>
      <w:lang w:eastAsia="en-US"/>
    </w:rPr>
  </w:style>
  <w:style w:type="paragraph" w:styleId="Ballontekst">
    <w:name w:val="Balloon Text"/>
    <w:basedOn w:val="Standaard"/>
    <w:link w:val="BallontekstChar"/>
    <w:uiPriority w:val="99"/>
    <w:unhideWhenUsed/>
    <w:rsid w:val="002375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2375F3"/>
    <w:rPr>
      <w:rFonts w:ascii="Tahoma" w:eastAsiaTheme="minorHAnsi" w:hAnsi="Tahoma" w:cs="Tahoma"/>
      <w:sz w:val="16"/>
      <w:szCs w:val="16"/>
      <w:lang w:eastAsia="en-US"/>
    </w:rPr>
  </w:style>
  <w:style w:type="paragraph" w:customStyle="1" w:styleId="stuknr">
    <w:name w:val="stuknr"/>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atumtekst">
    <w:name w:val="datumtekst"/>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j">
    <w:name w:val="wij"/>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sideransal">
    <w:name w:val="considerans.al"/>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2375F3"/>
  </w:style>
  <w:style w:type="character" w:customStyle="1" w:styleId="nr">
    <w:name w:val="nr"/>
    <w:basedOn w:val="Standaardalinea-lettertype"/>
    <w:rsid w:val="002375F3"/>
  </w:style>
  <w:style w:type="paragraph" w:customStyle="1" w:styleId="ondertekening">
    <w:name w:val="ondertekening"/>
    <w:basedOn w:val="Standaard"/>
    <w:rsid w:val="002375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inspringen">
    <w:name w:val="Body Text Indent"/>
    <w:basedOn w:val="Standaard"/>
    <w:link w:val="PlattetekstinspringenChar"/>
    <w:rsid w:val="002375F3"/>
    <w:pPr>
      <w:spacing w:after="120" w:line="240" w:lineRule="auto"/>
      <w:ind w:left="283"/>
    </w:pPr>
    <w:rPr>
      <w:rFonts w:ascii="Arial" w:eastAsia="Times New Roman" w:hAnsi="Arial" w:cs="Times New Roman"/>
      <w:sz w:val="20"/>
      <w:szCs w:val="20"/>
      <w:lang w:val="nl" w:eastAsia="nl-NL"/>
    </w:rPr>
  </w:style>
  <w:style w:type="character" w:customStyle="1" w:styleId="PlattetekstinspringenChar">
    <w:name w:val="Platte tekst inspringen Char"/>
    <w:basedOn w:val="Standaardalinea-lettertype"/>
    <w:link w:val="Plattetekstinspringen"/>
    <w:rsid w:val="002375F3"/>
    <w:rPr>
      <w:rFonts w:ascii="Arial" w:hAnsi="Arial"/>
      <w:lang w:val="nl"/>
    </w:rPr>
  </w:style>
  <w:style w:type="paragraph" w:styleId="Onderwerpvanopmerking">
    <w:name w:val="annotation subject"/>
    <w:basedOn w:val="Tekstopmerking"/>
    <w:next w:val="Tekstopmerking"/>
    <w:link w:val="OnderwerpvanopmerkingChar"/>
    <w:uiPriority w:val="99"/>
    <w:unhideWhenUsed/>
    <w:rsid w:val="002375F3"/>
    <w:rPr>
      <w:b/>
      <w:bCs/>
    </w:rPr>
  </w:style>
  <w:style w:type="character" w:customStyle="1" w:styleId="OnderwerpvanopmerkingChar">
    <w:name w:val="Onderwerp van opmerking Char"/>
    <w:basedOn w:val="TekstopmerkingChar"/>
    <w:link w:val="Onderwerpvanopmerking"/>
    <w:uiPriority w:val="99"/>
    <w:rsid w:val="002375F3"/>
    <w:rPr>
      <w:rFonts w:ascii="Verdana" w:eastAsiaTheme="minorHAnsi" w:hAnsi="Verdana" w:cstheme="minorBidi"/>
      <w:b/>
      <w:bCs/>
      <w:lang w:eastAsia="en-US"/>
    </w:rPr>
  </w:style>
  <w:style w:type="character" w:styleId="Zwaar">
    <w:name w:val="Strong"/>
    <w:basedOn w:val="Standaardalinea-lettertype"/>
    <w:uiPriority w:val="22"/>
    <w:qFormat/>
    <w:rsid w:val="00237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A609F5A79564ABA68DB667FABBECE" ma:contentTypeVersion="0" ma:contentTypeDescription="Een nieuw document maken." ma:contentTypeScope="" ma:versionID="d98511a38ae12f1bbab75ab6665d543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A6A0F-BD10-4069-8245-A27D98BFD35F}"/>
</file>

<file path=customXml/itemProps2.xml><?xml version="1.0" encoding="utf-8"?>
<ds:datastoreItem xmlns:ds="http://schemas.openxmlformats.org/officeDocument/2006/customXml" ds:itemID="{E09B450C-4079-4489-90D0-46CB0CC10447}"/>
</file>

<file path=customXml/itemProps3.xml><?xml version="1.0" encoding="utf-8"?>
<ds:datastoreItem xmlns:ds="http://schemas.openxmlformats.org/officeDocument/2006/customXml" ds:itemID="{DA2D5FA3-D087-4C96-AEDE-8D62C8D0BDB1}"/>
</file>

<file path=docProps/app.xml><?xml version="1.0" encoding="utf-8"?>
<Properties xmlns="http://schemas.openxmlformats.org/officeDocument/2006/extended-properties" xmlns:vt="http://schemas.openxmlformats.org/officeDocument/2006/docPropsVTypes">
  <Template>86F5D30C.dotm</Template>
  <TotalTime>0</TotalTime>
  <Pages>24</Pages>
  <Words>6618</Words>
  <Characters>36401</Characters>
  <Application>Microsoft Office Word</Application>
  <DocSecurity>0</DocSecurity>
  <Lines>303</Lines>
  <Paragraphs>85</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2015-11-30T15:34:00Z</dcterms:created>
  <dcterms:modified xsi:type="dcterms:W3CDTF">2015-11-30T15:34:00Z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0x0101002D8A609F5A79564ABA68DB667FABBECE</vt:lpwstr>
  </property>
</Properties>
</file>