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45A" w:rsidRPr="00B95CC8" w:rsidRDefault="006F445A" w:rsidP="006F445A">
      <w:pPr>
        <w:rPr>
          <w:rFonts w:ascii="Verdana" w:hAnsi="Verdana"/>
          <w:bCs/>
          <w:color w:val="000000"/>
        </w:rPr>
      </w:pPr>
      <w:r w:rsidRPr="00B95CC8">
        <w:rPr>
          <w:rFonts w:ascii="Verdana" w:hAnsi="Verdana"/>
          <w:b/>
          <w:bCs/>
          <w:color w:val="000000"/>
        </w:rPr>
        <w:t>Wijziging van de begrotingsstaat van het Ministerie van Infrastructuur en Milieu (XII) voor het jaar 2015 (wijziging samenhangende met de Voorjaarsnota)</w:t>
      </w:r>
    </w:p>
    <w:p w:rsidR="006F445A" w:rsidRPr="00B95CC8" w:rsidRDefault="006F445A" w:rsidP="006F445A">
      <w:pPr>
        <w:rPr>
          <w:rFonts w:ascii="Verdana" w:hAnsi="Verdana"/>
          <w:color w:val="000000"/>
        </w:rPr>
      </w:pPr>
    </w:p>
    <w:p w:rsidR="006F445A" w:rsidRPr="00B95CC8" w:rsidRDefault="006F445A" w:rsidP="006F445A">
      <w:pPr>
        <w:rPr>
          <w:rFonts w:ascii="Verdana" w:hAnsi="Verdana"/>
          <w:color w:val="000000"/>
        </w:rPr>
      </w:pPr>
    </w:p>
    <w:p w:rsidR="006F445A" w:rsidRPr="00B95CC8" w:rsidRDefault="006F445A" w:rsidP="006F445A">
      <w:pPr>
        <w:rPr>
          <w:rFonts w:ascii="Verdana" w:hAnsi="Verdana"/>
          <w:color w:val="000000"/>
        </w:rPr>
      </w:pPr>
    </w:p>
    <w:p w:rsidR="006F445A" w:rsidRPr="00B95CC8" w:rsidRDefault="006F445A" w:rsidP="006F445A">
      <w:pPr>
        <w:rPr>
          <w:rFonts w:ascii="Verdana" w:hAnsi="Verdana"/>
          <w:color w:val="000000"/>
        </w:rPr>
      </w:pPr>
    </w:p>
    <w:p w:rsidR="006F445A" w:rsidRPr="00B95CC8" w:rsidRDefault="006F445A" w:rsidP="006F445A">
      <w:pPr>
        <w:pStyle w:val="Kop7"/>
        <w:ind w:left="0"/>
      </w:pPr>
      <w:r w:rsidRPr="00B95CC8">
        <w:t>MEMORIE VAN TOELICHTING</w:t>
      </w:r>
    </w:p>
    <w:p w:rsidR="006F445A" w:rsidRPr="00B95CC8" w:rsidRDefault="006F445A" w:rsidP="006F445A">
      <w:pPr>
        <w:rPr>
          <w:rFonts w:ascii="Verdana" w:hAnsi="Verdana"/>
          <w:b/>
        </w:rPr>
      </w:pPr>
    </w:p>
    <w:p w:rsidR="006F445A" w:rsidRPr="00B95CC8" w:rsidRDefault="006F445A" w:rsidP="006F445A">
      <w:pPr>
        <w:rPr>
          <w:rFonts w:ascii="Verdana" w:hAnsi="Verdana"/>
        </w:rPr>
      </w:pPr>
      <w:r w:rsidRPr="00B95CC8">
        <w:rPr>
          <w:rFonts w:ascii="Verdana" w:hAnsi="Verdana"/>
          <w:b/>
        </w:rPr>
        <w:t>A.</w:t>
      </w:r>
      <w:r w:rsidRPr="00B95CC8">
        <w:rPr>
          <w:rFonts w:ascii="Verdana" w:hAnsi="Verdana"/>
          <w:b/>
        </w:rPr>
        <w:tab/>
        <w:t>ARTIKELGEWIJZE TOELICHTING BIJ HET WETSVOORSTEL</w:t>
      </w:r>
    </w:p>
    <w:p w:rsidR="006F445A" w:rsidRPr="00B95CC8" w:rsidRDefault="006F445A" w:rsidP="006F445A">
      <w:pPr>
        <w:rPr>
          <w:rFonts w:ascii="Verdana" w:hAnsi="Verdana"/>
        </w:rPr>
      </w:pPr>
    </w:p>
    <w:p w:rsidR="006F445A" w:rsidRPr="00B95CC8" w:rsidRDefault="006F445A" w:rsidP="006F445A">
      <w:pPr>
        <w:rPr>
          <w:rFonts w:ascii="Verdana" w:hAnsi="Verdana"/>
          <w:i/>
          <w:iCs/>
        </w:rPr>
      </w:pPr>
      <w:r w:rsidRPr="00B95CC8">
        <w:rPr>
          <w:rFonts w:ascii="Verdana" w:hAnsi="Verdana"/>
          <w:i/>
          <w:iCs/>
        </w:rPr>
        <w:t>Wetsartikel 1 (uitgaven/verplichtingen en ontvangsten)</w:t>
      </w:r>
    </w:p>
    <w:p w:rsidR="006F445A" w:rsidRPr="00B95CC8" w:rsidRDefault="006F445A" w:rsidP="006F445A">
      <w:pPr>
        <w:rPr>
          <w:rFonts w:ascii="Verdana" w:hAnsi="Verdana"/>
        </w:rPr>
      </w:pPr>
    </w:p>
    <w:p w:rsidR="006F445A" w:rsidRPr="00B95CC8" w:rsidRDefault="006F445A" w:rsidP="006F445A">
      <w:pPr>
        <w:rPr>
          <w:rFonts w:ascii="Verdana" w:hAnsi="Verdana"/>
        </w:rPr>
      </w:pPr>
      <w:r w:rsidRPr="00B95CC8">
        <w:rPr>
          <w:rFonts w:ascii="Verdana" w:hAnsi="Verdana"/>
        </w:rPr>
        <w:t>De begrotingsstaten die onderdeel zijn van de Rijksbegroting, worden op grond van artikel 1, derde lid, van de Comptabiliteitswet 2001 elk afzonderlijk bij de wet vastgesteld en derhalve ook gewijzigd. Het onderhavige wetsvoorstel strekt ertoe om voor het jaar 2015 wijzigingen aan te brengen in de departementale begrotingsstaat van het Ministerie van Infrastructuur en Milieu.</w:t>
      </w:r>
      <w:r w:rsidRPr="00B95CC8">
        <w:rPr>
          <w:rFonts w:ascii="Verdana" w:hAnsi="Verdana"/>
        </w:rPr>
        <w:cr/>
      </w:r>
    </w:p>
    <w:p w:rsidR="006F445A" w:rsidRPr="00B95CC8" w:rsidRDefault="006F445A" w:rsidP="006F445A">
      <w:pPr>
        <w:rPr>
          <w:rFonts w:ascii="Verdana" w:hAnsi="Verdana"/>
        </w:rPr>
      </w:pPr>
      <w:r w:rsidRPr="00B95CC8">
        <w:rPr>
          <w:rFonts w:ascii="Verdana" w:hAnsi="Verdana"/>
        </w:rPr>
        <w:t>De in de begrotingsstaat opgenomen begrotingsartikelen worden in onderdeel B van deze memorie van toelichting toegelicht (de zgn. begrotingstoelichting).</w:t>
      </w:r>
      <w:r w:rsidRPr="00B95CC8">
        <w:rPr>
          <w:rFonts w:ascii="Verdana" w:hAnsi="Verdana"/>
        </w:rPr>
        <w:cr/>
      </w:r>
      <w:r w:rsidRPr="00B95CC8">
        <w:rPr>
          <w:rFonts w:ascii="Verdana" w:hAnsi="Verdana"/>
        </w:rPr>
        <w:cr/>
      </w:r>
      <w:r w:rsidRPr="00B95CC8">
        <w:rPr>
          <w:rFonts w:ascii="Verdana" w:hAnsi="Verdana"/>
        </w:rPr>
        <w:cr/>
      </w:r>
      <w:r w:rsidRPr="00B95CC8">
        <w:rPr>
          <w:rFonts w:ascii="Verdana" w:hAnsi="Verdana"/>
        </w:rPr>
        <w:cr/>
      </w:r>
      <w:r w:rsidRPr="00B95CC8">
        <w:rPr>
          <w:rFonts w:ascii="Verdana" w:hAnsi="Verdana"/>
        </w:rPr>
        <w:cr/>
        <w:t>De Minister van Infrastructuur en Milieu,</w:t>
      </w:r>
      <w:r w:rsidRPr="00B95CC8">
        <w:rPr>
          <w:rFonts w:ascii="Verdana" w:hAnsi="Verdana"/>
        </w:rPr>
        <w:cr/>
      </w:r>
      <w:r w:rsidRPr="00B95CC8">
        <w:rPr>
          <w:rFonts w:ascii="Verdana" w:hAnsi="Verdana"/>
        </w:rPr>
        <w:cr/>
      </w:r>
      <w:r w:rsidRPr="00B95CC8">
        <w:rPr>
          <w:rFonts w:ascii="Verdana" w:hAnsi="Verdana"/>
        </w:rPr>
        <w:cr/>
      </w:r>
      <w:r w:rsidRPr="00B95CC8">
        <w:rPr>
          <w:rFonts w:ascii="Verdana" w:hAnsi="Verdana"/>
        </w:rPr>
        <w:cr/>
        <w:t>_________________________________________________________</w:t>
      </w:r>
      <w:r w:rsidRPr="00B95CC8">
        <w:rPr>
          <w:rFonts w:ascii="Verdana" w:hAnsi="Verdana"/>
        </w:rPr>
        <w:cr/>
      </w:r>
    </w:p>
    <w:p w:rsidR="006F445A" w:rsidRPr="00B95CC8" w:rsidRDefault="006F445A" w:rsidP="006F445A">
      <w:pPr>
        <w:rPr>
          <w:rFonts w:ascii="Verdana" w:hAnsi="Verdana"/>
          <w:b/>
        </w:rPr>
      </w:pPr>
      <w:r w:rsidRPr="00B95CC8">
        <w:rPr>
          <w:rFonts w:ascii="Verdana" w:hAnsi="Verdana"/>
          <w:b/>
        </w:rPr>
        <w:t>B.</w:t>
      </w:r>
      <w:r w:rsidRPr="00B95CC8">
        <w:rPr>
          <w:rFonts w:ascii="Verdana" w:hAnsi="Verdana"/>
          <w:b/>
        </w:rPr>
        <w:tab/>
        <w:t>BEGROTINGSTOELICHTING</w:t>
      </w:r>
      <w:r w:rsidRPr="00B95CC8">
        <w:rPr>
          <w:rFonts w:ascii="Verdana" w:hAnsi="Verdana"/>
          <w:bCs/>
        </w:rPr>
        <w:cr/>
      </w:r>
      <w:r w:rsidRPr="00B95CC8">
        <w:rPr>
          <w:rFonts w:ascii="Verdana" w:hAnsi="Verdana"/>
        </w:rPr>
        <w:cr/>
      </w:r>
      <w:r w:rsidRPr="00B95CC8">
        <w:rPr>
          <w:rFonts w:ascii="Verdana" w:hAnsi="Verdana"/>
          <w:b/>
          <w:bCs/>
        </w:rPr>
        <w:t>1.</w:t>
      </w:r>
      <w:r w:rsidRPr="00B95CC8">
        <w:rPr>
          <w:rFonts w:ascii="Verdana" w:hAnsi="Verdana"/>
          <w:b/>
          <w:bCs/>
        </w:rPr>
        <w:tab/>
        <w:t>Leeswijzer</w:t>
      </w:r>
      <w:r w:rsidRPr="00B95CC8">
        <w:rPr>
          <w:rFonts w:ascii="Verdana" w:hAnsi="Verdana"/>
          <w:b/>
          <w:bCs/>
        </w:rPr>
        <w:cr/>
      </w:r>
      <w:r w:rsidRPr="00B95CC8">
        <w:rPr>
          <w:rFonts w:ascii="Verdana" w:hAnsi="Verdana"/>
        </w:rPr>
        <w:cr/>
      </w:r>
      <w:r w:rsidRPr="00B95CC8">
        <w:rPr>
          <w:rFonts w:ascii="Verdana" w:hAnsi="Verdana"/>
          <w:b/>
          <w:bCs/>
        </w:rPr>
        <w:t>2.</w:t>
      </w:r>
      <w:r w:rsidRPr="00B95CC8">
        <w:rPr>
          <w:rFonts w:ascii="Verdana" w:hAnsi="Verdana"/>
          <w:b/>
          <w:bCs/>
        </w:rPr>
        <w:tab/>
        <w:t>Het beleid</w:t>
      </w:r>
      <w:r w:rsidRPr="00B95CC8">
        <w:rPr>
          <w:rFonts w:ascii="Verdana" w:hAnsi="Verdana"/>
          <w:b/>
          <w:bCs/>
        </w:rPr>
        <w:cr/>
      </w:r>
      <w:r w:rsidRPr="00B95CC8">
        <w:rPr>
          <w:rFonts w:ascii="Verdana" w:hAnsi="Verdana"/>
        </w:rPr>
        <w:cr/>
        <w:t>2.1</w:t>
      </w:r>
      <w:r w:rsidRPr="00B95CC8">
        <w:rPr>
          <w:rFonts w:ascii="Verdana" w:hAnsi="Verdana"/>
        </w:rPr>
        <w:tab/>
        <w:t>Overzicht belangrijkste uitgaven- en ontvangsten mutaties</w:t>
      </w:r>
      <w:r w:rsidRPr="00B95CC8">
        <w:rPr>
          <w:rFonts w:ascii="Verdana" w:hAnsi="Verdana"/>
        </w:rPr>
        <w:cr/>
        <w:t>2.2</w:t>
      </w:r>
      <w:r w:rsidRPr="00B95CC8">
        <w:rPr>
          <w:rFonts w:ascii="Verdana" w:hAnsi="Verdana"/>
        </w:rPr>
        <w:tab/>
        <w:t>De beleidsartikelen</w:t>
      </w:r>
      <w:r w:rsidRPr="00B95CC8">
        <w:rPr>
          <w:rFonts w:ascii="Verdana" w:hAnsi="Verdana"/>
        </w:rPr>
        <w:cr/>
        <w:t>2.3</w:t>
      </w:r>
      <w:r w:rsidRPr="00B95CC8">
        <w:rPr>
          <w:rFonts w:ascii="Verdana" w:hAnsi="Verdana"/>
        </w:rPr>
        <w:tab/>
        <w:t>De niet-beleidsartikelen</w:t>
      </w:r>
      <w:r w:rsidRPr="00B95CC8">
        <w:rPr>
          <w:rFonts w:ascii="Verdana" w:hAnsi="Verdana"/>
        </w:rPr>
        <w:cr/>
        <w:t xml:space="preserve">2.4 </w:t>
      </w:r>
      <w:r w:rsidRPr="00B95CC8">
        <w:rPr>
          <w:rFonts w:ascii="Verdana" w:hAnsi="Verdana"/>
        </w:rPr>
        <w:tab/>
        <w:t xml:space="preserve">De agentschappen </w:t>
      </w:r>
      <w:r w:rsidRPr="00B95CC8">
        <w:rPr>
          <w:rFonts w:ascii="Verdana" w:hAnsi="Verdana"/>
        </w:rPr>
        <w:cr/>
      </w:r>
      <w:r w:rsidRPr="00B95CC8">
        <w:rPr>
          <w:rFonts w:ascii="Verdana" w:hAnsi="Verdana"/>
          <w:b/>
        </w:rPr>
        <w:t xml:space="preserve"> </w:t>
      </w:r>
    </w:p>
    <w:p w:rsidR="006F445A" w:rsidRPr="00B95CC8" w:rsidRDefault="006F445A" w:rsidP="006F445A">
      <w:pPr>
        <w:rPr>
          <w:rFonts w:ascii="Verdana" w:hAnsi="Verdana"/>
        </w:rPr>
      </w:pPr>
    </w:p>
    <w:p w:rsidR="006F445A" w:rsidRPr="00B95CC8" w:rsidRDefault="006F445A" w:rsidP="006F445A">
      <w:pPr>
        <w:rPr>
          <w:rFonts w:ascii="Verdana" w:hAnsi="Verdana"/>
        </w:rPr>
      </w:pPr>
    </w:p>
    <w:p w:rsidR="006F445A" w:rsidRPr="00B95CC8" w:rsidRDefault="006F445A" w:rsidP="006F445A">
      <w:pPr>
        <w:rPr>
          <w:rFonts w:ascii="Verdana" w:hAnsi="Verdana"/>
          <w:b/>
          <w:bCs/>
        </w:rPr>
      </w:pPr>
    </w:p>
    <w:p w:rsidR="006F445A" w:rsidRPr="00B95CC8" w:rsidRDefault="006F445A" w:rsidP="006F445A">
      <w:pPr>
        <w:rPr>
          <w:rFonts w:ascii="Verdana" w:hAnsi="Verdana"/>
          <w:b/>
          <w:bCs/>
        </w:rPr>
      </w:pPr>
    </w:p>
    <w:p w:rsidR="006F445A" w:rsidRPr="00B95CC8" w:rsidRDefault="006F445A" w:rsidP="006F445A">
      <w:pPr>
        <w:rPr>
          <w:rFonts w:ascii="Verdana" w:hAnsi="Verdana"/>
          <w:b/>
          <w:bCs/>
        </w:rPr>
      </w:pPr>
      <w:r w:rsidRPr="00B95CC8">
        <w:rPr>
          <w:rFonts w:ascii="Verdana" w:hAnsi="Verdana"/>
        </w:rPr>
        <w:br w:type="page"/>
      </w:r>
      <w:r w:rsidRPr="00B95CC8">
        <w:rPr>
          <w:rFonts w:ascii="Verdana" w:hAnsi="Verdana"/>
          <w:b/>
          <w:bCs/>
        </w:rPr>
        <w:lastRenderedPageBreak/>
        <w:t xml:space="preserve">1. </w:t>
      </w:r>
      <w:r w:rsidRPr="00B95CC8">
        <w:rPr>
          <w:rFonts w:ascii="Verdana" w:hAnsi="Verdana"/>
          <w:b/>
          <w:bCs/>
        </w:rPr>
        <w:tab/>
        <w:t>Leeswijzer</w:t>
      </w:r>
    </w:p>
    <w:p w:rsidR="006F445A" w:rsidRPr="00B95CC8" w:rsidRDefault="006F445A" w:rsidP="006F445A">
      <w:pPr>
        <w:rPr>
          <w:rFonts w:ascii="Verdana" w:hAnsi="Verdana"/>
        </w:rPr>
      </w:pPr>
    </w:p>
    <w:p w:rsidR="006F445A" w:rsidRDefault="006F445A" w:rsidP="006F445A">
      <w:pPr>
        <w:rPr>
          <w:rFonts w:ascii="Verdana" w:hAnsi="Verdana"/>
        </w:rPr>
      </w:pPr>
      <w:r w:rsidRPr="00B95CC8">
        <w:rPr>
          <w:rFonts w:ascii="Verdana" w:hAnsi="Verdana"/>
        </w:rPr>
        <w:t xml:space="preserve">Naar aanleiding van de aanbeveling uit het rapport van de Tijdelijke commissie onderhoud en innovatie spoor (Kamerstukken II, 2011/2012, 32 707, nr. 9, blz. 22) wordt </w:t>
      </w:r>
      <w:r>
        <w:rPr>
          <w:rFonts w:ascii="Verdana" w:hAnsi="Verdana"/>
        </w:rPr>
        <w:t xml:space="preserve">de onderstaande normering </w:t>
      </w:r>
      <w:r w:rsidRPr="00B95CC8">
        <w:rPr>
          <w:rFonts w:ascii="Verdana" w:hAnsi="Verdana"/>
        </w:rPr>
        <w:t xml:space="preserve">gehanteerd bij het </w:t>
      </w:r>
      <w:r>
        <w:rPr>
          <w:rFonts w:ascii="Verdana" w:hAnsi="Verdana"/>
        </w:rPr>
        <w:t xml:space="preserve">inhoudelijk </w:t>
      </w:r>
      <w:r w:rsidRPr="00B95CC8">
        <w:rPr>
          <w:rFonts w:ascii="Verdana" w:hAnsi="Verdana"/>
        </w:rPr>
        <w:t>toelichten van begrotingsmutaties</w:t>
      </w:r>
      <w:r>
        <w:rPr>
          <w:rFonts w:ascii="Verdana" w:hAnsi="Verdana"/>
        </w:rPr>
        <w:t xml:space="preserve"> op de IenM fondsen</w:t>
      </w:r>
      <w:r w:rsidRPr="00B95CC8">
        <w:rPr>
          <w:rFonts w:ascii="Verdana" w:hAnsi="Verdana"/>
        </w:rPr>
        <w:t xml:space="preserve">. </w:t>
      </w:r>
      <w:r>
        <w:rPr>
          <w:rFonts w:ascii="Verdana" w:hAnsi="Verdana"/>
        </w:rPr>
        <w:t xml:space="preserve">In het jaarverslag van de fondsen wordt deze norm reeds gehanteerd sinds 2011. Vanuit het oogpunt van uniformiteit en transparantie hanteer ik dezelfde norm ook om mutaties toe te lichten bij de eerste suppletoire begroting van 2015 van Infrastructuur en Milieu (XII). </w:t>
      </w:r>
      <w:r w:rsidRPr="00B95CC8">
        <w:rPr>
          <w:rFonts w:ascii="Verdana" w:hAnsi="Verdana"/>
        </w:rPr>
        <w:t>Dit houdt in dat artikelonderdelen en projecten, waarbij het verschil kleiner is dan de aangegeven norm niet worden toegelicht (tenzij</w:t>
      </w:r>
      <w:r>
        <w:rPr>
          <w:rFonts w:ascii="Verdana" w:hAnsi="Verdana"/>
        </w:rPr>
        <w:t xml:space="preserve"> deze</w:t>
      </w:r>
      <w:r w:rsidRPr="00B95CC8">
        <w:rPr>
          <w:rFonts w:ascii="Verdana" w:hAnsi="Verdana"/>
        </w:rPr>
        <w:t xml:space="preserve"> beleidsmatig toch relevant</w:t>
      </w:r>
      <w:r>
        <w:rPr>
          <w:rFonts w:ascii="Verdana" w:hAnsi="Verdana"/>
        </w:rPr>
        <w:t xml:space="preserve"> zijn</w:t>
      </w:r>
      <w:r w:rsidRPr="00B95CC8">
        <w:rPr>
          <w:rFonts w:ascii="Verdana" w:hAnsi="Verdana"/>
        </w:rPr>
        <w:t>).</w:t>
      </w:r>
    </w:p>
    <w:p w:rsidR="006F445A" w:rsidRDefault="006F445A" w:rsidP="006F445A">
      <w:pPr>
        <w:pStyle w:val="Lijstalinea"/>
        <w:ind w:left="0"/>
        <w:rPr>
          <w:rFonts w:ascii="Verdana" w:hAnsi="Verdana"/>
        </w:rPr>
      </w:pPr>
    </w:p>
    <w:p w:rsidR="006F445A" w:rsidRPr="00B95CC8" w:rsidRDefault="006F445A" w:rsidP="006F445A">
      <w:pPr>
        <w:pStyle w:val="Lijstalinea"/>
        <w:ind w:left="0"/>
        <w:rPr>
          <w:rFonts w:ascii="Verdana" w:hAnsi="Verdana"/>
        </w:rPr>
      </w:pPr>
    </w:p>
    <w:tbl>
      <w:tblPr>
        <w:tblpPr w:leftFromText="141" w:rightFromText="141" w:vertAnchor="text" w:horzAnchor="page" w:tblpX="2586" w:tblpY="48"/>
        <w:tblW w:w="4576" w:type="dxa"/>
        <w:tblCellMar>
          <w:left w:w="70" w:type="dxa"/>
          <w:right w:w="70" w:type="dxa"/>
        </w:tblCellMar>
        <w:tblLook w:val="04A0" w:firstRow="1" w:lastRow="0" w:firstColumn="1" w:lastColumn="0" w:noHBand="0" w:noVBand="1"/>
      </w:tblPr>
      <w:tblGrid>
        <w:gridCol w:w="2601"/>
        <w:gridCol w:w="1975"/>
      </w:tblGrid>
      <w:tr w:rsidR="006F445A" w:rsidRPr="00B95CC8" w:rsidTr="007919F3">
        <w:trPr>
          <w:trHeight w:val="186"/>
        </w:trPr>
        <w:tc>
          <w:tcPr>
            <w:tcW w:w="2601" w:type="dxa"/>
            <w:tcBorders>
              <w:top w:val="nil"/>
              <w:left w:val="nil"/>
              <w:bottom w:val="single" w:sz="4" w:space="0" w:color="auto"/>
              <w:right w:val="nil"/>
            </w:tcBorders>
            <w:noWrap/>
            <w:vAlign w:val="bottom"/>
            <w:hideMark/>
          </w:tcPr>
          <w:p w:rsidR="006F445A" w:rsidRPr="00B95CC8" w:rsidRDefault="006F445A" w:rsidP="007919F3">
            <w:pPr>
              <w:rPr>
                <w:rFonts w:ascii="Verdana" w:hAnsi="Verdana" w:cs="Arial"/>
              </w:rPr>
            </w:pPr>
            <w:r w:rsidRPr="00B95CC8">
              <w:rPr>
                <w:rFonts w:ascii="Verdana" w:hAnsi="Verdana" w:cs="Arial"/>
              </w:rPr>
              <w:t>Begrotingsbedrag</w:t>
            </w:r>
          </w:p>
        </w:tc>
        <w:tc>
          <w:tcPr>
            <w:tcW w:w="1975" w:type="dxa"/>
            <w:tcBorders>
              <w:top w:val="nil"/>
              <w:left w:val="nil"/>
              <w:bottom w:val="single" w:sz="4" w:space="0" w:color="auto"/>
              <w:right w:val="nil"/>
            </w:tcBorders>
            <w:noWrap/>
            <w:vAlign w:val="bottom"/>
            <w:hideMark/>
          </w:tcPr>
          <w:p w:rsidR="006F445A" w:rsidRPr="00B95CC8" w:rsidRDefault="006F445A" w:rsidP="007919F3">
            <w:pPr>
              <w:rPr>
                <w:rFonts w:ascii="Verdana" w:hAnsi="Verdana" w:cs="Arial"/>
              </w:rPr>
            </w:pPr>
            <w:r w:rsidRPr="00B95CC8">
              <w:rPr>
                <w:rFonts w:ascii="Verdana" w:hAnsi="Verdana" w:cs="Arial"/>
              </w:rPr>
              <w:t>Verschil</w:t>
            </w:r>
          </w:p>
        </w:tc>
      </w:tr>
      <w:tr w:rsidR="006F445A" w:rsidRPr="00B95CC8" w:rsidTr="007919F3">
        <w:trPr>
          <w:trHeight w:val="186"/>
        </w:trPr>
        <w:tc>
          <w:tcPr>
            <w:tcW w:w="2601" w:type="dxa"/>
            <w:noWrap/>
            <w:vAlign w:val="bottom"/>
            <w:hideMark/>
          </w:tcPr>
          <w:p w:rsidR="006F445A" w:rsidRPr="00B95CC8" w:rsidRDefault="006F445A" w:rsidP="007919F3">
            <w:pPr>
              <w:rPr>
                <w:rFonts w:ascii="Verdana" w:hAnsi="Verdana" w:cs="Arial"/>
              </w:rPr>
            </w:pPr>
            <w:r w:rsidRPr="00B95CC8">
              <w:rPr>
                <w:rFonts w:ascii="Verdana" w:hAnsi="Verdana" w:cs="Arial"/>
              </w:rPr>
              <w:t>&lt; € 4,5 miljoen</w:t>
            </w:r>
          </w:p>
        </w:tc>
        <w:tc>
          <w:tcPr>
            <w:tcW w:w="1975" w:type="dxa"/>
            <w:noWrap/>
            <w:vAlign w:val="bottom"/>
            <w:hideMark/>
          </w:tcPr>
          <w:p w:rsidR="006F445A" w:rsidRPr="00B95CC8" w:rsidRDefault="006F445A" w:rsidP="007919F3">
            <w:pPr>
              <w:rPr>
                <w:rFonts w:ascii="Verdana" w:hAnsi="Verdana" w:cs="Arial"/>
              </w:rPr>
            </w:pPr>
            <w:r w:rsidRPr="00B95CC8">
              <w:rPr>
                <w:rFonts w:ascii="Verdana" w:hAnsi="Verdana" w:cs="Arial"/>
              </w:rPr>
              <w:t>&gt; 50%</w:t>
            </w:r>
          </w:p>
        </w:tc>
      </w:tr>
      <w:tr w:rsidR="006F445A" w:rsidRPr="00B95CC8" w:rsidTr="007919F3">
        <w:trPr>
          <w:trHeight w:val="186"/>
        </w:trPr>
        <w:tc>
          <w:tcPr>
            <w:tcW w:w="2601" w:type="dxa"/>
            <w:noWrap/>
            <w:vAlign w:val="bottom"/>
            <w:hideMark/>
          </w:tcPr>
          <w:p w:rsidR="006F445A" w:rsidRPr="00B95CC8" w:rsidRDefault="006F445A" w:rsidP="007919F3">
            <w:pPr>
              <w:rPr>
                <w:rFonts w:ascii="Verdana" w:hAnsi="Verdana" w:cs="Arial"/>
              </w:rPr>
            </w:pPr>
            <w:r w:rsidRPr="00B95CC8">
              <w:rPr>
                <w:rFonts w:ascii="Verdana" w:hAnsi="Verdana" w:cs="Arial"/>
              </w:rPr>
              <w:t>€ 4,5 -  € 22,5 miljoen</w:t>
            </w:r>
          </w:p>
        </w:tc>
        <w:tc>
          <w:tcPr>
            <w:tcW w:w="1975" w:type="dxa"/>
            <w:noWrap/>
            <w:vAlign w:val="bottom"/>
            <w:hideMark/>
          </w:tcPr>
          <w:p w:rsidR="006F445A" w:rsidRPr="00B95CC8" w:rsidRDefault="006F445A" w:rsidP="007919F3">
            <w:pPr>
              <w:rPr>
                <w:rFonts w:ascii="Verdana" w:hAnsi="Verdana" w:cs="Arial"/>
              </w:rPr>
            </w:pPr>
            <w:r w:rsidRPr="00B95CC8">
              <w:rPr>
                <w:rFonts w:ascii="Verdana" w:hAnsi="Verdana" w:cs="Arial"/>
              </w:rPr>
              <w:t>&gt; € 2,5 miljoen</w:t>
            </w:r>
          </w:p>
        </w:tc>
      </w:tr>
      <w:tr w:rsidR="006F445A" w:rsidRPr="00B95CC8" w:rsidTr="007919F3">
        <w:trPr>
          <w:trHeight w:val="186"/>
        </w:trPr>
        <w:tc>
          <w:tcPr>
            <w:tcW w:w="2601" w:type="dxa"/>
            <w:noWrap/>
            <w:vAlign w:val="bottom"/>
            <w:hideMark/>
          </w:tcPr>
          <w:p w:rsidR="006F445A" w:rsidRPr="00B95CC8" w:rsidRDefault="006F445A" w:rsidP="007919F3">
            <w:pPr>
              <w:rPr>
                <w:rFonts w:ascii="Verdana" w:hAnsi="Verdana" w:cs="Arial"/>
              </w:rPr>
            </w:pPr>
            <w:r w:rsidRPr="00B95CC8">
              <w:rPr>
                <w:rFonts w:ascii="Verdana" w:hAnsi="Verdana" w:cs="Arial"/>
              </w:rPr>
              <w:t>&gt; € 22,5 miljoen</w:t>
            </w:r>
          </w:p>
        </w:tc>
        <w:tc>
          <w:tcPr>
            <w:tcW w:w="1975" w:type="dxa"/>
            <w:noWrap/>
            <w:vAlign w:val="bottom"/>
            <w:hideMark/>
          </w:tcPr>
          <w:p w:rsidR="006F445A" w:rsidRPr="00B95CC8" w:rsidRDefault="006F445A" w:rsidP="007919F3">
            <w:pPr>
              <w:rPr>
                <w:rFonts w:ascii="Verdana" w:hAnsi="Verdana" w:cs="Arial"/>
              </w:rPr>
            </w:pPr>
            <w:r w:rsidRPr="00B95CC8">
              <w:rPr>
                <w:rFonts w:ascii="Verdana" w:hAnsi="Verdana" w:cs="Arial"/>
              </w:rPr>
              <w:t>&gt; 10%</w:t>
            </w:r>
          </w:p>
        </w:tc>
      </w:tr>
      <w:tr w:rsidR="006F445A" w:rsidRPr="00B95CC8" w:rsidTr="007919F3">
        <w:trPr>
          <w:trHeight w:val="186"/>
        </w:trPr>
        <w:tc>
          <w:tcPr>
            <w:tcW w:w="2601" w:type="dxa"/>
            <w:noWrap/>
            <w:vAlign w:val="bottom"/>
            <w:hideMark/>
          </w:tcPr>
          <w:p w:rsidR="006F445A" w:rsidRPr="00B95CC8" w:rsidRDefault="006F445A" w:rsidP="007919F3">
            <w:pPr>
              <w:rPr>
                <w:rFonts w:ascii="Verdana" w:hAnsi="Verdana" w:cs="Arial"/>
              </w:rPr>
            </w:pPr>
            <w:r w:rsidRPr="00B95CC8">
              <w:rPr>
                <w:rFonts w:ascii="Verdana" w:hAnsi="Verdana" w:cs="Arial"/>
              </w:rPr>
              <w:t>&gt; € 50 miljoen</w:t>
            </w:r>
          </w:p>
        </w:tc>
        <w:tc>
          <w:tcPr>
            <w:tcW w:w="1975" w:type="dxa"/>
            <w:noWrap/>
            <w:vAlign w:val="bottom"/>
            <w:hideMark/>
          </w:tcPr>
          <w:p w:rsidR="006F445A" w:rsidRPr="00B95CC8" w:rsidRDefault="006F445A" w:rsidP="007919F3">
            <w:pPr>
              <w:rPr>
                <w:rFonts w:ascii="Verdana" w:hAnsi="Verdana" w:cs="Arial"/>
              </w:rPr>
            </w:pPr>
            <w:r w:rsidRPr="00B95CC8">
              <w:rPr>
                <w:rFonts w:ascii="Verdana" w:hAnsi="Verdana" w:cs="Arial"/>
              </w:rPr>
              <w:t>&gt; € 5 miljoen</w:t>
            </w:r>
          </w:p>
        </w:tc>
      </w:tr>
    </w:tbl>
    <w:p w:rsidR="006F445A" w:rsidRPr="00B95CC8" w:rsidRDefault="006F445A" w:rsidP="006F445A">
      <w:pPr>
        <w:rPr>
          <w:rFonts w:ascii="Verdana" w:hAnsi="Verdana"/>
        </w:rPr>
      </w:pPr>
    </w:p>
    <w:p w:rsidR="006F445A" w:rsidRPr="00B95CC8" w:rsidRDefault="006F445A" w:rsidP="006F445A">
      <w:pPr>
        <w:rPr>
          <w:rFonts w:ascii="Verdana" w:hAnsi="Verdana"/>
        </w:rPr>
      </w:pPr>
      <w:r w:rsidRPr="00B95CC8">
        <w:rPr>
          <w:rFonts w:ascii="Verdana" w:hAnsi="Verdana"/>
        </w:rPr>
        <w:t xml:space="preserve">  </w:t>
      </w:r>
    </w:p>
    <w:p w:rsidR="006F445A" w:rsidRPr="00B95CC8" w:rsidRDefault="006F445A" w:rsidP="006F445A">
      <w:pPr>
        <w:rPr>
          <w:rFonts w:ascii="Verdana" w:hAnsi="Verdana"/>
        </w:rPr>
      </w:pPr>
    </w:p>
    <w:p w:rsidR="006F445A" w:rsidRPr="00B95CC8" w:rsidRDefault="006F445A" w:rsidP="006F445A">
      <w:pPr>
        <w:rPr>
          <w:rFonts w:ascii="Verdana" w:hAnsi="Verdana"/>
        </w:rPr>
      </w:pPr>
    </w:p>
    <w:p w:rsidR="006F445A" w:rsidRPr="00B95CC8" w:rsidRDefault="006F445A" w:rsidP="006F445A">
      <w:pPr>
        <w:rPr>
          <w:rFonts w:ascii="Verdana" w:hAnsi="Verdana"/>
        </w:rPr>
      </w:pPr>
      <w:r w:rsidRPr="00B95CC8">
        <w:rPr>
          <w:rFonts w:ascii="Verdana" w:hAnsi="Verdana"/>
        </w:rPr>
        <w:t xml:space="preserve">  </w:t>
      </w:r>
    </w:p>
    <w:p w:rsidR="006F445A" w:rsidRPr="00B95CC8" w:rsidRDefault="006F445A" w:rsidP="006F445A">
      <w:pPr>
        <w:rPr>
          <w:rFonts w:ascii="Verdana" w:hAnsi="Verdana"/>
        </w:rPr>
      </w:pPr>
    </w:p>
    <w:p w:rsidR="006F445A" w:rsidRDefault="006F445A" w:rsidP="006F445A">
      <w:pPr>
        <w:rPr>
          <w:rFonts w:ascii="Verdana" w:hAnsi="Verdana"/>
        </w:rPr>
      </w:pPr>
    </w:p>
    <w:p w:rsidR="006F445A" w:rsidRDefault="006F445A" w:rsidP="006F445A">
      <w:pPr>
        <w:rPr>
          <w:rFonts w:ascii="Verdana" w:hAnsi="Verdana"/>
        </w:rPr>
      </w:pPr>
    </w:p>
    <w:p w:rsidR="006F445A" w:rsidRPr="00B95CC8" w:rsidRDefault="006F445A" w:rsidP="006F445A">
      <w:pPr>
        <w:rPr>
          <w:rFonts w:ascii="Verdana" w:hAnsi="Verdana"/>
        </w:rPr>
      </w:pPr>
      <w:r>
        <w:rPr>
          <w:rFonts w:ascii="Verdana" w:hAnsi="Verdana"/>
        </w:rPr>
        <w:t>In het wetsvoorstel (hiervoor)</w:t>
      </w:r>
      <w:r w:rsidRPr="00B95CC8">
        <w:rPr>
          <w:rFonts w:ascii="Verdana" w:hAnsi="Verdana"/>
        </w:rPr>
        <w:t xml:space="preserve"> </w:t>
      </w:r>
      <w:r>
        <w:rPr>
          <w:rFonts w:ascii="Verdana" w:hAnsi="Verdana"/>
        </w:rPr>
        <w:t xml:space="preserve">zijn de wijzigingen op </w:t>
      </w:r>
      <w:r w:rsidRPr="00B95CC8">
        <w:rPr>
          <w:rFonts w:ascii="Verdana" w:hAnsi="Verdana"/>
        </w:rPr>
        <w:t>de begrotingsstaat</w:t>
      </w:r>
      <w:r>
        <w:rPr>
          <w:rFonts w:ascii="Verdana" w:hAnsi="Verdana"/>
        </w:rPr>
        <w:t xml:space="preserve"> van het jaar 2015 </w:t>
      </w:r>
      <w:r w:rsidRPr="00B95CC8">
        <w:rPr>
          <w:rFonts w:ascii="Verdana" w:hAnsi="Verdana"/>
        </w:rPr>
        <w:t>voor</w:t>
      </w:r>
      <w:r>
        <w:rPr>
          <w:rFonts w:ascii="Verdana" w:hAnsi="Verdana"/>
        </w:rPr>
        <w:t xml:space="preserve"> </w:t>
      </w:r>
      <w:r w:rsidRPr="00B95CC8">
        <w:rPr>
          <w:rFonts w:ascii="Verdana" w:hAnsi="Verdana"/>
        </w:rPr>
        <w:t>de verplichtingen, uitgaven en ontvangsten voor de begroting van Infrastructuur en Milieu (XII) opgenomen. Hierin wordt inzicht gegeven in de financiële mutaties die op artikelniveau worden voorgesteld in de begroting voor het jaar 2015.</w:t>
      </w:r>
    </w:p>
    <w:p w:rsidR="006F445A" w:rsidRDefault="006F445A" w:rsidP="006F445A">
      <w:pPr>
        <w:rPr>
          <w:rFonts w:ascii="Verdana" w:hAnsi="Verdana"/>
        </w:rPr>
      </w:pPr>
    </w:p>
    <w:p w:rsidR="006F445A" w:rsidRPr="00B95CC8" w:rsidRDefault="006F445A" w:rsidP="006F445A">
      <w:pPr>
        <w:rPr>
          <w:rFonts w:ascii="Verdana" w:hAnsi="Verdana"/>
        </w:rPr>
      </w:pPr>
      <w:r>
        <w:rPr>
          <w:rFonts w:ascii="Verdana" w:hAnsi="Verdana"/>
        </w:rPr>
        <w:t xml:space="preserve">In het overzicht in paragraaf </w:t>
      </w:r>
      <w:r w:rsidRPr="00B95CC8">
        <w:rPr>
          <w:rFonts w:ascii="Verdana" w:hAnsi="Verdana"/>
        </w:rPr>
        <w:t>2.1</w:t>
      </w:r>
      <w:r>
        <w:rPr>
          <w:rFonts w:ascii="Verdana" w:hAnsi="Verdana"/>
        </w:rPr>
        <w:t xml:space="preserve"> (hierna) zijn</w:t>
      </w:r>
      <w:r w:rsidRPr="00B95CC8">
        <w:rPr>
          <w:rFonts w:ascii="Verdana" w:hAnsi="Verdana"/>
        </w:rPr>
        <w:t>de belangrijkste uitgaven- en ontvangstenmutaties</w:t>
      </w:r>
      <w:r>
        <w:rPr>
          <w:rFonts w:ascii="Verdana" w:hAnsi="Verdana"/>
        </w:rPr>
        <w:t xml:space="preserve"> ten opzichte van de begrotingstaat 2015 opgenomen en worden deze financieel en inhoudelijk</w:t>
      </w:r>
      <w:r w:rsidRPr="00B95CC8">
        <w:rPr>
          <w:rFonts w:ascii="Verdana" w:hAnsi="Verdana"/>
        </w:rPr>
        <w:t xml:space="preserve"> </w:t>
      </w:r>
      <w:r>
        <w:rPr>
          <w:rFonts w:ascii="Verdana" w:hAnsi="Verdana"/>
        </w:rPr>
        <w:t xml:space="preserve">toegelicht. Dit overzicht vormt ook onderdeel van de </w:t>
      </w:r>
      <w:r w:rsidRPr="00B95CC8">
        <w:rPr>
          <w:rFonts w:ascii="Verdana" w:hAnsi="Verdana"/>
        </w:rPr>
        <w:t>budgettair</w:t>
      </w:r>
      <w:r>
        <w:rPr>
          <w:rFonts w:ascii="Verdana" w:hAnsi="Verdana"/>
        </w:rPr>
        <w:t>e nota (Voorjaarsnota) van het M</w:t>
      </w:r>
      <w:r w:rsidRPr="00B95CC8">
        <w:rPr>
          <w:rFonts w:ascii="Verdana" w:hAnsi="Verdana"/>
        </w:rPr>
        <w:t>inisterie van Financiën</w:t>
      </w:r>
      <w:r>
        <w:rPr>
          <w:rFonts w:ascii="Verdana" w:hAnsi="Verdana"/>
        </w:rPr>
        <w:t>.</w:t>
      </w:r>
    </w:p>
    <w:p w:rsidR="006F445A" w:rsidRDefault="006F445A" w:rsidP="006F445A">
      <w:pPr>
        <w:rPr>
          <w:rFonts w:ascii="Verdana" w:hAnsi="Verdana"/>
        </w:rPr>
      </w:pPr>
    </w:p>
    <w:p w:rsidR="006F445A" w:rsidRPr="00B95CC8" w:rsidRDefault="006F445A" w:rsidP="006F445A">
      <w:pPr>
        <w:rPr>
          <w:rFonts w:ascii="Verdana" w:hAnsi="Verdana"/>
        </w:rPr>
      </w:pPr>
      <w:r w:rsidRPr="00B95CC8">
        <w:rPr>
          <w:rFonts w:ascii="Verdana" w:hAnsi="Verdana"/>
        </w:rPr>
        <w:t xml:space="preserve">Onder </w:t>
      </w:r>
      <w:r>
        <w:rPr>
          <w:rFonts w:ascii="Verdana" w:hAnsi="Verdana"/>
        </w:rPr>
        <w:t xml:space="preserve">paragraaf </w:t>
      </w:r>
      <w:r w:rsidRPr="00B95CC8">
        <w:rPr>
          <w:rFonts w:ascii="Verdana" w:hAnsi="Verdana"/>
        </w:rPr>
        <w:t>2.2</w:t>
      </w:r>
      <w:r>
        <w:rPr>
          <w:rFonts w:ascii="Verdana" w:hAnsi="Verdana"/>
        </w:rPr>
        <w:t xml:space="preserve"> (beleidsartikelen)</w:t>
      </w:r>
      <w:r w:rsidRPr="00B95CC8">
        <w:rPr>
          <w:rFonts w:ascii="Verdana" w:hAnsi="Verdana"/>
        </w:rPr>
        <w:t xml:space="preserve"> en</w:t>
      </w:r>
      <w:r>
        <w:rPr>
          <w:rFonts w:ascii="Verdana" w:hAnsi="Verdana"/>
        </w:rPr>
        <w:t xml:space="preserve"> paragraaf</w:t>
      </w:r>
      <w:r w:rsidRPr="00B95CC8">
        <w:rPr>
          <w:rFonts w:ascii="Verdana" w:hAnsi="Verdana"/>
        </w:rPr>
        <w:t xml:space="preserve"> 2.3 (niet-beleidsartikelen</w:t>
      </w:r>
      <w:r>
        <w:rPr>
          <w:rFonts w:ascii="Verdana" w:hAnsi="Verdana"/>
        </w:rPr>
        <w:t>)</w:t>
      </w:r>
      <w:r w:rsidRPr="00B95CC8">
        <w:rPr>
          <w:rFonts w:ascii="Verdana" w:hAnsi="Verdana"/>
        </w:rPr>
        <w:t xml:space="preserve"> wordt inzicht gegeven in de mutaties op artikelonderdeel niveau die zijn opgenomen in de begrotingsstaat. De gepresenteerde budgetflexibiliteit (juridisch verplicht) is de stand per 1 maart 2015.</w:t>
      </w:r>
    </w:p>
    <w:p w:rsidR="006F445A" w:rsidRPr="00B95CC8" w:rsidRDefault="006F445A" w:rsidP="006F445A">
      <w:pPr>
        <w:pStyle w:val="Normaalweb"/>
        <w:rPr>
          <w:rFonts w:ascii="Verdana" w:hAnsi="Verdana"/>
          <w:sz w:val="20"/>
          <w:szCs w:val="20"/>
        </w:rPr>
      </w:pPr>
    </w:p>
    <w:p w:rsidR="006F445A" w:rsidRPr="00B95CC8" w:rsidRDefault="006F445A" w:rsidP="006F445A">
      <w:pPr>
        <w:pStyle w:val="Normaalweb"/>
        <w:rPr>
          <w:rFonts w:ascii="Verdana" w:hAnsi="Verdana"/>
          <w:sz w:val="20"/>
          <w:szCs w:val="20"/>
        </w:rPr>
      </w:pPr>
      <w:r w:rsidRPr="00B95CC8">
        <w:rPr>
          <w:rFonts w:ascii="Verdana" w:hAnsi="Verdana"/>
          <w:sz w:val="20"/>
          <w:szCs w:val="20"/>
        </w:rPr>
        <w:t xml:space="preserve">In de paragraaf agentschappen (zie </w:t>
      </w:r>
      <w:r>
        <w:rPr>
          <w:rFonts w:ascii="Verdana" w:hAnsi="Verdana"/>
          <w:sz w:val="20"/>
          <w:szCs w:val="20"/>
        </w:rPr>
        <w:t>paragraaf</w:t>
      </w:r>
      <w:r w:rsidRPr="00B95CC8">
        <w:rPr>
          <w:rFonts w:ascii="Verdana" w:hAnsi="Verdana"/>
          <w:sz w:val="20"/>
          <w:szCs w:val="20"/>
        </w:rPr>
        <w:t xml:space="preserve"> 2.4) staan de aanpassingen in de</w:t>
      </w:r>
    </w:p>
    <w:p w:rsidR="006F445A" w:rsidRPr="00B95CC8" w:rsidRDefault="006F445A" w:rsidP="006F445A">
      <w:pPr>
        <w:pStyle w:val="Normaalweb"/>
        <w:rPr>
          <w:rFonts w:ascii="Verdana" w:eastAsia="Times New Roman" w:hAnsi="Verdana" w:cs="Times New Roman"/>
          <w:sz w:val="20"/>
          <w:szCs w:val="20"/>
        </w:rPr>
      </w:pPr>
      <w:r w:rsidRPr="00B95CC8">
        <w:rPr>
          <w:rFonts w:ascii="Verdana" w:hAnsi="Verdana"/>
          <w:sz w:val="20"/>
          <w:szCs w:val="20"/>
        </w:rPr>
        <w:t>exploitatie- en kasstroomoverzichten van de agentschappen.</w:t>
      </w:r>
    </w:p>
    <w:p w:rsidR="006F445A" w:rsidRPr="00B95CC8" w:rsidRDefault="006F445A" w:rsidP="006F445A">
      <w:pPr>
        <w:pStyle w:val="Voettekst"/>
        <w:rPr>
          <w:rFonts w:ascii="Verdana" w:hAnsi="Verdana"/>
          <w:sz w:val="20"/>
          <w:szCs w:val="20"/>
        </w:rPr>
      </w:pPr>
    </w:p>
    <w:p w:rsidR="006F445A" w:rsidRPr="00B95CC8" w:rsidRDefault="006F445A" w:rsidP="006F445A">
      <w:pPr>
        <w:rPr>
          <w:rFonts w:ascii="Verdana" w:hAnsi="Verdana"/>
        </w:rPr>
      </w:pPr>
    </w:p>
    <w:p w:rsidR="006F445A" w:rsidRPr="00B95CC8" w:rsidRDefault="006F445A" w:rsidP="006F445A">
      <w:pPr>
        <w:rPr>
          <w:rFonts w:ascii="Verdana" w:hAnsi="Verdana"/>
          <w:b/>
          <w:bCs/>
        </w:rPr>
      </w:pPr>
      <w:r w:rsidRPr="00B95CC8">
        <w:rPr>
          <w:rFonts w:ascii="Verdana" w:hAnsi="Verdana"/>
          <w:b/>
          <w:bCs/>
        </w:rPr>
        <w:br w:type="page"/>
      </w:r>
      <w:r w:rsidRPr="00B95CC8">
        <w:rPr>
          <w:rFonts w:ascii="Verdana" w:hAnsi="Verdana"/>
          <w:b/>
          <w:bCs/>
        </w:rPr>
        <w:lastRenderedPageBreak/>
        <w:t xml:space="preserve">2. </w:t>
      </w:r>
      <w:r w:rsidRPr="00B95CC8">
        <w:rPr>
          <w:rFonts w:ascii="Verdana" w:hAnsi="Verdana"/>
          <w:b/>
          <w:bCs/>
        </w:rPr>
        <w:tab/>
        <w:t>Het beleid</w:t>
      </w:r>
    </w:p>
    <w:p w:rsidR="006F445A" w:rsidRPr="00B95CC8" w:rsidRDefault="006F445A" w:rsidP="006F445A">
      <w:pPr>
        <w:pStyle w:val="Voettekst"/>
        <w:rPr>
          <w:rFonts w:ascii="Verdana" w:hAnsi="Verdana"/>
          <w:sz w:val="20"/>
          <w:szCs w:val="20"/>
        </w:rPr>
      </w:pPr>
    </w:p>
    <w:p w:rsidR="006F445A" w:rsidRPr="00B95CC8" w:rsidRDefault="006F445A" w:rsidP="006F445A">
      <w:pPr>
        <w:rPr>
          <w:rFonts w:ascii="Verdana" w:hAnsi="Verdana"/>
          <w:b/>
          <w:bCs/>
        </w:rPr>
      </w:pPr>
      <w:r w:rsidRPr="00B95CC8">
        <w:rPr>
          <w:rFonts w:ascii="Verdana" w:hAnsi="Verdana"/>
          <w:b/>
          <w:bCs/>
        </w:rPr>
        <w:t>2.1</w:t>
      </w:r>
      <w:r w:rsidRPr="00B95CC8">
        <w:rPr>
          <w:rFonts w:ascii="Verdana" w:hAnsi="Verdana"/>
          <w:b/>
          <w:bCs/>
        </w:rPr>
        <w:tab/>
        <w:t>Overzicht belangrijkste uitgaven- en ontvangsten mutaties</w:t>
      </w:r>
    </w:p>
    <w:p w:rsidR="006F445A" w:rsidRPr="00B95CC8" w:rsidRDefault="006F445A" w:rsidP="006F445A">
      <w:pPr>
        <w:ind w:right="-426"/>
        <w:rPr>
          <w:rFonts w:ascii="Verdana" w:hAnsi="Verdana"/>
        </w:rPr>
      </w:pPr>
    </w:p>
    <w:p w:rsidR="006F445A" w:rsidRPr="00B95CC8" w:rsidRDefault="006F445A" w:rsidP="006F445A">
      <w:pPr>
        <w:ind w:right="-426"/>
        <w:rPr>
          <w:rFonts w:ascii="Verdana" w:hAnsi="Verdana"/>
          <w:b/>
        </w:rPr>
      </w:pPr>
      <w:r>
        <w:tab/>
      </w:r>
      <w:r>
        <w:rPr>
          <w:noProof/>
        </w:rPr>
        <w:drawing>
          <wp:inline distT="0" distB="0" distL="0" distR="0" wp14:anchorId="2125D132" wp14:editId="42D72F59">
            <wp:extent cx="5017135" cy="3840480"/>
            <wp:effectExtent l="1905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6" cstate="print"/>
                    <a:srcRect/>
                    <a:stretch>
                      <a:fillRect/>
                    </a:stretch>
                  </pic:blipFill>
                  <pic:spPr bwMode="auto">
                    <a:xfrm>
                      <a:off x="0" y="0"/>
                      <a:ext cx="5017135" cy="3840480"/>
                    </a:xfrm>
                    <a:prstGeom prst="rect">
                      <a:avLst/>
                    </a:prstGeom>
                    <a:noFill/>
                    <a:ln w="9525">
                      <a:noFill/>
                      <a:miter lim="800000"/>
                      <a:headEnd/>
                      <a:tailEnd/>
                    </a:ln>
                  </pic:spPr>
                </pic:pic>
              </a:graphicData>
            </a:graphic>
          </wp:inline>
        </w:drawing>
      </w:r>
    </w:p>
    <w:p w:rsidR="006F445A" w:rsidRPr="00B95CC8" w:rsidRDefault="006F445A" w:rsidP="006F445A">
      <w:pPr>
        <w:ind w:right="-426"/>
        <w:rPr>
          <w:rFonts w:ascii="Verdana" w:hAnsi="Verdana"/>
        </w:rPr>
      </w:pPr>
    </w:p>
    <w:p w:rsidR="006F445A" w:rsidRPr="00B95CC8" w:rsidRDefault="006F445A" w:rsidP="006F445A">
      <w:pPr>
        <w:ind w:right="-426"/>
        <w:rPr>
          <w:rFonts w:ascii="Verdana" w:hAnsi="Verdana"/>
          <w:b/>
        </w:rPr>
      </w:pPr>
      <w:r w:rsidRPr="00B95CC8">
        <w:rPr>
          <w:rFonts w:ascii="Verdana" w:hAnsi="Verdana"/>
          <w:b/>
        </w:rPr>
        <w:t>Toelichting</w:t>
      </w:r>
    </w:p>
    <w:p w:rsidR="006F445A" w:rsidRPr="00B95CC8" w:rsidRDefault="006F445A" w:rsidP="006F445A">
      <w:pPr>
        <w:pStyle w:val="Variabelegegevens"/>
        <w:keepLines w:val="0"/>
        <w:spacing w:line="240" w:lineRule="auto"/>
        <w:rPr>
          <w:rFonts w:ascii="Verdana" w:hAnsi="Verdana"/>
          <w:b/>
          <w:szCs w:val="20"/>
          <w:lang w:eastAsia="nl-NL"/>
        </w:rPr>
      </w:pPr>
    </w:p>
    <w:p w:rsidR="006F445A" w:rsidRPr="008A28CC" w:rsidRDefault="006F445A" w:rsidP="006F445A">
      <w:pPr>
        <w:pStyle w:val="Variabelegegevens"/>
        <w:keepLines w:val="0"/>
        <w:spacing w:line="240" w:lineRule="auto"/>
        <w:rPr>
          <w:rFonts w:ascii="Verdana" w:hAnsi="Verdana"/>
          <w:i/>
          <w:szCs w:val="20"/>
          <w:lang w:eastAsia="nl-NL"/>
        </w:rPr>
      </w:pPr>
      <w:r w:rsidRPr="008A28CC">
        <w:rPr>
          <w:rFonts w:ascii="Verdana" w:hAnsi="Verdana"/>
          <w:i/>
          <w:szCs w:val="20"/>
          <w:lang w:eastAsia="nl-NL"/>
        </w:rPr>
        <w:t>1.</w:t>
      </w:r>
      <w:r w:rsidRPr="008A28CC">
        <w:rPr>
          <w:rFonts w:ascii="Verdana" w:hAnsi="Verdana"/>
          <w:i/>
          <w:szCs w:val="20"/>
          <w:lang w:eastAsia="nl-NL"/>
        </w:rPr>
        <w:tab/>
        <w:t xml:space="preserve">Decentralisatie-uitkering Bodem </w:t>
      </w:r>
    </w:p>
    <w:p w:rsidR="006F445A" w:rsidRPr="00B95CC8" w:rsidRDefault="006F445A" w:rsidP="006F445A">
      <w:pPr>
        <w:pStyle w:val="Geenafstand"/>
        <w:ind w:left="708"/>
        <w:rPr>
          <w:rFonts w:ascii="Verdana" w:hAnsi="Verdana"/>
          <w:sz w:val="20"/>
          <w:szCs w:val="20"/>
        </w:rPr>
      </w:pPr>
      <w:r>
        <w:rPr>
          <w:rFonts w:ascii="Verdana" w:hAnsi="Verdana"/>
          <w:sz w:val="20"/>
          <w:szCs w:val="20"/>
        </w:rPr>
        <w:t xml:space="preserve">Het jaar </w:t>
      </w:r>
      <w:r w:rsidRPr="00B95CC8">
        <w:rPr>
          <w:rFonts w:ascii="Verdana" w:hAnsi="Verdana"/>
          <w:sz w:val="20"/>
          <w:szCs w:val="20"/>
        </w:rPr>
        <w:t xml:space="preserve">2015 is het laatste jaar van het ‘Convenant bodemontwikkelingsbeleid en aanpak spoedlocaties’. De middelen die zijn toegekend aan dit bodemconvenant worden gedecentraliseerd naar het Provinciefonds (€ 44 </w:t>
      </w:r>
      <w:r>
        <w:rPr>
          <w:rFonts w:ascii="Verdana" w:hAnsi="Verdana"/>
          <w:sz w:val="20"/>
          <w:szCs w:val="20"/>
        </w:rPr>
        <w:t>miljoen</w:t>
      </w:r>
      <w:r w:rsidRPr="00B95CC8">
        <w:rPr>
          <w:rFonts w:ascii="Verdana" w:hAnsi="Verdana"/>
          <w:sz w:val="20"/>
          <w:szCs w:val="20"/>
        </w:rPr>
        <w:t xml:space="preserve">) en </w:t>
      </w:r>
      <w:r>
        <w:rPr>
          <w:rFonts w:ascii="Verdana" w:hAnsi="Verdana"/>
          <w:sz w:val="20"/>
          <w:szCs w:val="20"/>
        </w:rPr>
        <w:t xml:space="preserve">het </w:t>
      </w:r>
      <w:r w:rsidRPr="00B95CC8">
        <w:rPr>
          <w:rFonts w:ascii="Verdana" w:hAnsi="Verdana"/>
          <w:sz w:val="20"/>
          <w:szCs w:val="20"/>
        </w:rPr>
        <w:t xml:space="preserve">Gemeentefonds (€ 39 </w:t>
      </w:r>
      <w:r>
        <w:rPr>
          <w:rFonts w:ascii="Verdana" w:hAnsi="Verdana"/>
          <w:sz w:val="20"/>
          <w:szCs w:val="20"/>
        </w:rPr>
        <w:t>miljoen</w:t>
      </w:r>
      <w:r w:rsidRPr="00B95CC8">
        <w:rPr>
          <w:rFonts w:ascii="Verdana" w:hAnsi="Verdana"/>
          <w:sz w:val="20"/>
          <w:szCs w:val="20"/>
        </w:rPr>
        <w:t xml:space="preserve">). Dit betreft het bodemconvenant dat loopt tot </w:t>
      </w:r>
      <w:r>
        <w:rPr>
          <w:rFonts w:ascii="Verdana" w:hAnsi="Verdana"/>
          <w:sz w:val="20"/>
          <w:szCs w:val="20"/>
        </w:rPr>
        <w:t xml:space="preserve">en met het jaar </w:t>
      </w:r>
      <w:r w:rsidRPr="00B95CC8">
        <w:rPr>
          <w:rFonts w:ascii="Verdana" w:hAnsi="Verdana"/>
          <w:sz w:val="20"/>
          <w:szCs w:val="20"/>
        </w:rPr>
        <w:t xml:space="preserve">2015. </w:t>
      </w:r>
    </w:p>
    <w:p w:rsidR="006F445A" w:rsidRPr="008A28CC" w:rsidRDefault="006F445A" w:rsidP="006F445A">
      <w:pPr>
        <w:pStyle w:val="Geenafstand"/>
        <w:rPr>
          <w:rFonts w:ascii="Verdana" w:hAnsi="Verdana"/>
          <w:i/>
          <w:sz w:val="20"/>
          <w:szCs w:val="20"/>
        </w:rPr>
      </w:pPr>
      <w:r w:rsidRPr="008A28CC">
        <w:rPr>
          <w:rFonts w:ascii="Verdana" w:hAnsi="Verdana"/>
          <w:i/>
          <w:sz w:val="20"/>
          <w:szCs w:val="20"/>
        </w:rPr>
        <w:t xml:space="preserve">2. </w:t>
      </w:r>
      <w:r w:rsidRPr="008A28CC">
        <w:rPr>
          <w:rFonts w:ascii="Verdana" w:hAnsi="Verdana"/>
          <w:i/>
          <w:sz w:val="20"/>
          <w:szCs w:val="20"/>
        </w:rPr>
        <w:tab/>
        <w:t>Overboeking EZ ten behoeve van ANVS</w:t>
      </w:r>
    </w:p>
    <w:p w:rsidR="006F445A" w:rsidRPr="00B95CC8" w:rsidRDefault="006F445A" w:rsidP="006F445A">
      <w:pPr>
        <w:pStyle w:val="Geenafstand"/>
        <w:ind w:left="708"/>
        <w:rPr>
          <w:rFonts w:ascii="Verdana" w:hAnsi="Verdana"/>
          <w:sz w:val="20"/>
          <w:szCs w:val="20"/>
        </w:rPr>
      </w:pPr>
      <w:r w:rsidRPr="00B95CC8">
        <w:rPr>
          <w:rFonts w:ascii="Verdana" w:hAnsi="Verdana"/>
          <w:sz w:val="20"/>
          <w:szCs w:val="20"/>
        </w:rPr>
        <w:t>In de Ministerraad van 24 januari 2014 is besloten om de expertise op het gebied van nucleaire veiligheid en stralingsbescherming bij IenM (ILT/KFD) en EZ (RVO/stralingslab, NIV) samen te voegen tot één onafhankelijke organisatie genaamd Autoriteit Nucleaire Veiligheid en Stralingsbescherming (ANVS)</w:t>
      </w:r>
      <w:r>
        <w:rPr>
          <w:rFonts w:ascii="Verdana" w:hAnsi="Verdana"/>
          <w:sz w:val="20"/>
          <w:szCs w:val="20"/>
        </w:rPr>
        <w:t xml:space="preserve"> en deze onderdeel te laten vormen van de organisatie IenM. De overboeking betreft de bijdrage </w:t>
      </w:r>
      <w:r w:rsidRPr="00B95CC8">
        <w:rPr>
          <w:rFonts w:ascii="Verdana" w:hAnsi="Verdana"/>
          <w:sz w:val="20"/>
          <w:szCs w:val="20"/>
        </w:rPr>
        <w:t xml:space="preserve">vanuit </w:t>
      </w:r>
      <w:r>
        <w:rPr>
          <w:rFonts w:ascii="Verdana" w:hAnsi="Verdana"/>
          <w:sz w:val="20"/>
          <w:szCs w:val="20"/>
        </w:rPr>
        <w:t xml:space="preserve">het Ministerie van </w:t>
      </w:r>
      <w:r w:rsidRPr="00B95CC8">
        <w:rPr>
          <w:rFonts w:ascii="Verdana" w:hAnsi="Verdana"/>
          <w:sz w:val="20"/>
          <w:szCs w:val="20"/>
        </w:rPr>
        <w:t>E</w:t>
      </w:r>
      <w:r>
        <w:rPr>
          <w:rFonts w:ascii="Verdana" w:hAnsi="Verdana"/>
          <w:sz w:val="20"/>
          <w:szCs w:val="20"/>
        </w:rPr>
        <w:t xml:space="preserve">conomische </w:t>
      </w:r>
      <w:r w:rsidRPr="00B95CC8">
        <w:rPr>
          <w:rFonts w:ascii="Verdana" w:hAnsi="Verdana"/>
          <w:sz w:val="20"/>
          <w:szCs w:val="20"/>
        </w:rPr>
        <w:t>Z</w:t>
      </w:r>
      <w:r>
        <w:rPr>
          <w:rFonts w:ascii="Verdana" w:hAnsi="Verdana"/>
          <w:sz w:val="20"/>
          <w:szCs w:val="20"/>
        </w:rPr>
        <w:t>aken</w:t>
      </w:r>
      <w:r w:rsidRPr="00B95CC8">
        <w:rPr>
          <w:rFonts w:ascii="Verdana" w:hAnsi="Verdana"/>
          <w:sz w:val="20"/>
          <w:szCs w:val="20"/>
        </w:rPr>
        <w:t xml:space="preserve"> </w:t>
      </w:r>
      <w:r>
        <w:rPr>
          <w:rFonts w:ascii="Verdana" w:hAnsi="Verdana"/>
          <w:sz w:val="20"/>
          <w:szCs w:val="20"/>
        </w:rPr>
        <w:t>aan</w:t>
      </w:r>
      <w:r w:rsidRPr="00B95CC8">
        <w:rPr>
          <w:rFonts w:ascii="Verdana" w:hAnsi="Verdana"/>
          <w:sz w:val="20"/>
          <w:szCs w:val="20"/>
        </w:rPr>
        <w:t xml:space="preserve"> IenM (€ 15 </w:t>
      </w:r>
      <w:r>
        <w:rPr>
          <w:rFonts w:ascii="Verdana" w:hAnsi="Verdana"/>
          <w:sz w:val="20"/>
          <w:szCs w:val="20"/>
        </w:rPr>
        <w:t>miljoen</w:t>
      </w:r>
      <w:r w:rsidRPr="00B95CC8">
        <w:rPr>
          <w:rFonts w:ascii="Verdana" w:hAnsi="Verdana"/>
          <w:sz w:val="20"/>
          <w:szCs w:val="20"/>
        </w:rPr>
        <w:t xml:space="preserve"> in 2015)</w:t>
      </w:r>
      <w:r>
        <w:rPr>
          <w:rFonts w:ascii="Verdana" w:hAnsi="Verdana"/>
          <w:sz w:val="20"/>
          <w:szCs w:val="20"/>
        </w:rPr>
        <w:t xml:space="preserve"> voor de oprichting ANVS.</w:t>
      </w:r>
    </w:p>
    <w:p w:rsidR="006F445A" w:rsidRPr="008A28CC" w:rsidRDefault="006F445A" w:rsidP="006F445A">
      <w:pPr>
        <w:pStyle w:val="Variabelegegevens"/>
        <w:keepLines w:val="0"/>
        <w:spacing w:line="240" w:lineRule="auto"/>
        <w:rPr>
          <w:rFonts w:ascii="Verdana" w:hAnsi="Verdana"/>
          <w:i/>
          <w:szCs w:val="20"/>
        </w:rPr>
      </w:pPr>
      <w:r>
        <w:rPr>
          <w:rFonts w:ascii="Verdana" w:hAnsi="Verdana"/>
          <w:i/>
          <w:szCs w:val="20"/>
          <w:lang w:eastAsia="nl-NL"/>
        </w:rPr>
        <w:t>3</w:t>
      </w:r>
      <w:r w:rsidRPr="008A28CC">
        <w:rPr>
          <w:rFonts w:ascii="Verdana" w:hAnsi="Verdana"/>
          <w:i/>
          <w:szCs w:val="20"/>
          <w:lang w:eastAsia="nl-NL"/>
        </w:rPr>
        <w:t>.</w:t>
      </w:r>
      <w:r w:rsidRPr="008A28CC">
        <w:rPr>
          <w:rFonts w:ascii="Verdana" w:hAnsi="Verdana"/>
          <w:i/>
          <w:szCs w:val="20"/>
          <w:lang w:eastAsia="nl-NL"/>
        </w:rPr>
        <w:tab/>
      </w:r>
      <w:r w:rsidRPr="008A28CC">
        <w:rPr>
          <w:rFonts w:ascii="Verdana" w:hAnsi="Verdana"/>
          <w:i/>
          <w:szCs w:val="20"/>
        </w:rPr>
        <w:t>Generieke Digitale Infrastructuur (GDI)</w:t>
      </w:r>
    </w:p>
    <w:p w:rsidR="006F445A" w:rsidRDefault="006F445A" w:rsidP="006F445A">
      <w:pPr>
        <w:pStyle w:val="Variabelegegevens"/>
        <w:ind w:left="708"/>
        <w:rPr>
          <w:rFonts w:ascii="Verdana" w:hAnsi="Verdana" w:cs="Univers"/>
          <w:szCs w:val="20"/>
        </w:rPr>
      </w:pPr>
      <w:r w:rsidRPr="00B95CC8">
        <w:rPr>
          <w:rFonts w:ascii="Verdana" w:hAnsi="Verdana" w:cstheme="minorHAnsi"/>
          <w:szCs w:val="20"/>
        </w:rPr>
        <w:t xml:space="preserve">Voor de digitale voorzieningen in het kader van de Generieke Digitale Infrastructuur boekt IenM € 5,6 </w:t>
      </w:r>
      <w:r>
        <w:rPr>
          <w:rFonts w:ascii="Verdana" w:hAnsi="Verdana" w:cstheme="minorHAnsi"/>
          <w:szCs w:val="20"/>
        </w:rPr>
        <w:t>miljoen over naar het M</w:t>
      </w:r>
      <w:r w:rsidRPr="00B95CC8">
        <w:rPr>
          <w:rFonts w:ascii="Verdana" w:hAnsi="Verdana" w:cstheme="minorHAnsi"/>
          <w:szCs w:val="20"/>
        </w:rPr>
        <w:t>inisterie van Binnenlandse Zaken</w:t>
      </w:r>
      <w:r>
        <w:rPr>
          <w:rFonts w:ascii="Verdana" w:hAnsi="Verdana" w:cstheme="minorHAnsi"/>
          <w:szCs w:val="20"/>
        </w:rPr>
        <w:t xml:space="preserve"> vanuit het artikel 99 Nominaal en Onvoorzien</w:t>
      </w:r>
      <w:r w:rsidRPr="00B95CC8">
        <w:rPr>
          <w:rFonts w:ascii="Verdana" w:hAnsi="Verdana" w:cstheme="minorHAnsi"/>
          <w:szCs w:val="20"/>
        </w:rPr>
        <w:t>.</w:t>
      </w:r>
      <w:r>
        <w:rPr>
          <w:rFonts w:ascii="Verdana" w:hAnsi="Verdana" w:cstheme="minorHAnsi"/>
          <w:szCs w:val="20"/>
        </w:rPr>
        <w:t xml:space="preserve"> </w:t>
      </w:r>
    </w:p>
    <w:p w:rsidR="006F445A" w:rsidRPr="00B95CC8" w:rsidRDefault="006F445A" w:rsidP="006F445A">
      <w:pPr>
        <w:pStyle w:val="Variabelegegevens"/>
        <w:keepLines w:val="0"/>
        <w:spacing w:line="240" w:lineRule="auto"/>
        <w:ind w:left="705" w:hanging="705"/>
        <w:rPr>
          <w:rFonts w:ascii="Verdana" w:hAnsi="Verdana"/>
          <w:szCs w:val="20"/>
        </w:rPr>
      </w:pPr>
      <w:r>
        <w:rPr>
          <w:rFonts w:ascii="Verdana" w:hAnsi="Verdana"/>
          <w:i/>
          <w:szCs w:val="20"/>
        </w:rPr>
        <w:t xml:space="preserve">4. </w:t>
      </w:r>
      <w:r>
        <w:rPr>
          <w:rFonts w:ascii="Verdana" w:hAnsi="Verdana"/>
          <w:i/>
          <w:szCs w:val="20"/>
        </w:rPr>
        <w:tab/>
      </w:r>
      <w:r w:rsidRPr="00432ECE">
        <w:rPr>
          <w:rFonts w:ascii="Verdana" w:hAnsi="Verdana"/>
          <w:i/>
          <w:szCs w:val="20"/>
        </w:rPr>
        <w:t>Caribisch Nederland</w:t>
      </w:r>
      <w:r w:rsidRPr="00432ECE">
        <w:rPr>
          <w:rFonts w:ascii="Verdana" w:hAnsi="Verdana"/>
          <w:i/>
          <w:szCs w:val="20"/>
        </w:rPr>
        <w:br/>
      </w:r>
      <w:r w:rsidRPr="00EF6C26">
        <w:rPr>
          <w:rFonts w:ascii="Verdana" w:hAnsi="Verdana"/>
        </w:rPr>
        <w:t xml:space="preserve">Voor het opzetten van het afvalbeheer op Caribisch Nederland vindt er </w:t>
      </w:r>
      <w:r>
        <w:rPr>
          <w:rFonts w:ascii="Verdana" w:hAnsi="Verdana"/>
        </w:rPr>
        <w:t xml:space="preserve">vanuit verschillende artikelen </w:t>
      </w:r>
      <w:r w:rsidRPr="00EF6C26">
        <w:rPr>
          <w:rFonts w:ascii="Verdana" w:hAnsi="Verdana"/>
        </w:rPr>
        <w:t>overboeking</w:t>
      </w:r>
      <w:r>
        <w:rPr>
          <w:rFonts w:ascii="Verdana" w:hAnsi="Verdana"/>
        </w:rPr>
        <w:t>en</w:t>
      </w:r>
      <w:r w:rsidRPr="00EF6C26">
        <w:rPr>
          <w:rFonts w:ascii="Verdana" w:hAnsi="Verdana"/>
        </w:rPr>
        <w:t xml:space="preserve"> plaats naar artikel</w:t>
      </w:r>
      <w:r>
        <w:rPr>
          <w:rFonts w:ascii="Verdana" w:hAnsi="Verdana"/>
        </w:rPr>
        <w:t>onderdeel</w:t>
      </w:r>
      <w:r w:rsidRPr="00EF6C26">
        <w:rPr>
          <w:rFonts w:ascii="Verdana" w:hAnsi="Verdana"/>
        </w:rPr>
        <w:t xml:space="preserve"> 21</w:t>
      </w:r>
      <w:r>
        <w:rPr>
          <w:rFonts w:ascii="Verdana" w:hAnsi="Verdana"/>
        </w:rPr>
        <w:t>.05 Uitvoering Duurzame Productketens waar de uitgaven voor het afvalbeheer op Caribisch Nederland worden verantwoord</w:t>
      </w:r>
      <w:r w:rsidRPr="00EF6C26">
        <w:rPr>
          <w:rFonts w:ascii="Verdana" w:hAnsi="Verdana"/>
        </w:rPr>
        <w:t xml:space="preserve">. Daarnaast zijn er vanuit verschillende artikelen middelen overgeboekt naar artikelonderdeel 13.04 Programma Gebiedsgericht </w:t>
      </w:r>
      <w:r w:rsidRPr="00EF6C26">
        <w:rPr>
          <w:rFonts w:ascii="Verdana" w:hAnsi="Verdana"/>
        </w:rPr>
        <w:lastRenderedPageBreak/>
        <w:t xml:space="preserve">Instrumentarium voor uitvoeringstaken </w:t>
      </w:r>
      <w:r>
        <w:rPr>
          <w:rFonts w:ascii="Verdana" w:hAnsi="Verdana"/>
        </w:rPr>
        <w:t xml:space="preserve">op het gebied van </w:t>
      </w:r>
      <w:r w:rsidRPr="00EF6C26">
        <w:rPr>
          <w:rFonts w:ascii="Verdana" w:hAnsi="Verdana"/>
        </w:rPr>
        <w:t>drinkwaterkwaliteit en drinkwaterkwantiteit op Caribisch Nederland.</w:t>
      </w:r>
    </w:p>
    <w:p w:rsidR="006F445A" w:rsidRPr="008A28CC" w:rsidRDefault="006F445A" w:rsidP="006F445A">
      <w:pPr>
        <w:pStyle w:val="Variabelegegevens"/>
        <w:keepLines w:val="0"/>
        <w:spacing w:line="240" w:lineRule="auto"/>
        <w:rPr>
          <w:rFonts w:ascii="Verdana" w:hAnsi="Verdana"/>
          <w:i/>
          <w:szCs w:val="20"/>
          <w:lang w:eastAsia="nl-NL"/>
        </w:rPr>
      </w:pPr>
      <w:r>
        <w:rPr>
          <w:rFonts w:ascii="Verdana" w:hAnsi="Verdana"/>
          <w:i/>
          <w:szCs w:val="20"/>
          <w:lang w:eastAsia="nl-NL"/>
        </w:rPr>
        <w:t>5</w:t>
      </w:r>
      <w:r w:rsidRPr="008A28CC">
        <w:rPr>
          <w:rFonts w:ascii="Verdana" w:hAnsi="Verdana"/>
          <w:i/>
          <w:szCs w:val="20"/>
          <w:lang w:eastAsia="nl-NL"/>
        </w:rPr>
        <w:t xml:space="preserve">. </w:t>
      </w:r>
      <w:r w:rsidRPr="008A28CC">
        <w:rPr>
          <w:rFonts w:ascii="Verdana" w:hAnsi="Verdana"/>
          <w:i/>
          <w:szCs w:val="20"/>
          <w:lang w:eastAsia="nl-NL"/>
        </w:rPr>
        <w:tab/>
        <w:t>Brede doeluitkering (BDU)</w:t>
      </w:r>
    </w:p>
    <w:p w:rsidR="006F445A" w:rsidRPr="00B95CC8" w:rsidRDefault="006F445A" w:rsidP="006F445A">
      <w:pPr>
        <w:pStyle w:val="Geenafstand"/>
        <w:ind w:left="708"/>
        <w:rPr>
          <w:rFonts w:ascii="Verdana" w:hAnsi="Verdana"/>
          <w:sz w:val="20"/>
          <w:szCs w:val="20"/>
        </w:rPr>
      </w:pPr>
      <w:r w:rsidRPr="00B95CC8">
        <w:rPr>
          <w:rFonts w:ascii="Verdana" w:hAnsi="Verdana"/>
          <w:sz w:val="20"/>
          <w:szCs w:val="20"/>
        </w:rPr>
        <w:t xml:space="preserve">Dit betreft met name een overboeking </w:t>
      </w:r>
      <w:r>
        <w:rPr>
          <w:rFonts w:ascii="Verdana" w:hAnsi="Verdana"/>
          <w:sz w:val="20"/>
          <w:szCs w:val="20"/>
        </w:rPr>
        <w:t>vanuit het Infrastructuurfonds naar Hoofdstuk XII artikel 25 Brede doeluitkering</w:t>
      </w:r>
      <w:r w:rsidRPr="00B95CC8">
        <w:rPr>
          <w:rFonts w:ascii="Verdana" w:hAnsi="Verdana"/>
          <w:sz w:val="20"/>
          <w:szCs w:val="20"/>
        </w:rPr>
        <w:t xml:space="preserve"> in het kader van het programma Beter Benutten (€ 58,9 miljoen). Daarnaast vinden diverse overboekingen plaats, waarvan de belangrijkste zijn: het toekennen aan de provincie Gelderland van de tranche 2015 voor de in het Lenteakkoord van 2012 afgesproken bijdrage aan 3 spoorlijnen in Oost Nederland, een tweetal toezeggingen aan de gemeente Utrecht, de decentralisatie bijdrage Zwolle-Enschede en een bijdrage aan de aanleg van P+R voorzieningen.</w:t>
      </w:r>
      <w:r>
        <w:rPr>
          <w:rFonts w:ascii="Verdana" w:hAnsi="Verdana"/>
          <w:sz w:val="20"/>
          <w:szCs w:val="20"/>
        </w:rPr>
        <w:t xml:space="preserve"> U treft een nadere toelichting aan in paragraaf 2.2.</w:t>
      </w:r>
    </w:p>
    <w:p w:rsidR="006F445A" w:rsidRPr="008A28CC" w:rsidRDefault="006F445A" w:rsidP="006F445A">
      <w:pPr>
        <w:pStyle w:val="Variabelegegevens"/>
        <w:keepLines w:val="0"/>
        <w:spacing w:line="240" w:lineRule="auto"/>
        <w:rPr>
          <w:rFonts w:ascii="Verdana" w:hAnsi="Verdana"/>
          <w:i/>
          <w:szCs w:val="20"/>
          <w:lang w:eastAsia="nl-NL"/>
        </w:rPr>
      </w:pPr>
      <w:r>
        <w:rPr>
          <w:rFonts w:ascii="Verdana" w:hAnsi="Verdana"/>
          <w:i/>
          <w:szCs w:val="20"/>
          <w:lang w:eastAsia="nl-NL"/>
        </w:rPr>
        <w:t>6</w:t>
      </w:r>
      <w:r w:rsidRPr="00432ECE">
        <w:rPr>
          <w:rFonts w:ascii="Verdana" w:hAnsi="Verdana"/>
          <w:i/>
          <w:szCs w:val="20"/>
          <w:lang w:eastAsia="nl-NL"/>
        </w:rPr>
        <w:t xml:space="preserve">. </w:t>
      </w:r>
      <w:r w:rsidRPr="00432ECE">
        <w:rPr>
          <w:rFonts w:ascii="Verdana" w:hAnsi="Verdana"/>
          <w:i/>
          <w:szCs w:val="20"/>
          <w:lang w:eastAsia="nl-NL"/>
        </w:rPr>
        <w:tab/>
        <w:t>Belasting Infraspeed</w:t>
      </w:r>
    </w:p>
    <w:p w:rsidR="006F445A" w:rsidRDefault="006F445A" w:rsidP="006F445A">
      <w:pPr>
        <w:pStyle w:val="Geenafstand"/>
        <w:ind w:left="708"/>
        <w:rPr>
          <w:rFonts w:ascii="Verdana" w:hAnsi="Verdana"/>
          <w:sz w:val="20"/>
          <w:szCs w:val="20"/>
        </w:rPr>
      </w:pPr>
      <w:r w:rsidRPr="00B95CC8">
        <w:rPr>
          <w:rFonts w:ascii="Verdana" w:hAnsi="Verdana"/>
          <w:sz w:val="20"/>
          <w:szCs w:val="20"/>
        </w:rPr>
        <w:t xml:space="preserve">Een bedrag van € 22,5 miljoen wordt in 2015 vanuit de algemene middelen overgeboekt naar het </w:t>
      </w:r>
      <w:r>
        <w:rPr>
          <w:rFonts w:ascii="Verdana" w:hAnsi="Verdana"/>
          <w:sz w:val="20"/>
          <w:szCs w:val="20"/>
        </w:rPr>
        <w:t>I</w:t>
      </w:r>
      <w:r w:rsidRPr="00B95CC8">
        <w:rPr>
          <w:rFonts w:ascii="Verdana" w:hAnsi="Verdana"/>
          <w:sz w:val="20"/>
          <w:szCs w:val="20"/>
        </w:rPr>
        <w:t>nfrastructuurfonds als gevolg van de clausule, opgenomen in het contract tussen de Staat en Infraspeed, met betrekking tot de aftrekbaarheid van de rente op de aandeelhoudersleningen.</w:t>
      </w:r>
      <w:r w:rsidRPr="00B95CC8">
        <w:rPr>
          <w:rFonts w:ascii="Verdana" w:hAnsi="Verdana"/>
          <w:b/>
          <w:sz w:val="20"/>
          <w:szCs w:val="20"/>
        </w:rPr>
        <w:t xml:space="preserve"> </w:t>
      </w:r>
      <w:r w:rsidRPr="00B95CC8">
        <w:rPr>
          <w:rFonts w:ascii="Verdana" w:hAnsi="Verdana"/>
          <w:sz w:val="20"/>
          <w:szCs w:val="20"/>
        </w:rPr>
        <w:t>Tot en met 2028 wordt er in totaal een bedrag van € 60,3 miljoen</w:t>
      </w:r>
      <w:r w:rsidRPr="00B95CC8">
        <w:rPr>
          <w:rFonts w:ascii="Verdana" w:hAnsi="Verdana"/>
          <w:b/>
          <w:i/>
          <w:sz w:val="20"/>
          <w:szCs w:val="20"/>
        </w:rPr>
        <w:t xml:space="preserve"> </w:t>
      </w:r>
      <w:r w:rsidRPr="00B95CC8">
        <w:rPr>
          <w:rFonts w:ascii="Verdana" w:hAnsi="Verdana"/>
          <w:sz w:val="20"/>
          <w:szCs w:val="20"/>
        </w:rPr>
        <w:t>overgeboekt.</w:t>
      </w:r>
    </w:p>
    <w:p w:rsidR="006F445A" w:rsidRPr="00EF6C26" w:rsidRDefault="006F445A" w:rsidP="006F445A">
      <w:pPr>
        <w:pStyle w:val="Variabelegegevens"/>
        <w:keepLines w:val="0"/>
        <w:spacing w:line="240" w:lineRule="auto"/>
        <w:rPr>
          <w:rFonts w:ascii="Verdana" w:hAnsi="Verdana"/>
          <w:i/>
          <w:szCs w:val="20"/>
        </w:rPr>
      </w:pPr>
      <w:r>
        <w:rPr>
          <w:rFonts w:ascii="Verdana" w:hAnsi="Verdana"/>
          <w:i/>
          <w:szCs w:val="20"/>
        </w:rPr>
        <w:t>7.</w:t>
      </w:r>
      <w:r>
        <w:rPr>
          <w:rFonts w:ascii="Verdana" w:hAnsi="Verdana"/>
          <w:i/>
          <w:szCs w:val="20"/>
        </w:rPr>
        <w:tab/>
      </w:r>
      <w:r w:rsidRPr="00EF6C26">
        <w:rPr>
          <w:rFonts w:ascii="Verdana" w:hAnsi="Verdana"/>
          <w:i/>
          <w:szCs w:val="20"/>
        </w:rPr>
        <w:t>Topsector Logistiek</w:t>
      </w:r>
    </w:p>
    <w:p w:rsidR="006F445A" w:rsidRPr="00EF6C26" w:rsidRDefault="006F445A" w:rsidP="006F445A">
      <w:pPr>
        <w:pStyle w:val="Variabelegegevens"/>
        <w:keepLines w:val="0"/>
        <w:spacing w:line="240" w:lineRule="auto"/>
        <w:ind w:left="708"/>
        <w:rPr>
          <w:rFonts w:ascii="Verdana" w:hAnsi="Verdana"/>
          <w:b/>
          <w:szCs w:val="20"/>
        </w:rPr>
      </w:pPr>
      <w:r>
        <w:rPr>
          <w:rFonts w:ascii="Verdana" w:hAnsi="Verdana"/>
        </w:rPr>
        <w:t>Voor het jaar 2015 wordt t</w:t>
      </w:r>
      <w:r w:rsidRPr="00EF6C26">
        <w:rPr>
          <w:rFonts w:ascii="Verdana" w:hAnsi="Verdana"/>
        </w:rPr>
        <w:t>en behoeve van de financiële dekking voor het jaarplan 2015</w:t>
      </w:r>
      <w:r>
        <w:rPr>
          <w:rFonts w:ascii="Verdana" w:hAnsi="Verdana"/>
        </w:rPr>
        <w:t xml:space="preserve"> </w:t>
      </w:r>
      <w:r w:rsidRPr="00EF6C26">
        <w:rPr>
          <w:rFonts w:ascii="Verdana" w:hAnsi="Verdana"/>
        </w:rPr>
        <w:t>van de Topsector Logistiek € 8,5 m</w:t>
      </w:r>
      <w:r>
        <w:rPr>
          <w:rFonts w:ascii="Verdana" w:hAnsi="Verdana"/>
        </w:rPr>
        <w:t>iljoen</w:t>
      </w:r>
      <w:r w:rsidRPr="00EF6C26">
        <w:rPr>
          <w:rFonts w:ascii="Verdana" w:hAnsi="Verdana"/>
        </w:rPr>
        <w:t xml:space="preserve"> overgeheveld vanuit het Infrastructuurfonds naar Hoofdstuk XII.</w:t>
      </w:r>
      <w:r>
        <w:rPr>
          <w:rFonts w:ascii="Verdana" w:hAnsi="Verdana"/>
        </w:rPr>
        <w:t xml:space="preserve"> Meerjarig wordt er in totaal € 42 miljoen overgeboekt (periode 2015-2020). In 2015 wordt er een verplichting aangegaan van € 20,5 miljoen.</w:t>
      </w:r>
    </w:p>
    <w:p w:rsidR="006F445A" w:rsidRPr="00EF6C26" w:rsidRDefault="006F445A" w:rsidP="006F445A">
      <w:pPr>
        <w:pStyle w:val="Variabelegegevens"/>
        <w:keepLines w:val="0"/>
        <w:spacing w:line="240" w:lineRule="auto"/>
        <w:rPr>
          <w:rFonts w:ascii="Verdana" w:hAnsi="Verdana"/>
          <w:i/>
          <w:szCs w:val="20"/>
        </w:rPr>
      </w:pPr>
      <w:r>
        <w:rPr>
          <w:rFonts w:ascii="Verdana" w:hAnsi="Verdana"/>
          <w:i/>
          <w:szCs w:val="20"/>
        </w:rPr>
        <w:t>8</w:t>
      </w:r>
      <w:r w:rsidRPr="00EF6C26">
        <w:rPr>
          <w:rFonts w:ascii="Verdana" w:hAnsi="Verdana"/>
          <w:i/>
          <w:szCs w:val="20"/>
        </w:rPr>
        <w:t>.</w:t>
      </w:r>
      <w:r w:rsidRPr="00EF6C26">
        <w:rPr>
          <w:rFonts w:ascii="Verdana" w:hAnsi="Verdana"/>
          <w:i/>
          <w:szCs w:val="20"/>
        </w:rPr>
        <w:tab/>
        <w:t>Overboeking IF Luchtkwaliteit</w:t>
      </w:r>
    </w:p>
    <w:p w:rsidR="006F445A" w:rsidRPr="00EF6C26" w:rsidRDefault="006F445A" w:rsidP="006F445A">
      <w:pPr>
        <w:pStyle w:val="Variabelegegevens"/>
        <w:keepLines w:val="0"/>
        <w:spacing w:line="240" w:lineRule="auto"/>
        <w:ind w:left="708"/>
        <w:rPr>
          <w:rFonts w:ascii="Verdana" w:hAnsi="Verdana"/>
          <w:szCs w:val="20"/>
        </w:rPr>
      </w:pPr>
      <w:r w:rsidRPr="00EF6C26">
        <w:rPr>
          <w:rFonts w:ascii="Verdana" w:hAnsi="Verdana"/>
          <w:szCs w:val="20"/>
        </w:rPr>
        <w:t>Op het Infrastructuurfonds staat in de periode 2</w:t>
      </w:r>
      <w:r>
        <w:rPr>
          <w:rFonts w:ascii="Verdana" w:hAnsi="Verdana"/>
          <w:szCs w:val="20"/>
        </w:rPr>
        <w:t>015-2018 een nog resterend bedrag van € 23 miljoen</w:t>
      </w:r>
      <w:r w:rsidRPr="00EF6C26">
        <w:rPr>
          <w:rFonts w:ascii="Verdana" w:hAnsi="Verdana"/>
          <w:szCs w:val="20"/>
        </w:rPr>
        <w:t xml:space="preserve"> gereserveerd voor </w:t>
      </w:r>
      <w:r>
        <w:rPr>
          <w:rFonts w:ascii="Verdana" w:hAnsi="Verdana"/>
          <w:szCs w:val="20"/>
        </w:rPr>
        <w:t>maatregelen</w:t>
      </w:r>
      <w:r w:rsidRPr="00EF6C26">
        <w:rPr>
          <w:rFonts w:ascii="Verdana" w:hAnsi="Verdana"/>
          <w:szCs w:val="20"/>
        </w:rPr>
        <w:t xml:space="preserve"> in het kader van het Nationaal Samenwerkingsprogramma Luchtkwaliteit</w:t>
      </w:r>
      <w:r>
        <w:rPr>
          <w:rFonts w:ascii="Verdana" w:hAnsi="Verdana"/>
          <w:szCs w:val="20"/>
        </w:rPr>
        <w:t xml:space="preserve"> (NSL), waarvan € 5 miljoen in 2015</w:t>
      </w:r>
      <w:r w:rsidRPr="00EF6C26">
        <w:rPr>
          <w:rFonts w:ascii="Verdana" w:hAnsi="Verdana"/>
          <w:szCs w:val="20"/>
        </w:rPr>
        <w:t xml:space="preserve">. De uitvoering van deze </w:t>
      </w:r>
      <w:r>
        <w:rPr>
          <w:rFonts w:ascii="Verdana" w:hAnsi="Verdana"/>
          <w:szCs w:val="20"/>
        </w:rPr>
        <w:t>maatregelen</w:t>
      </w:r>
      <w:r w:rsidRPr="00EF6C26">
        <w:rPr>
          <w:rFonts w:ascii="Verdana" w:hAnsi="Verdana"/>
          <w:szCs w:val="20"/>
        </w:rPr>
        <w:t xml:space="preserve"> word</w:t>
      </w:r>
      <w:r>
        <w:rPr>
          <w:rFonts w:ascii="Verdana" w:hAnsi="Verdana"/>
          <w:szCs w:val="20"/>
        </w:rPr>
        <w:t>en</w:t>
      </w:r>
      <w:r w:rsidRPr="00EF6C26">
        <w:rPr>
          <w:rFonts w:ascii="Verdana" w:hAnsi="Verdana"/>
          <w:szCs w:val="20"/>
        </w:rPr>
        <w:t xml:space="preserve"> verantwoord op Hoofdstuk XII, artikel 20</w:t>
      </w:r>
      <w:r>
        <w:rPr>
          <w:rFonts w:ascii="Verdana" w:hAnsi="Verdana"/>
          <w:szCs w:val="20"/>
        </w:rPr>
        <w:t xml:space="preserve"> Lucht en Geluid</w:t>
      </w:r>
      <w:r w:rsidRPr="00EF6C26">
        <w:rPr>
          <w:rFonts w:ascii="Verdana" w:hAnsi="Verdana"/>
          <w:szCs w:val="20"/>
        </w:rPr>
        <w:t>. Bij deze begroting hevelt IenM de middelen over naar Hoofdstuk XII ten behoeve van een correcte verantwoording aan de Tweede Kamer.</w:t>
      </w:r>
      <w:r>
        <w:rPr>
          <w:rFonts w:ascii="Verdana" w:hAnsi="Verdana"/>
          <w:szCs w:val="20"/>
        </w:rPr>
        <w:t xml:space="preserve"> </w:t>
      </w:r>
    </w:p>
    <w:p w:rsidR="006F445A" w:rsidRPr="008A28CC" w:rsidRDefault="006F445A" w:rsidP="006F445A">
      <w:pPr>
        <w:pStyle w:val="Variabelegegevens"/>
        <w:keepLines w:val="0"/>
        <w:spacing w:line="240" w:lineRule="auto"/>
        <w:rPr>
          <w:rFonts w:ascii="Verdana" w:hAnsi="Verdana"/>
          <w:i/>
          <w:szCs w:val="20"/>
          <w:lang w:eastAsia="nl-NL"/>
        </w:rPr>
      </w:pPr>
      <w:r>
        <w:rPr>
          <w:rFonts w:ascii="Verdana" w:hAnsi="Verdana"/>
          <w:i/>
          <w:szCs w:val="20"/>
          <w:lang w:eastAsia="nl-NL"/>
        </w:rPr>
        <w:t>9</w:t>
      </w:r>
      <w:r w:rsidRPr="00432ECE">
        <w:rPr>
          <w:rFonts w:ascii="Verdana" w:hAnsi="Verdana"/>
          <w:i/>
          <w:szCs w:val="20"/>
          <w:lang w:eastAsia="nl-NL"/>
        </w:rPr>
        <w:t>.</w:t>
      </w:r>
      <w:r w:rsidRPr="00432ECE">
        <w:rPr>
          <w:rFonts w:ascii="Verdana" w:hAnsi="Verdana"/>
          <w:i/>
          <w:szCs w:val="20"/>
          <w:lang w:eastAsia="nl-NL"/>
        </w:rPr>
        <w:tab/>
        <w:t>Generale kasschuif: Bijdragen derden (Infrastructuurfonds)</w:t>
      </w:r>
    </w:p>
    <w:p w:rsidR="006F445A" w:rsidRPr="00B95CC8" w:rsidRDefault="006F445A" w:rsidP="006F445A">
      <w:pPr>
        <w:pStyle w:val="Geenafstand"/>
        <w:ind w:left="708"/>
        <w:rPr>
          <w:rFonts w:ascii="Verdana" w:hAnsi="Verdana"/>
          <w:sz w:val="20"/>
          <w:szCs w:val="20"/>
        </w:rPr>
      </w:pPr>
      <w:r w:rsidRPr="00B95CC8">
        <w:rPr>
          <w:rFonts w:ascii="Verdana" w:hAnsi="Verdana"/>
          <w:sz w:val="20"/>
          <w:szCs w:val="20"/>
        </w:rPr>
        <w:t xml:space="preserve">Deze post bestaat uit diverse ontvangsten van derden. De belangrijkste bijdragen zijn een bijdrage van Vlaanderen aan het project Kanaal Gent-Terneuzen (€ 120,0 miljoen), een bijdrage van de regio aan de N35 Nijverdal-Wierden (€ 71,5 miljoen) en een bijdrage van de provincie Noord-Holland aan het project Zeetoegang IJmond (€ 56,7 miljoen). De projectuitgaven van deze projecten zijn pas in latere jaren voorzien. Middels een kasschuif via het generale beeld, worden deze financiële middelen (€ 250 miljoen) verschoven van 2015 naar 2016 (€ 100 miljoen) 2018 (€ 75 miljoen) en 2019 (€ 75 miljoen). Aangezien de voeding van het </w:t>
      </w:r>
      <w:r>
        <w:rPr>
          <w:rFonts w:ascii="Verdana" w:hAnsi="Verdana"/>
          <w:sz w:val="20"/>
          <w:szCs w:val="20"/>
        </w:rPr>
        <w:t>Infrastructuurfonds</w:t>
      </w:r>
      <w:r w:rsidRPr="00B95CC8">
        <w:rPr>
          <w:rFonts w:ascii="Verdana" w:hAnsi="Verdana"/>
          <w:sz w:val="20"/>
          <w:szCs w:val="20"/>
        </w:rPr>
        <w:t xml:space="preserve"> via artikel 26 loopt, wordt deze kasschuif ook op Hoofdstuk XII zichtbaar. Zie voor meer toelichting de 1</w:t>
      </w:r>
      <w:r w:rsidRPr="00B95CC8">
        <w:rPr>
          <w:rFonts w:ascii="Verdana" w:hAnsi="Verdana"/>
          <w:sz w:val="20"/>
          <w:szCs w:val="20"/>
          <w:vertAlign w:val="superscript"/>
        </w:rPr>
        <w:t>e</w:t>
      </w:r>
      <w:r w:rsidRPr="00B95CC8">
        <w:rPr>
          <w:rFonts w:ascii="Verdana" w:hAnsi="Verdana"/>
          <w:sz w:val="20"/>
          <w:szCs w:val="20"/>
        </w:rPr>
        <w:t xml:space="preserve"> suppletoire 2015 van het </w:t>
      </w:r>
      <w:r>
        <w:rPr>
          <w:rFonts w:ascii="Verdana" w:hAnsi="Verdana"/>
          <w:sz w:val="20"/>
          <w:szCs w:val="20"/>
        </w:rPr>
        <w:t>Infrastructuurfonds</w:t>
      </w:r>
      <w:r w:rsidRPr="00B95CC8">
        <w:rPr>
          <w:rFonts w:ascii="Verdana" w:hAnsi="Verdana"/>
          <w:sz w:val="20"/>
          <w:szCs w:val="20"/>
        </w:rPr>
        <w:t>.</w:t>
      </w:r>
    </w:p>
    <w:p w:rsidR="006F445A" w:rsidRPr="008A28CC" w:rsidRDefault="006F445A" w:rsidP="006F445A">
      <w:pPr>
        <w:pStyle w:val="Variabelegegevens"/>
        <w:keepLines w:val="0"/>
        <w:spacing w:line="240" w:lineRule="auto"/>
        <w:rPr>
          <w:rFonts w:ascii="Verdana" w:hAnsi="Verdana"/>
          <w:i/>
          <w:szCs w:val="20"/>
          <w:lang w:eastAsia="nl-NL"/>
        </w:rPr>
      </w:pPr>
      <w:r>
        <w:rPr>
          <w:rFonts w:ascii="Verdana" w:hAnsi="Verdana"/>
          <w:i/>
          <w:szCs w:val="20"/>
          <w:lang w:eastAsia="nl-NL"/>
        </w:rPr>
        <w:t>10</w:t>
      </w:r>
      <w:r w:rsidRPr="00432ECE">
        <w:rPr>
          <w:rFonts w:ascii="Verdana" w:hAnsi="Verdana"/>
          <w:i/>
          <w:szCs w:val="20"/>
          <w:lang w:eastAsia="nl-NL"/>
        </w:rPr>
        <w:t xml:space="preserve">. </w:t>
      </w:r>
      <w:r w:rsidRPr="00432ECE">
        <w:rPr>
          <w:rFonts w:ascii="Verdana" w:hAnsi="Verdana"/>
          <w:i/>
          <w:szCs w:val="20"/>
          <w:lang w:eastAsia="nl-NL"/>
        </w:rPr>
        <w:tab/>
        <w:t>Generale kasschuif Deltafonds</w:t>
      </w:r>
    </w:p>
    <w:p w:rsidR="006F445A" w:rsidRDefault="006F445A" w:rsidP="006F445A">
      <w:pPr>
        <w:pStyle w:val="Variabelegegevens"/>
        <w:keepLines w:val="0"/>
        <w:spacing w:line="240" w:lineRule="auto"/>
        <w:ind w:left="708"/>
        <w:rPr>
          <w:rFonts w:ascii="Verdana" w:hAnsi="Verdana"/>
          <w:szCs w:val="20"/>
          <w:lang w:eastAsia="nl-NL"/>
        </w:rPr>
      </w:pPr>
      <w:r w:rsidRPr="00B95CC8">
        <w:rPr>
          <w:rFonts w:ascii="Verdana" w:hAnsi="Verdana"/>
          <w:szCs w:val="20"/>
          <w:lang w:eastAsia="nl-NL"/>
        </w:rPr>
        <w:t>Op het Deltafonds lopen een aantal uitvoeringsprogramma’s af. Daarnaast zijn de deltabeslissingen genomen en is het nieuwe Hoogwaterbeschermingsprogramma opgestart.</w:t>
      </w:r>
      <w:r>
        <w:rPr>
          <w:rFonts w:ascii="Verdana" w:hAnsi="Verdana"/>
          <w:szCs w:val="20"/>
          <w:lang w:eastAsia="nl-NL"/>
        </w:rPr>
        <w:t xml:space="preserve"> Dit leidt een beperkte herijking van de kasprognoses.</w:t>
      </w:r>
      <w:r w:rsidRPr="00B95CC8">
        <w:rPr>
          <w:rFonts w:ascii="Verdana" w:hAnsi="Verdana"/>
          <w:szCs w:val="20"/>
          <w:lang w:eastAsia="nl-NL"/>
        </w:rPr>
        <w:t xml:space="preserve"> Derhalve wordt een kasschuif via de algemene middelen van € 75 miljoen op het Deltafonds van 2015 naar 2019 aangebracht. Aangezien de voeding van het Deltafonds via artikel 26 loopt, wordt deze kasschuif ook op Hoofdstuk XII zichtbaar. Zie voor meer toelichting de 1</w:t>
      </w:r>
      <w:r w:rsidRPr="00B95CC8">
        <w:rPr>
          <w:rFonts w:ascii="Verdana" w:hAnsi="Verdana"/>
          <w:szCs w:val="20"/>
          <w:vertAlign w:val="superscript"/>
          <w:lang w:eastAsia="nl-NL"/>
        </w:rPr>
        <w:t>e</w:t>
      </w:r>
      <w:r w:rsidRPr="00B95CC8">
        <w:rPr>
          <w:rFonts w:ascii="Verdana" w:hAnsi="Verdana"/>
          <w:szCs w:val="20"/>
          <w:lang w:eastAsia="nl-NL"/>
        </w:rPr>
        <w:t xml:space="preserve"> suppletoire 2015 van het Deltafonds.</w:t>
      </w:r>
    </w:p>
    <w:p w:rsidR="006F445A" w:rsidRPr="00EF6C26" w:rsidRDefault="006F445A" w:rsidP="006F445A">
      <w:pPr>
        <w:pStyle w:val="Variabelegegevens"/>
        <w:keepLines w:val="0"/>
        <w:spacing w:line="240" w:lineRule="auto"/>
        <w:rPr>
          <w:rFonts w:ascii="Verdana" w:hAnsi="Verdana"/>
          <w:i/>
          <w:szCs w:val="20"/>
          <w:lang w:eastAsia="nl-NL"/>
        </w:rPr>
      </w:pPr>
      <w:r>
        <w:rPr>
          <w:rFonts w:ascii="Verdana" w:hAnsi="Verdana"/>
          <w:i/>
          <w:szCs w:val="20"/>
          <w:lang w:eastAsia="nl-NL"/>
        </w:rPr>
        <w:t xml:space="preserve">11. </w:t>
      </w:r>
      <w:r>
        <w:rPr>
          <w:rFonts w:ascii="Verdana" w:hAnsi="Verdana"/>
          <w:i/>
          <w:szCs w:val="20"/>
          <w:lang w:eastAsia="nl-NL"/>
        </w:rPr>
        <w:tab/>
      </w:r>
      <w:r w:rsidRPr="00EF6C26">
        <w:rPr>
          <w:rFonts w:ascii="Verdana" w:hAnsi="Verdana"/>
          <w:i/>
          <w:szCs w:val="20"/>
          <w:lang w:eastAsia="nl-NL"/>
        </w:rPr>
        <w:t>Homogene Groep Internationale Samenwerking (HGIS)</w:t>
      </w:r>
    </w:p>
    <w:p w:rsidR="006F445A" w:rsidRDefault="006F445A" w:rsidP="006F445A">
      <w:pPr>
        <w:pStyle w:val="Variabelegegevens"/>
        <w:spacing w:line="240" w:lineRule="auto"/>
        <w:ind w:left="708"/>
        <w:rPr>
          <w:rFonts w:ascii="Verdana" w:hAnsi="Verdana"/>
        </w:rPr>
      </w:pPr>
      <w:r w:rsidRPr="00EF6C26">
        <w:rPr>
          <w:rFonts w:ascii="Verdana" w:hAnsi="Verdana"/>
          <w:szCs w:val="20"/>
        </w:rPr>
        <w:t xml:space="preserve">Dit betreft HGIS middelen voor onder meer de uitvoering van Partners voor Water, ESTEC (European Space Research and Technology Centre) en de afhandeling van een in Panama aangespannen arbitragezaak over </w:t>
      </w:r>
      <w:r w:rsidRPr="00EF6C26">
        <w:rPr>
          <w:rFonts w:ascii="Verdana" w:hAnsi="Verdana"/>
        </w:rPr>
        <w:t>het wel of niet moeten afnemen van emissierechten uit het CDM-waterkrachtproject Xacbal/Panama</w:t>
      </w:r>
      <w:r w:rsidRPr="00EF6C26">
        <w:rPr>
          <w:rFonts w:ascii="Verdana" w:hAnsi="Verdana"/>
          <w:szCs w:val="20"/>
        </w:rPr>
        <w:t xml:space="preserve"> </w:t>
      </w:r>
      <w:r w:rsidRPr="00EF6C26">
        <w:rPr>
          <w:rFonts w:ascii="Verdana" w:hAnsi="Verdana"/>
        </w:rPr>
        <w:t>In februari 2015 is de uitspraak gekomen en negatief voor Nederland geëindigd. Conform HGIS-besluitvorming 2014 wordt IenM hiervoor gecompenseerd vanuit de HGIS.</w:t>
      </w:r>
    </w:p>
    <w:p w:rsidR="006F445A" w:rsidRDefault="006F445A" w:rsidP="006F445A">
      <w:pPr>
        <w:pStyle w:val="Variabelegegevens"/>
        <w:spacing w:line="240" w:lineRule="auto"/>
        <w:ind w:left="708"/>
        <w:rPr>
          <w:rFonts w:ascii="Verdana" w:hAnsi="Verdana"/>
        </w:rPr>
      </w:pPr>
    </w:p>
    <w:p w:rsidR="006F445A" w:rsidRPr="00EF6C26" w:rsidRDefault="006F445A" w:rsidP="006F445A">
      <w:pPr>
        <w:pStyle w:val="Variabelegegevens"/>
        <w:spacing w:line="240" w:lineRule="auto"/>
        <w:ind w:left="708"/>
        <w:rPr>
          <w:rFonts w:ascii="Verdana" w:hAnsi="Verdana"/>
          <w:szCs w:val="20"/>
        </w:rPr>
      </w:pPr>
      <w:r w:rsidRPr="00EF6C26">
        <w:rPr>
          <w:rFonts w:ascii="Verdana" w:hAnsi="Verdana"/>
          <w:szCs w:val="20"/>
        </w:rPr>
        <w:t xml:space="preserve"> </w:t>
      </w:r>
    </w:p>
    <w:p w:rsidR="006F445A" w:rsidRPr="00B10E91" w:rsidRDefault="006F445A" w:rsidP="006F445A">
      <w:pPr>
        <w:pStyle w:val="Variabelegegevens"/>
        <w:keepLines w:val="0"/>
        <w:spacing w:line="240" w:lineRule="auto"/>
        <w:rPr>
          <w:rFonts w:ascii="Verdana" w:hAnsi="Verdana"/>
          <w:i/>
          <w:szCs w:val="20"/>
          <w:lang w:eastAsia="nl-NL"/>
        </w:rPr>
      </w:pPr>
      <w:r>
        <w:rPr>
          <w:rFonts w:ascii="Verdana" w:hAnsi="Verdana"/>
          <w:i/>
        </w:rPr>
        <w:t>12</w:t>
      </w:r>
      <w:r w:rsidRPr="00432ECE">
        <w:rPr>
          <w:rFonts w:ascii="Verdana" w:hAnsi="Verdana"/>
          <w:i/>
        </w:rPr>
        <w:t xml:space="preserve">. </w:t>
      </w:r>
      <w:r w:rsidRPr="00432ECE">
        <w:rPr>
          <w:rFonts w:ascii="Verdana" w:hAnsi="Verdana"/>
          <w:i/>
          <w:szCs w:val="20"/>
          <w:lang w:eastAsia="nl-NL"/>
        </w:rPr>
        <w:tab/>
        <w:t>Eindejaarsmarge</w:t>
      </w:r>
    </w:p>
    <w:p w:rsidR="006F445A" w:rsidRDefault="006F445A" w:rsidP="006F445A">
      <w:pPr>
        <w:pStyle w:val="Variabelegegevens"/>
        <w:keepLines w:val="0"/>
        <w:spacing w:line="240" w:lineRule="auto"/>
        <w:ind w:left="708"/>
        <w:rPr>
          <w:rFonts w:ascii="Verdana" w:hAnsi="Verdana"/>
          <w:szCs w:val="20"/>
        </w:rPr>
      </w:pPr>
      <w:r w:rsidRPr="00B95CC8">
        <w:rPr>
          <w:rFonts w:ascii="Verdana" w:hAnsi="Verdana"/>
          <w:szCs w:val="20"/>
          <w:lang w:eastAsia="nl-NL"/>
        </w:rPr>
        <w:t>Bij 1</w:t>
      </w:r>
      <w:r w:rsidRPr="00B95CC8">
        <w:rPr>
          <w:rFonts w:ascii="Verdana" w:hAnsi="Verdana"/>
          <w:szCs w:val="20"/>
          <w:vertAlign w:val="superscript"/>
          <w:lang w:eastAsia="nl-NL"/>
        </w:rPr>
        <w:t>e</w:t>
      </w:r>
      <w:r w:rsidRPr="00B95CC8">
        <w:rPr>
          <w:rFonts w:ascii="Verdana" w:hAnsi="Verdana"/>
          <w:szCs w:val="20"/>
          <w:lang w:eastAsia="nl-NL"/>
        </w:rPr>
        <w:t xml:space="preserve"> suppletoire wordt het voordelig saldo</w:t>
      </w:r>
      <w:r>
        <w:rPr>
          <w:rFonts w:ascii="Verdana" w:hAnsi="Verdana"/>
          <w:szCs w:val="20"/>
          <w:lang w:eastAsia="nl-NL"/>
        </w:rPr>
        <w:t xml:space="preserve"> voor 2014</w:t>
      </w:r>
      <w:r w:rsidRPr="00B95CC8">
        <w:rPr>
          <w:rFonts w:ascii="Verdana" w:hAnsi="Verdana"/>
          <w:szCs w:val="20"/>
          <w:lang w:eastAsia="nl-NL"/>
        </w:rPr>
        <w:t xml:space="preserve"> </w:t>
      </w:r>
      <w:r w:rsidRPr="00B95CC8">
        <w:rPr>
          <w:rFonts w:ascii="Verdana" w:hAnsi="Verdana"/>
          <w:szCs w:val="20"/>
        </w:rPr>
        <w:t xml:space="preserve">via de eindejaarsmarge aan de begroting van IenM toegevoegd op Hoofdstuk XII van het jaar 2015 (€ 23 </w:t>
      </w:r>
      <w:r>
        <w:rPr>
          <w:rFonts w:ascii="Verdana" w:hAnsi="Verdana"/>
          <w:szCs w:val="20"/>
        </w:rPr>
        <w:t>miljoen</w:t>
      </w:r>
      <w:r w:rsidRPr="00B95CC8">
        <w:rPr>
          <w:rFonts w:ascii="Verdana" w:hAnsi="Verdana"/>
          <w:szCs w:val="20"/>
        </w:rPr>
        <w:t xml:space="preserve">). </w:t>
      </w:r>
    </w:p>
    <w:p w:rsidR="006F445A" w:rsidRPr="00EF6C26" w:rsidRDefault="006F445A" w:rsidP="006F445A">
      <w:pPr>
        <w:pStyle w:val="Variabelegegevens"/>
        <w:keepLines w:val="0"/>
        <w:spacing w:line="240" w:lineRule="auto"/>
        <w:rPr>
          <w:rFonts w:ascii="Verdana" w:hAnsi="Verdana"/>
          <w:i/>
          <w:szCs w:val="20"/>
          <w:lang w:eastAsia="nl-NL"/>
        </w:rPr>
      </w:pPr>
      <w:r>
        <w:rPr>
          <w:rFonts w:ascii="Verdana" w:hAnsi="Verdana"/>
          <w:i/>
          <w:szCs w:val="20"/>
          <w:lang w:eastAsia="nl-NL"/>
        </w:rPr>
        <w:t>13</w:t>
      </w:r>
      <w:r w:rsidRPr="00EF6C26">
        <w:rPr>
          <w:rFonts w:ascii="Verdana" w:hAnsi="Verdana"/>
          <w:i/>
          <w:szCs w:val="20"/>
          <w:lang w:eastAsia="nl-NL"/>
        </w:rPr>
        <w:t>.</w:t>
      </w:r>
      <w:r w:rsidRPr="00EF6C26">
        <w:rPr>
          <w:rFonts w:ascii="Verdana" w:hAnsi="Verdana"/>
          <w:i/>
          <w:szCs w:val="20"/>
          <w:lang w:eastAsia="nl-NL"/>
        </w:rPr>
        <w:tab/>
      </w:r>
      <w:r>
        <w:rPr>
          <w:rFonts w:ascii="Verdana" w:hAnsi="Verdana"/>
          <w:i/>
          <w:szCs w:val="20"/>
          <w:lang w:eastAsia="nl-NL"/>
        </w:rPr>
        <w:t xml:space="preserve">Loon- en </w:t>
      </w:r>
      <w:r w:rsidRPr="00EF6C26">
        <w:rPr>
          <w:rFonts w:ascii="Verdana" w:hAnsi="Verdana"/>
          <w:i/>
          <w:szCs w:val="20"/>
          <w:lang w:eastAsia="nl-NL"/>
        </w:rPr>
        <w:t>Prijsbijstelling</w:t>
      </w:r>
    </w:p>
    <w:p w:rsidR="006F445A" w:rsidRPr="00EF6C26" w:rsidRDefault="006F445A" w:rsidP="006F445A">
      <w:pPr>
        <w:pStyle w:val="Variabelegegevens"/>
        <w:ind w:left="708"/>
        <w:rPr>
          <w:rFonts w:ascii="Verdana" w:hAnsi="Verdana"/>
        </w:rPr>
      </w:pPr>
      <w:r w:rsidRPr="00EF6C26">
        <w:rPr>
          <w:rFonts w:ascii="Verdana" w:hAnsi="Verdana"/>
          <w:szCs w:val="20"/>
          <w:lang w:eastAsia="nl-NL"/>
        </w:rPr>
        <w:t xml:space="preserve">Dit betreft de toegekende loon- en prijsbijstelling 2015. </w:t>
      </w:r>
      <w:r w:rsidRPr="00EF6C26">
        <w:rPr>
          <w:rFonts w:ascii="Verdana" w:hAnsi="Verdana"/>
        </w:rPr>
        <w:t>De loon- en</w:t>
      </w:r>
    </w:p>
    <w:p w:rsidR="006F445A" w:rsidRDefault="006F445A" w:rsidP="006F445A">
      <w:pPr>
        <w:pStyle w:val="Variabelegegevens"/>
        <w:ind w:left="708"/>
        <w:rPr>
          <w:rFonts w:ascii="Verdana" w:hAnsi="Verdana" w:cs="Univers"/>
          <w:szCs w:val="20"/>
        </w:rPr>
      </w:pPr>
      <w:r w:rsidRPr="00EF6C26">
        <w:rPr>
          <w:rFonts w:ascii="Verdana" w:hAnsi="Verdana"/>
        </w:rPr>
        <w:t>prijsbijstelling voor alle IenM begrotingen wordt</w:t>
      </w:r>
      <w:r>
        <w:rPr>
          <w:rFonts w:ascii="Verdana" w:hAnsi="Verdana"/>
        </w:rPr>
        <w:t xml:space="preserve"> voorlopig</w:t>
      </w:r>
      <w:r w:rsidRPr="00EF6C26">
        <w:rPr>
          <w:rFonts w:ascii="Verdana" w:hAnsi="Verdana"/>
        </w:rPr>
        <w:t xml:space="preserve"> technisch aan Hoofdstuk XII</w:t>
      </w:r>
      <w:r>
        <w:rPr>
          <w:rFonts w:ascii="Verdana" w:hAnsi="Verdana"/>
        </w:rPr>
        <w:t xml:space="preserve"> op artikel 99 toegevoegd </w:t>
      </w:r>
      <w:r w:rsidRPr="00EF6C26">
        <w:rPr>
          <w:rFonts w:ascii="Verdana" w:hAnsi="Verdana"/>
          <w:szCs w:val="20"/>
          <w:lang w:eastAsia="nl-NL"/>
        </w:rPr>
        <w:t xml:space="preserve">en zal bij </w:t>
      </w:r>
      <w:r>
        <w:rPr>
          <w:rFonts w:ascii="Verdana" w:hAnsi="Verdana"/>
          <w:szCs w:val="20"/>
          <w:lang w:eastAsia="nl-NL"/>
        </w:rPr>
        <w:t>Ontwerpbegroting</w:t>
      </w:r>
      <w:r w:rsidRPr="00EF6C26">
        <w:rPr>
          <w:rFonts w:ascii="Verdana" w:hAnsi="Verdana"/>
          <w:szCs w:val="20"/>
          <w:lang w:eastAsia="nl-NL"/>
        </w:rPr>
        <w:t xml:space="preserve"> 2016 </w:t>
      </w:r>
      <w:r>
        <w:rPr>
          <w:rFonts w:ascii="Verdana" w:hAnsi="Verdana"/>
          <w:szCs w:val="20"/>
          <w:lang w:eastAsia="nl-NL"/>
        </w:rPr>
        <w:t>binnen de IenM begroting worden toebedeeld.</w:t>
      </w:r>
    </w:p>
    <w:p w:rsidR="006F445A" w:rsidRPr="00B10E91" w:rsidRDefault="006F445A" w:rsidP="006F445A">
      <w:pPr>
        <w:pStyle w:val="Variabelegegevens"/>
        <w:keepLines w:val="0"/>
        <w:spacing w:line="240" w:lineRule="auto"/>
        <w:rPr>
          <w:rFonts w:ascii="Verdana" w:hAnsi="Verdana"/>
          <w:i/>
          <w:szCs w:val="20"/>
          <w:lang w:eastAsia="nl-NL"/>
        </w:rPr>
      </w:pPr>
      <w:r w:rsidRPr="00432ECE">
        <w:rPr>
          <w:rFonts w:ascii="Verdana" w:hAnsi="Verdana"/>
          <w:i/>
          <w:szCs w:val="20"/>
          <w:lang w:eastAsia="nl-NL"/>
        </w:rPr>
        <w:t>1</w:t>
      </w:r>
      <w:r>
        <w:rPr>
          <w:rFonts w:ascii="Verdana" w:hAnsi="Verdana"/>
          <w:i/>
          <w:szCs w:val="20"/>
          <w:lang w:eastAsia="nl-NL"/>
        </w:rPr>
        <w:t>4</w:t>
      </w:r>
      <w:r w:rsidRPr="00432ECE">
        <w:rPr>
          <w:rFonts w:ascii="Verdana" w:hAnsi="Verdana"/>
          <w:i/>
          <w:szCs w:val="20"/>
          <w:lang w:eastAsia="nl-NL"/>
        </w:rPr>
        <w:t>.</w:t>
      </w:r>
      <w:r w:rsidRPr="00432ECE">
        <w:rPr>
          <w:rFonts w:ascii="Verdana" w:hAnsi="Verdana"/>
          <w:i/>
          <w:szCs w:val="20"/>
          <w:lang w:eastAsia="nl-NL"/>
        </w:rPr>
        <w:tab/>
        <w:t>Diversen</w:t>
      </w:r>
    </w:p>
    <w:p w:rsidR="006F445A" w:rsidRDefault="006F445A" w:rsidP="006F445A">
      <w:pPr>
        <w:pStyle w:val="Variabelegegevens"/>
        <w:keepLines w:val="0"/>
        <w:spacing w:line="240" w:lineRule="auto"/>
        <w:ind w:left="708"/>
        <w:rPr>
          <w:rFonts w:ascii="Verdana" w:hAnsi="Verdana"/>
          <w:szCs w:val="20"/>
          <w:lang w:eastAsia="nl-NL"/>
        </w:rPr>
      </w:pPr>
      <w:r w:rsidRPr="00B10E91">
        <w:rPr>
          <w:rFonts w:ascii="Verdana" w:hAnsi="Verdana"/>
          <w:szCs w:val="20"/>
          <w:lang w:eastAsia="nl-NL"/>
        </w:rPr>
        <w:t xml:space="preserve">Het grootste deel van deze post wordt verklaard door overboekingen naar het artikel 25 </w:t>
      </w:r>
      <w:r>
        <w:rPr>
          <w:rFonts w:ascii="Verdana" w:hAnsi="Verdana"/>
          <w:szCs w:val="20"/>
          <w:lang w:eastAsia="nl-NL"/>
        </w:rPr>
        <w:t>Brede Doeluitkering</w:t>
      </w:r>
      <w:r w:rsidRPr="00B10E91">
        <w:rPr>
          <w:rFonts w:ascii="Verdana" w:hAnsi="Verdana"/>
          <w:szCs w:val="20"/>
          <w:lang w:eastAsia="nl-NL"/>
        </w:rPr>
        <w:t>. Daarnaast betreft het diverse interdepartementale</w:t>
      </w:r>
      <w:r>
        <w:rPr>
          <w:rFonts w:ascii="Verdana" w:hAnsi="Verdana"/>
          <w:szCs w:val="20"/>
          <w:lang w:eastAsia="nl-NL"/>
        </w:rPr>
        <w:t xml:space="preserve"> overboekingen, zoals naar het M</w:t>
      </w:r>
      <w:r w:rsidRPr="00B10E91">
        <w:rPr>
          <w:rFonts w:ascii="Verdana" w:hAnsi="Verdana"/>
          <w:szCs w:val="20"/>
          <w:lang w:eastAsia="nl-NL"/>
        </w:rPr>
        <w:t>inisterie van Economische Zaken voor ESA (</w:t>
      </w:r>
      <w:r w:rsidRPr="00432ECE">
        <w:rPr>
          <w:rFonts w:ascii="Verdana" w:hAnsi="Verdana"/>
          <w:szCs w:val="20"/>
          <w:lang w:eastAsia="nl-NL"/>
        </w:rPr>
        <w:t xml:space="preserve">European Space Science) € 2,5 miljoen en </w:t>
      </w:r>
      <w:r>
        <w:rPr>
          <w:rFonts w:ascii="Verdana" w:hAnsi="Verdana"/>
          <w:szCs w:val="20"/>
          <w:lang w:eastAsia="nl-NL"/>
        </w:rPr>
        <w:t xml:space="preserve">voor </w:t>
      </w:r>
      <w:r w:rsidRPr="00432ECE">
        <w:rPr>
          <w:rFonts w:ascii="Verdana" w:hAnsi="Verdana"/>
          <w:szCs w:val="20"/>
          <w:lang w:eastAsia="nl-NL"/>
        </w:rPr>
        <w:t>de Green Deal ‘Openbaar Toegankelijke Laadinfrastructuur’ voor € 2,5 miljoen en de overbo</w:t>
      </w:r>
      <w:r>
        <w:rPr>
          <w:rFonts w:ascii="Verdana" w:hAnsi="Verdana"/>
          <w:szCs w:val="20"/>
          <w:lang w:eastAsia="nl-NL"/>
        </w:rPr>
        <w:t>eking van € 12 miljoen van het M</w:t>
      </w:r>
      <w:r w:rsidRPr="00432ECE">
        <w:rPr>
          <w:rFonts w:ascii="Verdana" w:hAnsi="Verdana"/>
          <w:szCs w:val="20"/>
          <w:lang w:eastAsia="nl-NL"/>
        </w:rPr>
        <w:t xml:space="preserve">inisterie van Defensie naar IenM in het kader van het Search and Rescue (SAR)-contract. </w:t>
      </w:r>
      <w:r w:rsidRPr="0025081F">
        <w:rPr>
          <w:rFonts w:ascii="Verdana" w:hAnsi="Verdana"/>
          <w:iCs/>
          <w:szCs w:val="20"/>
          <w:lang w:eastAsia="nl-NL"/>
        </w:rPr>
        <w:t>Verder wordt het surplus aan eigen vermogen van de agentschappen ten gunste gebracht aan de IenM begroting (€ 1,4 miljoen). Dit surplus is opgebouwd uit het surplus van IL</w:t>
      </w:r>
      <w:r>
        <w:rPr>
          <w:rFonts w:ascii="Verdana" w:hAnsi="Verdana"/>
          <w:iCs/>
          <w:szCs w:val="20"/>
          <w:lang w:eastAsia="nl-NL"/>
        </w:rPr>
        <w:t>T (</w:t>
      </w:r>
      <w:r w:rsidRPr="0025081F">
        <w:rPr>
          <w:rFonts w:ascii="Verdana" w:hAnsi="Verdana"/>
          <w:iCs/>
          <w:szCs w:val="20"/>
          <w:lang w:eastAsia="nl-NL"/>
        </w:rPr>
        <w:t>€ 0,5 mln) en NEa (€ 0,9 miljoen</w:t>
      </w:r>
      <w:r>
        <w:rPr>
          <w:rFonts w:ascii="Verdana" w:hAnsi="Verdana"/>
          <w:iCs/>
          <w:szCs w:val="20"/>
          <w:lang w:eastAsia="nl-NL"/>
        </w:rPr>
        <w:t xml:space="preserve">). Daarnaast </w:t>
      </w:r>
      <w:r>
        <w:rPr>
          <w:rFonts w:ascii="Verdana" w:hAnsi="Verdana"/>
          <w:szCs w:val="20"/>
          <w:lang w:eastAsia="nl-NL"/>
        </w:rPr>
        <w:t>zijn er onder andere ontvangsten voor de verrekening van de c</w:t>
      </w:r>
      <w:r w:rsidRPr="00AD74A3">
        <w:rPr>
          <w:rFonts w:ascii="Verdana" w:hAnsi="Verdana"/>
          <w:szCs w:val="20"/>
          <w:lang w:eastAsia="nl-NL"/>
        </w:rPr>
        <w:t>entrale uitgaven bedrijfsvoering</w:t>
      </w:r>
      <w:r>
        <w:rPr>
          <w:rFonts w:ascii="Verdana" w:hAnsi="Verdana"/>
          <w:szCs w:val="20"/>
          <w:lang w:eastAsia="nl-NL"/>
        </w:rPr>
        <w:t xml:space="preserve"> op artikel 98 en op a</w:t>
      </w:r>
      <w:r w:rsidRPr="00AD74A3">
        <w:rPr>
          <w:rFonts w:ascii="Verdana" w:hAnsi="Verdana"/>
          <w:szCs w:val="20"/>
          <w:lang w:eastAsia="nl-NL"/>
        </w:rPr>
        <w:t>rtikel 22 Externe veiligheid en risico</w:t>
      </w:r>
      <w:r>
        <w:rPr>
          <w:rFonts w:ascii="Verdana" w:hAnsi="Verdana"/>
          <w:szCs w:val="20"/>
          <w:lang w:eastAsia="nl-NL"/>
        </w:rPr>
        <w:t>’</w:t>
      </w:r>
      <w:r w:rsidRPr="00AD74A3">
        <w:rPr>
          <w:rFonts w:ascii="Verdana" w:hAnsi="Verdana"/>
          <w:szCs w:val="20"/>
          <w:lang w:eastAsia="nl-NL"/>
        </w:rPr>
        <w:t>s</w:t>
      </w:r>
      <w:r>
        <w:rPr>
          <w:rFonts w:ascii="Verdana" w:hAnsi="Verdana"/>
          <w:szCs w:val="20"/>
          <w:lang w:eastAsia="nl-NL"/>
        </w:rPr>
        <w:t xml:space="preserve"> voor verschillende programma’s</w:t>
      </w:r>
      <w:r w:rsidRPr="00AD74A3">
        <w:rPr>
          <w:rFonts w:ascii="Verdana" w:hAnsi="Verdana"/>
          <w:szCs w:val="20"/>
          <w:lang w:eastAsia="nl-NL"/>
        </w:rPr>
        <w:t>.</w:t>
      </w:r>
    </w:p>
    <w:p w:rsidR="006F445A" w:rsidRPr="0025081F" w:rsidRDefault="006F445A" w:rsidP="006F445A">
      <w:pPr>
        <w:pStyle w:val="Variabelegegevens"/>
        <w:keepLines w:val="0"/>
        <w:spacing w:line="240" w:lineRule="auto"/>
        <w:rPr>
          <w:rFonts w:ascii="Verdana" w:hAnsi="Verdana"/>
          <w:szCs w:val="20"/>
          <w:lang w:eastAsia="nl-NL"/>
        </w:rPr>
      </w:pPr>
    </w:p>
    <w:p w:rsidR="006F445A" w:rsidRPr="00B95CC8" w:rsidRDefault="006F445A" w:rsidP="006F445A">
      <w:pPr>
        <w:pStyle w:val="Variabelegegevens"/>
        <w:keepLines w:val="0"/>
        <w:spacing w:line="240" w:lineRule="auto"/>
        <w:rPr>
          <w:rFonts w:ascii="Verdana" w:hAnsi="Verdana"/>
          <w:b/>
          <w:szCs w:val="20"/>
          <w:lang w:eastAsia="nl-NL"/>
        </w:rPr>
      </w:pPr>
      <w:r w:rsidRPr="00B95CC8">
        <w:rPr>
          <w:rFonts w:ascii="Verdana" w:hAnsi="Verdana"/>
          <w:b/>
          <w:szCs w:val="20"/>
          <w:lang w:eastAsia="nl-NL"/>
        </w:rPr>
        <w:br w:type="page"/>
      </w:r>
      <w:r w:rsidRPr="00B95CC8">
        <w:rPr>
          <w:rFonts w:ascii="Verdana" w:hAnsi="Verdana"/>
          <w:b/>
          <w:szCs w:val="20"/>
          <w:lang w:eastAsia="nl-NL"/>
        </w:rPr>
        <w:lastRenderedPageBreak/>
        <w:t>2.2 De beleidsartikelen</w:t>
      </w:r>
    </w:p>
    <w:p w:rsidR="006F445A" w:rsidRPr="00B95CC8" w:rsidRDefault="006F445A" w:rsidP="006F445A">
      <w:pPr>
        <w:pStyle w:val="Variabelegegevens"/>
        <w:keepLines w:val="0"/>
        <w:spacing w:line="240" w:lineRule="auto"/>
        <w:rPr>
          <w:rFonts w:ascii="Verdana" w:hAnsi="Verdana"/>
          <w:b/>
          <w:szCs w:val="20"/>
          <w:lang w:eastAsia="nl-NL"/>
        </w:rPr>
      </w:pPr>
    </w:p>
    <w:p w:rsidR="006F445A" w:rsidRPr="00B95CC8" w:rsidRDefault="006F445A" w:rsidP="006F445A">
      <w:pPr>
        <w:pStyle w:val="Variabelegegevens"/>
        <w:keepLines w:val="0"/>
        <w:spacing w:line="240" w:lineRule="auto"/>
        <w:rPr>
          <w:rFonts w:ascii="Verdana" w:hAnsi="Verdana"/>
          <w:b/>
          <w:szCs w:val="20"/>
          <w:lang w:eastAsia="nl-NL"/>
        </w:rPr>
      </w:pPr>
      <w:r w:rsidRPr="00B95CC8">
        <w:rPr>
          <w:rFonts w:ascii="Verdana" w:hAnsi="Verdana"/>
          <w:b/>
          <w:szCs w:val="20"/>
          <w:lang w:eastAsia="nl-NL"/>
        </w:rPr>
        <w:t>Artikel 11 Waterkwantiteit</w:t>
      </w:r>
    </w:p>
    <w:p w:rsidR="006F445A" w:rsidRPr="00B95CC8" w:rsidRDefault="006F445A" w:rsidP="006F445A">
      <w:pPr>
        <w:pStyle w:val="Variabelegegevens"/>
        <w:keepLines w:val="0"/>
        <w:spacing w:line="240" w:lineRule="auto"/>
        <w:rPr>
          <w:rFonts w:ascii="Verdana" w:hAnsi="Verdana"/>
          <w:b/>
          <w:szCs w:val="20"/>
          <w:lang w:eastAsia="nl-NL"/>
        </w:rPr>
      </w:pPr>
    </w:p>
    <w:p w:rsidR="006F445A" w:rsidRPr="00B95CC8" w:rsidRDefault="006F445A" w:rsidP="006F445A">
      <w:pPr>
        <w:pStyle w:val="Variabelegegevens"/>
        <w:keepLines w:val="0"/>
        <w:spacing w:line="240" w:lineRule="auto"/>
        <w:rPr>
          <w:rFonts w:ascii="Verdana" w:hAnsi="Verdana"/>
          <w:szCs w:val="20"/>
        </w:rPr>
      </w:pPr>
      <w:r>
        <w:rPr>
          <w:noProof/>
          <w:szCs w:val="20"/>
          <w:lang w:eastAsia="nl-NL"/>
        </w:rPr>
        <w:drawing>
          <wp:inline distT="0" distB="0" distL="0" distR="0" wp14:anchorId="1C3FAB9D" wp14:editId="51A75F0E">
            <wp:extent cx="6003290" cy="2950210"/>
            <wp:effectExtent l="1905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7" cstate="print"/>
                    <a:srcRect/>
                    <a:stretch>
                      <a:fillRect/>
                    </a:stretch>
                  </pic:blipFill>
                  <pic:spPr bwMode="auto">
                    <a:xfrm>
                      <a:off x="0" y="0"/>
                      <a:ext cx="6003290" cy="2950210"/>
                    </a:xfrm>
                    <a:prstGeom prst="rect">
                      <a:avLst/>
                    </a:prstGeom>
                    <a:noFill/>
                    <a:ln w="9525">
                      <a:noFill/>
                      <a:miter lim="800000"/>
                      <a:headEnd/>
                      <a:tailEnd/>
                    </a:ln>
                  </pic:spPr>
                </pic:pic>
              </a:graphicData>
            </a:graphic>
          </wp:inline>
        </w:drawing>
      </w:r>
    </w:p>
    <w:p w:rsidR="006F445A" w:rsidRDefault="006F445A" w:rsidP="006F445A">
      <w:pPr>
        <w:pStyle w:val="Variabelegegevens"/>
        <w:keepLines w:val="0"/>
        <w:spacing w:line="240" w:lineRule="auto"/>
        <w:rPr>
          <w:rFonts w:ascii="Verdana" w:hAnsi="Verdana"/>
          <w:b/>
          <w:szCs w:val="20"/>
        </w:rPr>
      </w:pPr>
    </w:p>
    <w:p w:rsidR="006F445A" w:rsidRPr="00775537" w:rsidRDefault="006F445A" w:rsidP="006F445A">
      <w:pPr>
        <w:pStyle w:val="Variabelegegevens"/>
        <w:keepLines w:val="0"/>
        <w:spacing w:line="240" w:lineRule="auto"/>
        <w:rPr>
          <w:rFonts w:ascii="Verdana" w:hAnsi="Verdana"/>
          <w:b/>
          <w:szCs w:val="20"/>
        </w:rPr>
      </w:pPr>
      <w:r w:rsidRPr="00B95CC8">
        <w:rPr>
          <w:rFonts w:ascii="Verdana" w:hAnsi="Verdana"/>
          <w:b/>
          <w:szCs w:val="20"/>
        </w:rPr>
        <w:t>Verplichtingen</w:t>
      </w:r>
      <w:r>
        <w:rPr>
          <w:rFonts w:ascii="Verdana" w:hAnsi="Verdana"/>
          <w:b/>
          <w:szCs w:val="20"/>
        </w:rPr>
        <w:t xml:space="preserve"> </w:t>
      </w:r>
      <w:r w:rsidRPr="00B95CC8">
        <w:rPr>
          <w:rFonts w:ascii="Verdana" w:hAnsi="Verdana"/>
          <w:b/>
          <w:szCs w:val="20"/>
        </w:rPr>
        <w:br/>
      </w:r>
      <w:r w:rsidRPr="00B95CC8">
        <w:rPr>
          <w:rFonts w:ascii="Verdana" w:hAnsi="Verdana"/>
          <w:szCs w:val="20"/>
        </w:rPr>
        <w:t xml:space="preserve">IenM doet voor ruim </w:t>
      </w:r>
      <w:r>
        <w:rPr>
          <w:rFonts w:ascii="Verdana" w:hAnsi="Verdana"/>
          <w:szCs w:val="20"/>
        </w:rPr>
        <w:t xml:space="preserve">€ </w:t>
      </w:r>
      <w:r w:rsidRPr="00B95CC8">
        <w:rPr>
          <w:rFonts w:ascii="Verdana" w:hAnsi="Verdana"/>
          <w:szCs w:val="20"/>
        </w:rPr>
        <w:t xml:space="preserve">5 </w:t>
      </w:r>
      <w:r>
        <w:rPr>
          <w:rFonts w:ascii="Verdana" w:hAnsi="Verdana"/>
          <w:szCs w:val="20"/>
        </w:rPr>
        <w:t>miljoen</w:t>
      </w:r>
      <w:r w:rsidRPr="00B95CC8">
        <w:rPr>
          <w:rFonts w:ascii="Verdana" w:hAnsi="Verdana"/>
          <w:szCs w:val="20"/>
        </w:rPr>
        <w:t xml:space="preserve"> beroep op de eindejaarsmarge van HGIS. Dit betreft de </w:t>
      </w:r>
      <w:r>
        <w:rPr>
          <w:rFonts w:ascii="Verdana" w:hAnsi="Verdana"/>
          <w:szCs w:val="20"/>
        </w:rPr>
        <w:t>verplichtingen</w:t>
      </w:r>
      <w:r w:rsidRPr="00B95CC8">
        <w:rPr>
          <w:rFonts w:ascii="Verdana" w:hAnsi="Verdana"/>
          <w:szCs w:val="20"/>
        </w:rPr>
        <w:t xml:space="preserve"> die in 2014 niet tot betaling</w:t>
      </w:r>
      <w:r>
        <w:rPr>
          <w:rFonts w:ascii="Verdana" w:hAnsi="Verdana"/>
          <w:szCs w:val="20"/>
        </w:rPr>
        <w:t xml:space="preserve"> van uitgaven</w:t>
      </w:r>
      <w:r w:rsidRPr="00B95CC8">
        <w:rPr>
          <w:rFonts w:ascii="Verdana" w:hAnsi="Verdana"/>
          <w:szCs w:val="20"/>
        </w:rPr>
        <w:t xml:space="preserve"> zijn gekomen, voornamelijk ten behoeve van Partners voor Water.</w:t>
      </w:r>
    </w:p>
    <w:p w:rsidR="006F445A" w:rsidRDefault="006F445A" w:rsidP="006F445A">
      <w:pPr>
        <w:pStyle w:val="Variabelegegevens"/>
        <w:keepLines w:val="0"/>
        <w:spacing w:line="240" w:lineRule="auto"/>
        <w:rPr>
          <w:rFonts w:ascii="Verdana" w:hAnsi="Verdana"/>
          <w:b/>
          <w:szCs w:val="20"/>
        </w:rPr>
      </w:pPr>
    </w:p>
    <w:p w:rsidR="006F445A" w:rsidRPr="00EF6C26" w:rsidRDefault="006F445A" w:rsidP="006F445A">
      <w:pPr>
        <w:pStyle w:val="Variabelegegevens"/>
        <w:keepLines w:val="0"/>
        <w:spacing w:line="240" w:lineRule="auto"/>
        <w:rPr>
          <w:rFonts w:ascii="Verdana" w:hAnsi="Verdana"/>
          <w:b/>
        </w:rPr>
      </w:pPr>
      <w:r w:rsidRPr="00EF6C26">
        <w:rPr>
          <w:rFonts w:ascii="Verdana" w:hAnsi="Verdana"/>
          <w:b/>
        </w:rPr>
        <w:t>11.01 Algemeen waterbeleid</w:t>
      </w:r>
    </w:p>
    <w:p w:rsidR="006F445A" w:rsidRDefault="006F445A" w:rsidP="006F445A">
      <w:pPr>
        <w:pStyle w:val="Variabelegegevens"/>
        <w:keepLines w:val="0"/>
        <w:spacing w:line="240" w:lineRule="auto"/>
        <w:rPr>
          <w:rFonts w:ascii="Verdana" w:hAnsi="Verdana"/>
          <w:szCs w:val="20"/>
          <w:lang w:eastAsia="nl-NL"/>
        </w:rPr>
      </w:pPr>
      <w:r>
        <w:rPr>
          <w:rFonts w:ascii="Verdana" w:hAnsi="Verdana"/>
          <w:szCs w:val="20"/>
          <w:lang w:eastAsia="nl-NL"/>
        </w:rPr>
        <w:t xml:space="preserve">De lagere uitgaven op Algemeen Waterbeleid hebben met name te maken met Partners voor Water. </w:t>
      </w:r>
      <w:r w:rsidRPr="00EF6C26">
        <w:rPr>
          <w:rFonts w:ascii="Verdana" w:hAnsi="Verdana"/>
          <w:szCs w:val="20"/>
          <w:lang w:eastAsia="nl-NL"/>
        </w:rPr>
        <w:t>Binnen Partners voor Water heeft er een kas- en verplichtingenschuif plaatsgevonden van 2015 naar 2014</w:t>
      </w:r>
      <w:r>
        <w:rPr>
          <w:rFonts w:ascii="Verdana" w:hAnsi="Verdana"/>
          <w:szCs w:val="20"/>
          <w:lang w:eastAsia="nl-NL"/>
        </w:rPr>
        <w:t xml:space="preserve"> bij 2</w:t>
      </w:r>
      <w:r w:rsidRPr="00432ECE">
        <w:rPr>
          <w:rFonts w:ascii="Verdana" w:hAnsi="Verdana"/>
          <w:szCs w:val="20"/>
          <w:vertAlign w:val="superscript"/>
          <w:lang w:eastAsia="nl-NL"/>
        </w:rPr>
        <w:t>e</w:t>
      </w:r>
      <w:r>
        <w:rPr>
          <w:rFonts w:ascii="Verdana" w:hAnsi="Verdana"/>
          <w:szCs w:val="20"/>
          <w:lang w:eastAsia="nl-NL"/>
        </w:rPr>
        <w:t xml:space="preserve"> Suppletoire 2014</w:t>
      </w:r>
      <w:r w:rsidRPr="00EF6C26">
        <w:rPr>
          <w:rFonts w:ascii="Verdana" w:hAnsi="Verdana"/>
          <w:szCs w:val="20"/>
          <w:lang w:eastAsia="nl-NL"/>
        </w:rPr>
        <w:t>.</w:t>
      </w:r>
      <w:r>
        <w:rPr>
          <w:rFonts w:ascii="Verdana" w:hAnsi="Verdana"/>
          <w:szCs w:val="20"/>
          <w:lang w:eastAsia="nl-NL"/>
        </w:rPr>
        <w:t xml:space="preserve"> Verder is er een herschikking geweest door het opheffen van een directie waarbij de werkzaamheden en middelen in de lijn zijn teruggebracht en verdeeld over de artikelonderdelen binnen artikel 11.</w:t>
      </w: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lang w:eastAsia="nl-NL"/>
        </w:rPr>
      </w:pPr>
      <w:r w:rsidRPr="00B95CC8">
        <w:rPr>
          <w:rFonts w:ascii="Verdana" w:hAnsi="Verdana"/>
          <w:b/>
          <w:szCs w:val="20"/>
          <w:lang w:eastAsia="nl-NL"/>
        </w:rPr>
        <w:br w:type="page"/>
      </w:r>
      <w:r w:rsidRPr="00B95CC8">
        <w:rPr>
          <w:rFonts w:ascii="Verdana" w:hAnsi="Verdana"/>
          <w:b/>
          <w:szCs w:val="20"/>
          <w:lang w:eastAsia="nl-NL"/>
        </w:rPr>
        <w:lastRenderedPageBreak/>
        <w:t>Artikel 12 Waterkwaliteit</w:t>
      </w:r>
    </w:p>
    <w:p w:rsidR="006F445A" w:rsidRPr="00B95CC8" w:rsidRDefault="006F445A" w:rsidP="006F445A">
      <w:pPr>
        <w:pStyle w:val="Variabelegegevens"/>
        <w:keepLines w:val="0"/>
        <w:spacing w:line="240" w:lineRule="auto"/>
        <w:rPr>
          <w:rFonts w:ascii="Verdana" w:hAnsi="Verdana"/>
          <w:b/>
          <w:szCs w:val="20"/>
          <w:lang w:eastAsia="nl-NL"/>
        </w:rPr>
      </w:pPr>
    </w:p>
    <w:p w:rsidR="006F445A" w:rsidRPr="00B95CC8" w:rsidRDefault="006F445A" w:rsidP="006F445A">
      <w:pPr>
        <w:pStyle w:val="Variabelegegevens"/>
        <w:keepLines w:val="0"/>
        <w:spacing w:line="240" w:lineRule="auto"/>
        <w:rPr>
          <w:rFonts w:ascii="Verdana" w:hAnsi="Verdana"/>
          <w:szCs w:val="20"/>
        </w:rPr>
      </w:pPr>
      <w:r>
        <w:rPr>
          <w:rFonts w:ascii="Verdana" w:hAnsi="Verdana"/>
          <w:noProof/>
          <w:szCs w:val="20"/>
          <w:lang w:eastAsia="nl-NL"/>
        </w:rPr>
        <w:drawing>
          <wp:inline distT="0" distB="0" distL="0" distR="0" wp14:anchorId="09D964C5" wp14:editId="73FB8805">
            <wp:extent cx="5796280" cy="2536190"/>
            <wp:effectExtent l="1905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8" cstate="print"/>
                    <a:srcRect/>
                    <a:stretch>
                      <a:fillRect/>
                    </a:stretch>
                  </pic:blipFill>
                  <pic:spPr bwMode="auto">
                    <a:xfrm>
                      <a:off x="0" y="0"/>
                      <a:ext cx="5796280" cy="2536190"/>
                    </a:xfrm>
                    <a:prstGeom prst="rect">
                      <a:avLst/>
                    </a:prstGeom>
                    <a:noFill/>
                    <a:ln w="9525">
                      <a:noFill/>
                      <a:miter lim="800000"/>
                      <a:headEnd/>
                      <a:tailEnd/>
                    </a:ln>
                  </pic:spPr>
                </pic:pic>
              </a:graphicData>
            </a:graphic>
          </wp:inline>
        </w:drawing>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De wijzigingen bij 1</w:t>
      </w:r>
      <w:r w:rsidRPr="00B95CC8">
        <w:rPr>
          <w:rFonts w:ascii="Verdana" w:hAnsi="Verdana"/>
          <w:szCs w:val="20"/>
          <w:vertAlign w:val="superscript"/>
        </w:rPr>
        <w:t>e</w:t>
      </w:r>
      <w:r>
        <w:rPr>
          <w:rFonts w:ascii="Verdana" w:hAnsi="Verdana"/>
          <w:szCs w:val="20"/>
        </w:rPr>
        <w:t xml:space="preserve"> suppletoire begroting binnen</w:t>
      </w:r>
      <w:r w:rsidRPr="00B95CC8">
        <w:rPr>
          <w:rFonts w:ascii="Verdana" w:hAnsi="Verdana"/>
          <w:szCs w:val="20"/>
        </w:rPr>
        <w:t xml:space="preserve"> dit artikel zijn kleiner dan de gehanteerde norm en worden </w:t>
      </w:r>
      <w:r>
        <w:rPr>
          <w:rFonts w:ascii="Verdana" w:hAnsi="Verdana"/>
          <w:szCs w:val="20"/>
        </w:rPr>
        <w:t>daarom</w:t>
      </w:r>
      <w:r w:rsidRPr="00B95CC8">
        <w:rPr>
          <w:rFonts w:ascii="Verdana" w:hAnsi="Verdana"/>
          <w:szCs w:val="20"/>
        </w:rPr>
        <w:t xml:space="preserve"> niet uiteengezet (zie de leeswijzer).  </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br w:type="page"/>
      </w:r>
      <w:r w:rsidRPr="00B95CC8">
        <w:rPr>
          <w:rFonts w:ascii="Verdana" w:hAnsi="Verdana"/>
          <w:b/>
          <w:szCs w:val="20"/>
        </w:rPr>
        <w:lastRenderedPageBreak/>
        <w:t>Artikel 13 Ruimtelijke ontwikkeling</w:t>
      </w: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szCs w:val="20"/>
        </w:rPr>
      </w:pPr>
      <w:r>
        <w:rPr>
          <w:rFonts w:ascii="Verdana" w:hAnsi="Verdana"/>
          <w:noProof/>
          <w:szCs w:val="20"/>
          <w:lang w:eastAsia="nl-NL"/>
        </w:rPr>
        <w:drawing>
          <wp:inline distT="0" distB="0" distL="0" distR="0" wp14:anchorId="6ABE2529" wp14:editId="1BA4859D">
            <wp:extent cx="5542280" cy="8229600"/>
            <wp:effectExtent l="1905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9" cstate="print"/>
                    <a:srcRect/>
                    <a:stretch>
                      <a:fillRect/>
                    </a:stretch>
                  </pic:blipFill>
                  <pic:spPr bwMode="auto">
                    <a:xfrm>
                      <a:off x="0" y="0"/>
                      <a:ext cx="5542280" cy="8229600"/>
                    </a:xfrm>
                    <a:prstGeom prst="rect">
                      <a:avLst/>
                    </a:prstGeom>
                    <a:noFill/>
                    <a:ln w="9525">
                      <a:noFill/>
                      <a:miter lim="800000"/>
                      <a:headEnd/>
                      <a:tailEnd/>
                    </a:ln>
                  </pic:spPr>
                </pic:pic>
              </a:graphicData>
            </a:graphic>
          </wp:inline>
        </w:drawing>
      </w: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b/>
          <w:szCs w:val="20"/>
        </w:rPr>
        <w:lastRenderedPageBreak/>
        <w:t>Verplichtingen</w:t>
      </w:r>
      <w:r>
        <w:rPr>
          <w:rFonts w:ascii="Verdana" w:hAnsi="Verdana"/>
          <w:b/>
          <w:szCs w:val="20"/>
        </w:rPr>
        <w:t xml:space="preserve"> </w:t>
      </w:r>
      <w:r w:rsidRPr="00B95CC8">
        <w:rPr>
          <w:rFonts w:ascii="Verdana" w:hAnsi="Verdana"/>
          <w:szCs w:val="20"/>
        </w:rPr>
        <w:br/>
        <w:t>De verlaging van het beschikbare bedrag verplichtingen vloeit voort uit de decentralisatie uitkering Bodem aan het Gemeente- en Provinciefonds, zoals gemeld onder 13.04 Ruimtegebruik bodem.</w:t>
      </w:r>
    </w:p>
    <w:p w:rsidR="006F445A"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13.04 Ruimtegebruik bodem</w:t>
      </w:r>
      <w:r>
        <w:rPr>
          <w:rFonts w:ascii="Verdana" w:hAnsi="Verdana"/>
          <w:b/>
          <w:szCs w:val="20"/>
        </w:rPr>
        <w:t xml:space="preserve"> </w:t>
      </w:r>
    </w:p>
    <w:p w:rsidR="006F445A" w:rsidRPr="007F63F4" w:rsidRDefault="006F445A" w:rsidP="006F445A">
      <w:pPr>
        <w:pStyle w:val="Variabelegegevens"/>
        <w:keepLines w:val="0"/>
        <w:spacing w:line="240" w:lineRule="auto"/>
        <w:rPr>
          <w:rFonts w:ascii="Verdana" w:hAnsi="Verdana"/>
          <w:i/>
          <w:szCs w:val="20"/>
        </w:rPr>
      </w:pPr>
      <w:r w:rsidRPr="00432ECE">
        <w:rPr>
          <w:rFonts w:ascii="Verdana" w:hAnsi="Verdana"/>
          <w:i/>
          <w:szCs w:val="20"/>
        </w:rPr>
        <w:t>Overboeking Gemeente- en Provinciefonds (Bodem)</w:t>
      </w:r>
    </w:p>
    <w:p w:rsidR="006F445A" w:rsidRDefault="006F445A" w:rsidP="006F445A">
      <w:pPr>
        <w:pStyle w:val="Variabelegegevens"/>
        <w:keepLines w:val="0"/>
        <w:spacing w:line="240" w:lineRule="auto"/>
        <w:rPr>
          <w:rFonts w:ascii="Verdana" w:hAnsi="Verdana"/>
          <w:szCs w:val="20"/>
        </w:rPr>
      </w:pPr>
      <w:r>
        <w:rPr>
          <w:rFonts w:ascii="Verdana" w:hAnsi="Verdana"/>
        </w:rPr>
        <w:t>Op artikel 13 Ruimtelijke ontwikkeling worden de bijdragen aan medeoverheden voor het Meerjarenprogramma bodem verantwoord</w:t>
      </w:r>
      <w:r>
        <w:rPr>
          <w:rFonts w:ascii="Verdana" w:hAnsi="Verdana"/>
          <w:szCs w:val="20"/>
        </w:rPr>
        <w:t xml:space="preserve">. </w:t>
      </w:r>
    </w:p>
    <w:p w:rsidR="006F445A" w:rsidRDefault="006F445A" w:rsidP="006F445A">
      <w:pPr>
        <w:pStyle w:val="Variabelegegevens"/>
        <w:keepLines w:val="0"/>
        <w:spacing w:line="240" w:lineRule="auto"/>
        <w:rPr>
          <w:rFonts w:ascii="Verdana" w:hAnsi="Verdana"/>
          <w:szCs w:val="20"/>
        </w:rPr>
      </w:pPr>
    </w:p>
    <w:p w:rsidR="006F445A"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2015 </w:t>
      </w:r>
      <w:r>
        <w:rPr>
          <w:rFonts w:ascii="Verdana" w:hAnsi="Verdana"/>
          <w:szCs w:val="20"/>
        </w:rPr>
        <w:t>i</w:t>
      </w:r>
      <w:r w:rsidRPr="00B95CC8">
        <w:rPr>
          <w:rFonts w:ascii="Verdana" w:hAnsi="Verdana"/>
          <w:szCs w:val="20"/>
        </w:rPr>
        <w:t>s het laatste jaar van het “Convenant</w:t>
      </w:r>
      <w:r>
        <w:rPr>
          <w:rFonts w:ascii="Verdana" w:hAnsi="Verdana"/>
          <w:szCs w:val="20"/>
        </w:rPr>
        <w:t xml:space="preserve"> </w:t>
      </w:r>
      <w:r w:rsidRPr="00B95CC8">
        <w:rPr>
          <w:rFonts w:ascii="Verdana" w:hAnsi="Verdana"/>
          <w:szCs w:val="20"/>
        </w:rPr>
        <w:t xml:space="preserve">bodemontwikkelingsbeleid en aanpak spoedlocaties”. De middelen die zijn toegekend aan dit bodemconvenant worden </w:t>
      </w:r>
      <w:r>
        <w:rPr>
          <w:rFonts w:ascii="Verdana" w:hAnsi="Verdana"/>
          <w:szCs w:val="20"/>
        </w:rPr>
        <w:t>in deze budgettaire nota gedecentraliseerd via</w:t>
      </w:r>
      <w:r w:rsidRPr="00B95CC8">
        <w:rPr>
          <w:rFonts w:ascii="Verdana" w:hAnsi="Verdana"/>
          <w:szCs w:val="20"/>
        </w:rPr>
        <w:t xml:space="preserve"> het Gemeente- en Provinciefonds. </w:t>
      </w:r>
    </w:p>
    <w:p w:rsidR="006F445A"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Het bodembeleid voor de periode 2016 </w:t>
      </w:r>
      <w:r>
        <w:rPr>
          <w:rFonts w:ascii="Verdana" w:hAnsi="Verdana"/>
          <w:szCs w:val="20"/>
        </w:rPr>
        <w:t>-</w:t>
      </w:r>
      <w:r w:rsidRPr="00B95CC8">
        <w:rPr>
          <w:rFonts w:ascii="Verdana" w:hAnsi="Verdana"/>
          <w:szCs w:val="20"/>
        </w:rPr>
        <w:t xml:space="preserve"> 2020 is opgenomen in het convenant “Bodem</w:t>
      </w:r>
      <w:r>
        <w:rPr>
          <w:rFonts w:ascii="Verdana" w:hAnsi="Verdana"/>
          <w:szCs w:val="20"/>
        </w:rPr>
        <w:t xml:space="preserve"> en Ondergrond 2016 - 2020”. Dit</w:t>
      </w:r>
      <w:r w:rsidRPr="00B95CC8">
        <w:rPr>
          <w:rFonts w:ascii="Verdana" w:hAnsi="Verdana"/>
          <w:szCs w:val="20"/>
        </w:rPr>
        <w:t xml:space="preserve"> convenant is ondertekend door het Rijk, het IPO, de VNG en de Unie van Waterschappen</w:t>
      </w:r>
      <w:r>
        <w:rPr>
          <w:rFonts w:ascii="Verdana" w:hAnsi="Verdana"/>
          <w:szCs w:val="20"/>
        </w:rPr>
        <w:t>. Met de ondertekening van het c</w:t>
      </w:r>
      <w:r w:rsidRPr="00B95CC8">
        <w:rPr>
          <w:rFonts w:ascii="Verdana" w:hAnsi="Verdana"/>
          <w:szCs w:val="20"/>
        </w:rPr>
        <w:t>onvenant wordt ook de definitieve stap gezet naar de verdere d</w:t>
      </w:r>
      <w:r>
        <w:rPr>
          <w:rFonts w:ascii="Verdana" w:hAnsi="Verdana"/>
          <w:szCs w:val="20"/>
        </w:rPr>
        <w:t xml:space="preserve">ecentralisatie van de middelen. </w:t>
      </w:r>
      <w:r w:rsidRPr="00B95CC8">
        <w:rPr>
          <w:rFonts w:ascii="Verdana" w:hAnsi="Verdana"/>
          <w:szCs w:val="20"/>
        </w:rPr>
        <w:t>Tevens vindt de uitfinanciering van oude afspraken plaats. Het betreft de rijksbijdrage aan het Rotterdamse gasfabriekprogramma in de periode 2016-2020 en de afkoop van de rijksbijdragen aan het Amsterdamse gasfabriekenprogramma, de Volgermeerpolder, aanpak asbest in het Gijmink in Overijssel en bodemsanering van het Thermphos-terrein in Zeeland.</w:t>
      </w:r>
      <w:r>
        <w:rPr>
          <w:rFonts w:ascii="Verdana" w:hAnsi="Verdana"/>
          <w:szCs w:val="20"/>
        </w:rPr>
        <w:t xml:space="preserve"> De budgettaire gevolgen zullen worden verwerkt bij Ontwerpbegroting 2016.</w:t>
      </w:r>
    </w:p>
    <w:p w:rsidR="006F445A" w:rsidRDefault="006F445A" w:rsidP="006F445A">
      <w:pPr>
        <w:rPr>
          <w:rFonts w:ascii="Verdana" w:hAnsi="Verdana"/>
        </w:rPr>
      </w:pPr>
    </w:p>
    <w:p w:rsidR="006F445A" w:rsidRPr="002452D9" w:rsidRDefault="006F445A" w:rsidP="006F445A">
      <w:pPr>
        <w:pStyle w:val="Variabelegegevens"/>
        <w:keepLines w:val="0"/>
        <w:spacing w:line="240" w:lineRule="auto"/>
        <w:rPr>
          <w:rFonts w:ascii="Verdana" w:hAnsi="Verdana"/>
          <w:i/>
        </w:rPr>
      </w:pPr>
      <w:r w:rsidRPr="002452D9">
        <w:rPr>
          <w:rFonts w:ascii="Verdana" w:hAnsi="Verdana"/>
          <w:i/>
        </w:rPr>
        <w:t xml:space="preserve">Caribisch Nederland – drinkwaterkwaliteit en </w:t>
      </w:r>
      <w:r>
        <w:rPr>
          <w:rFonts w:ascii="Verdana" w:hAnsi="Verdana"/>
          <w:i/>
        </w:rPr>
        <w:t>-</w:t>
      </w:r>
      <w:r w:rsidRPr="002452D9">
        <w:rPr>
          <w:rFonts w:ascii="Verdana" w:hAnsi="Verdana"/>
          <w:i/>
        </w:rPr>
        <w:t>kwantiteit</w:t>
      </w:r>
    </w:p>
    <w:p w:rsidR="006F445A" w:rsidRDefault="006F445A" w:rsidP="006F445A">
      <w:pPr>
        <w:pStyle w:val="Variabelegegevens"/>
        <w:keepLines w:val="0"/>
        <w:spacing w:line="240" w:lineRule="auto"/>
        <w:rPr>
          <w:rFonts w:ascii="Verdana" w:hAnsi="Verdana"/>
        </w:rPr>
      </w:pPr>
      <w:r>
        <w:rPr>
          <w:rFonts w:ascii="Verdana" w:hAnsi="Verdana"/>
        </w:rPr>
        <w:t>V</w:t>
      </w:r>
      <w:r w:rsidRPr="00EF6C26">
        <w:rPr>
          <w:rFonts w:ascii="Verdana" w:hAnsi="Verdana"/>
        </w:rPr>
        <w:t>anuit verschillende artikelen</w:t>
      </w:r>
      <w:r>
        <w:rPr>
          <w:rFonts w:ascii="Verdana" w:hAnsi="Verdana"/>
        </w:rPr>
        <w:t xml:space="preserve"> worden</w:t>
      </w:r>
      <w:r w:rsidRPr="00EF6C26">
        <w:rPr>
          <w:rFonts w:ascii="Verdana" w:hAnsi="Verdana"/>
        </w:rPr>
        <w:t xml:space="preserve"> middelen overgeboekt naar artikelonderdeel 13.04 (Programma Gebiedsgericht Instrumentarium) voor uitvoeringstaken </w:t>
      </w:r>
      <w:r>
        <w:rPr>
          <w:rFonts w:ascii="Verdana" w:hAnsi="Verdana"/>
        </w:rPr>
        <w:t xml:space="preserve">op het gebied van </w:t>
      </w:r>
      <w:r w:rsidRPr="00EF6C26">
        <w:rPr>
          <w:rFonts w:ascii="Verdana" w:hAnsi="Verdana"/>
        </w:rPr>
        <w:t>drinkwaterkwaliteit en drinkwaterkwantiteit op Caribisch Nederland</w:t>
      </w:r>
    </w:p>
    <w:p w:rsidR="006F445A" w:rsidRPr="00B95CC8" w:rsidRDefault="006F445A" w:rsidP="006F445A">
      <w:pPr>
        <w:pStyle w:val="Variabelegegevens"/>
        <w:keepLines w:val="0"/>
        <w:spacing w:line="240" w:lineRule="auto"/>
        <w:rPr>
          <w:rFonts w:ascii="Verdana" w:hAnsi="Verdana"/>
          <w:color w:val="FF0000"/>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b/>
          <w:szCs w:val="20"/>
        </w:rPr>
        <w:t xml:space="preserve">13.05 Eenvoudig </w:t>
      </w:r>
      <w:r w:rsidRPr="00775537">
        <w:rPr>
          <w:rFonts w:ascii="Verdana" w:hAnsi="Verdana"/>
          <w:b/>
          <w:szCs w:val="20"/>
        </w:rPr>
        <w:t xml:space="preserve">beter </w:t>
      </w:r>
      <w:r w:rsidRPr="00B95CC8">
        <w:rPr>
          <w:rFonts w:ascii="Verdana" w:hAnsi="Verdana"/>
          <w:szCs w:val="20"/>
        </w:rPr>
        <w:br/>
      </w:r>
      <w:r w:rsidRPr="00B95CC8">
        <w:rPr>
          <w:rFonts w:ascii="Verdana" w:hAnsi="Verdana"/>
          <w:i/>
          <w:szCs w:val="20"/>
        </w:rPr>
        <w:t>Overschot OLO-2</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Binnen het programma Omgevingsloketonline wordt bij OLO-2 een overschot verwacht (€ 0,5 </w:t>
      </w:r>
      <w:r>
        <w:rPr>
          <w:rFonts w:ascii="Verdana" w:hAnsi="Verdana"/>
          <w:szCs w:val="20"/>
        </w:rPr>
        <w:t>miljoen</w:t>
      </w:r>
      <w:r w:rsidRPr="00B95CC8">
        <w:rPr>
          <w:rFonts w:ascii="Verdana" w:hAnsi="Verdana"/>
          <w:szCs w:val="20"/>
        </w:rPr>
        <w:t xml:space="preserve">) als gevolg van de verrekening van de kosten van de release van OLO 2.11. </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Ombouw OLO-3</w:t>
      </w:r>
    </w:p>
    <w:p w:rsidR="006F445A" w:rsidRDefault="006F445A" w:rsidP="006F445A">
      <w:pPr>
        <w:pStyle w:val="Variabelegegevens"/>
        <w:rPr>
          <w:rFonts w:ascii="Verdana" w:hAnsi="Verdana"/>
          <w:szCs w:val="20"/>
        </w:rPr>
      </w:pPr>
      <w:r>
        <w:rPr>
          <w:rFonts w:ascii="Verdana" w:hAnsi="Verdana"/>
          <w:szCs w:val="20"/>
        </w:rPr>
        <w:t xml:space="preserve">DCI (Directie Concern Informatievoorziening) voert </w:t>
      </w:r>
      <w:r>
        <w:rPr>
          <w:rFonts w:ascii="Verdana" w:hAnsi="Verdana"/>
        </w:rPr>
        <w:t xml:space="preserve">de </w:t>
      </w:r>
      <w:r w:rsidRPr="007E4C43">
        <w:rPr>
          <w:rFonts w:ascii="Verdana" w:hAnsi="Verdana"/>
        </w:rPr>
        <w:t xml:space="preserve">opzet van OLO (omgevingsloket online) </w:t>
      </w:r>
      <w:r>
        <w:rPr>
          <w:rFonts w:ascii="Verdana" w:hAnsi="Verdana"/>
        </w:rPr>
        <w:t xml:space="preserve">uit. </w:t>
      </w:r>
      <w:r>
        <w:rPr>
          <w:rFonts w:ascii="Verdana" w:hAnsi="Verdana"/>
          <w:szCs w:val="20"/>
        </w:rPr>
        <w:t xml:space="preserve">In het kader van de uitvoering van OLO-3 wordt </w:t>
      </w:r>
      <w:r w:rsidRPr="00B95CC8">
        <w:rPr>
          <w:rFonts w:ascii="Verdana" w:hAnsi="Verdana"/>
          <w:szCs w:val="20"/>
        </w:rPr>
        <w:t xml:space="preserve">€ 0,6 </w:t>
      </w:r>
      <w:r>
        <w:rPr>
          <w:rFonts w:ascii="Verdana" w:hAnsi="Verdana"/>
          <w:szCs w:val="20"/>
        </w:rPr>
        <w:t>miljoen overgeboekt naar artikel 97 Algemeen departement (</w:t>
      </w:r>
      <w:r>
        <w:rPr>
          <w:rFonts w:ascii="Verdana" w:hAnsi="Verdana"/>
        </w:rPr>
        <w:t xml:space="preserve">DCI </w:t>
      </w:r>
      <w:r>
        <w:rPr>
          <w:rFonts w:ascii="Verdana" w:hAnsi="Verdana"/>
          <w:szCs w:val="20"/>
        </w:rPr>
        <w:t>is de interne uitvoerder van IenM). D</w:t>
      </w:r>
      <w:r>
        <w:rPr>
          <w:rFonts w:ascii="Verdana" w:hAnsi="Verdana"/>
        </w:rPr>
        <w:t>iens uitgaven worden</w:t>
      </w:r>
      <w:r w:rsidRPr="007E4C43">
        <w:rPr>
          <w:rFonts w:ascii="Verdana" w:hAnsi="Verdana"/>
          <w:szCs w:val="20"/>
        </w:rPr>
        <w:t xml:space="preserve"> verantwoord</w:t>
      </w:r>
      <w:r>
        <w:rPr>
          <w:rFonts w:ascii="Verdana" w:hAnsi="Verdana"/>
          <w:szCs w:val="20"/>
        </w:rPr>
        <w:t xml:space="preserve"> o</w:t>
      </w:r>
      <w:r w:rsidRPr="007E4C43">
        <w:rPr>
          <w:rFonts w:ascii="Verdana" w:hAnsi="Verdana"/>
          <w:szCs w:val="20"/>
        </w:rPr>
        <w:t>p artikel 97</w:t>
      </w:r>
      <w:r>
        <w:rPr>
          <w:rFonts w:ascii="Verdana" w:hAnsi="Verdana"/>
          <w:szCs w:val="20"/>
        </w:rPr>
        <w:t xml:space="preserve"> Algemeen departement</w:t>
      </w:r>
      <w:r w:rsidRPr="007E4C43">
        <w:rPr>
          <w:rFonts w:ascii="Verdana" w:hAnsi="Verdana"/>
          <w:szCs w:val="20"/>
        </w:rPr>
        <w:t>.</w:t>
      </w:r>
    </w:p>
    <w:p w:rsidR="006F445A"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b/>
          <w:szCs w:val="20"/>
        </w:rPr>
        <w:t>Ontvangsten</w:t>
      </w:r>
      <w:r>
        <w:rPr>
          <w:rFonts w:ascii="Verdana" w:hAnsi="Verdana"/>
          <w:b/>
          <w:szCs w:val="20"/>
        </w:rPr>
        <w:t xml:space="preserve"> </w:t>
      </w:r>
      <w:r w:rsidRPr="00B95CC8">
        <w:rPr>
          <w:rFonts w:ascii="Verdana" w:hAnsi="Verdana"/>
          <w:b/>
          <w:szCs w:val="20"/>
        </w:rPr>
        <w:br/>
      </w:r>
      <w:r w:rsidRPr="00B95CC8">
        <w:rPr>
          <w:rFonts w:ascii="Verdana" w:hAnsi="Verdana"/>
          <w:szCs w:val="20"/>
        </w:rPr>
        <w:t>De Unie van Waterschappen draagt bij aan de kosten van de opdrachtverstrekking aan het Kadaster voor Basisregistraties. Voor het innen van de gelden is een vordering vastgelegd. Op basis van de ontvangst wordt een aanvullende opdracht verstrekt aan het Kadaster. Hiervoor dient het uitgavenbudget voor het BRK (Basisregistraties Kadaster) deels</w:t>
      </w:r>
      <w:r>
        <w:rPr>
          <w:rFonts w:ascii="Verdana" w:hAnsi="Verdana"/>
          <w:szCs w:val="20"/>
        </w:rPr>
        <w:t xml:space="preserve"> </w:t>
      </w:r>
      <w:r w:rsidRPr="00B95CC8">
        <w:rPr>
          <w:rFonts w:ascii="Verdana" w:hAnsi="Verdana"/>
          <w:szCs w:val="20"/>
        </w:rPr>
        <w:t>te worden opgehoogd.</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r>
        <w:rPr>
          <w:rFonts w:ascii="Verdana" w:hAnsi="Verdana"/>
          <w:b/>
          <w:szCs w:val="20"/>
        </w:rPr>
        <w:br w:type="page"/>
      </w:r>
      <w:r w:rsidRPr="00B95CC8">
        <w:rPr>
          <w:rFonts w:ascii="Verdana" w:hAnsi="Verdana"/>
          <w:b/>
          <w:szCs w:val="20"/>
        </w:rPr>
        <w:lastRenderedPageBreak/>
        <w:t>Artikel 14 Wegen en verkeersveiligheid</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r>
        <w:rPr>
          <w:noProof/>
          <w:szCs w:val="20"/>
          <w:lang w:eastAsia="nl-NL"/>
        </w:rPr>
        <w:drawing>
          <wp:inline distT="0" distB="0" distL="0" distR="0" wp14:anchorId="7D7C3B85" wp14:editId="22045188">
            <wp:extent cx="5812155" cy="2774950"/>
            <wp:effectExtent l="1905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10" cstate="print"/>
                    <a:srcRect/>
                    <a:stretch>
                      <a:fillRect/>
                    </a:stretch>
                  </pic:blipFill>
                  <pic:spPr bwMode="auto">
                    <a:xfrm>
                      <a:off x="0" y="0"/>
                      <a:ext cx="5812155" cy="2774950"/>
                    </a:xfrm>
                    <a:prstGeom prst="rect">
                      <a:avLst/>
                    </a:prstGeom>
                    <a:noFill/>
                    <a:ln w="9525">
                      <a:noFill/>
                      <a:miter lim="800000"/>
                      <a:headEnd/>
                      <a:tailEnd/>
                    </a:ln>
                  </pic:spPr>
                </pic:pic>
              </a:graphicData>
            </a:graphic>
          </wp:inline>
        </w:drawing>
      </w: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14.01 Netwerk</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Beter Benutten</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Ten behoeve van het programma Beter Benutten Intelligente Transport Systemen (ITS) worden middelen overgeheveld uit het Infrastructuurfonds artikel 12.</w:t>
      </w:r>
      <w:r>
        <w:rPr>
          <w:rFonts w:ascii="Verdana" w:hAnsi="Verdana"/>
          <w:szCs w:val="20"/>
        </w:rPr>
        <w:t xml:space="preserve"> ITS gaat om de toepassing van informatie- en communicatietechnologieën in transport, infrastructuur en voertuigen om het verkeer veiliger, efficiënter en betrouwbaarder te maken. De ITS-maatregelen zijn in zeven pijlers onder te verdelen: Multimodale reisinformatie, Spookfiles, Open parkeerdata, Brabant In Car III, Reisinformatiediensten, Blauwe Golf en de Data Verbeter Top 5.</w:t>
      </w:r>
    </w:p>
    <w:p w:rsidR="006F445A" w:rsidRDefault="006F445A" w:rsidP="006F445A">
      <w:pPr>
        <w:pStyle w:val="Variabelegegevens"/>
        <w:keepLines w:val="0"/>
        <w:spacing w:line="240" w:lineRule="auto"/>
        <w:rPr>
          <w:rFonts w:ascii="Verdana" w:hAnsi="Verdana"/>
          <w:i/>
          <w:szCs w:val="20"/>
        </w:rPr>
      </w:pPr>
    </w:p>
    <w:p w:rsidR="006F445A" w:rsidRPr="0013293A" w:rsidRDefault="006F445A" w:rsidP="006F445A">
      <w:pPr>
        <w:pStyle w:val="Variabelegegevens"/>
        <w:keepLines w:val="0"/>
        <w:spacing w:line="240" w:lineRule="auto"/>
        <w:rPr>
          <w:rFonts w:ascii="Verdana" w:hAnsi="Verdana"/>
          <w:i/>
          <w:szCs w:val="20"/>
        </w:rPr>
      </w:pPr>
      <w:r w:rsidRPr="0013293A">
        <w:rPr>
          <w:rFonts w:ascii="Verdana" w:hAnsi="Verdana"/>
          <w:i/>
          <w:szCs w:val="20"/>
        </w:rPr>
        <w:t>Overige opdrachten</w:t>
      </w:r>
    </w:p>
    <w:p w:rsidR="006F445A" w:rsidRDefault="006F445A" w:rsidP="006F445A">
      <w:pPr>
        <w:autoSpaceDE w:val="0"/>
        <w:autoSpaceDN w:val="0"/>
        <w:adjustRightInd w:val="0"/>
        <w:rPr>
          <w:rFonts w:ascii="Verdana" w:hAnsi="Verdana" w:cs="Univers"/>
        </w:rPr>
      </w:pPr>
      <w:r>
        <w:rPr>
          <w:rFonts w:ascii="Verdana" w:hAnsi="Verdana" w:cs="Univers"/>
        </w:rPr>
        <w:t>Bij Najaarsnota 2014 is gemeld dat de Ministerraad een besluit zal nemen over de v</w:t>
      </w:r>
      <w:r w:rsidRPr="00CB67B6">
        <w:rPr>
          <w:rFonts w:ascii="Verdana" w:hAnsi="Verdana" w:cs="Univers"/>
        </w:rPr>
        <w:t>erstrek</w:t>
      </w:r>
      <w:r>
        <w:rPr>
          <w:rFonts w:ascii="Verdana" w:hAnsi="Verdana" w:cs="Univers"/>
        </w:rPr>
        <w:t xml:space="preserve">king van een renteloze </w:t>
      </w:r>
      <w:r w:rsidRPr="00CB67B6">
        <w:rPr>
          <w:rFonts w:ascii="Verdana" w:hAnsi="Verdana" w:cs="Univers"/>
        </w:rPr>
        <w:t>lening voor infrastructurele werken</w:t>
      </w:r>
      <w:r>
        <w:rPr>
          <w:rFonts w:ascii="Verdana" w:hAnsi="Verdana" w:cs="Univers"/>
        </w:rPr>
        <w:t xml:space="preserve"> aan Saba. De Ministerraad heeft ingestemd met de lening van $ 2,5 mln, die wordt gefinancierd uit het opdrachtenbudget artikel 14. De lening wordt in de periode 2016 tot en met 2025 afgelost in jaarlijkse termijnen van € 0,2 mln door een inhouding op het BES-fonds. De inhouding wordt overgeboekt naar IenM.</w:t>
      </w: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br w:type="page"/>
      </w:r>
      <w:r w:rsidRPr="00B95CC8">
        <w:rPr>
          <w:rFonts w:ascii="Verdana" w:hAnsi="Verdana"/>
          <w:b/>
          <w:szCs w:val="20"/>
        </w:rPr>
        <w:lastRenderedPageBreak/>
        <w:t xml:space="preserve">Artikel 15 </w:t>
      </w:r>
      <w:r>
        <w:rPr>
          <w:rFonts w:ascii="Verdana" w:hAnsi="Verdana"/>
          <w:b/>
          <w:szCs w:val="20"/>
        </w:rPr>
        <w:t>OV-keten</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r>
        <w:rPr>
          <w:noProof/>
          <w:szCs w:val="20"/>
          <w:lang w:eastAsia="nl-NL"/>
        </w:rPr>
        <w:drawing>
          <wp:inline distT="0" distB="0" distL="0" distR="0" wp14:anchorId="161CBC09" wp14:editId="67665020">
            <wp:extent cx="5899785" cy="2162810"/>
            <wp:effectExtent l="1905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11" cstate="print"/>
                    <a:srcRect/>
                    <a:stretch>
                      <a:fillRect/>
                    </a:stretch>
                  </pic:blipFill>
                  <pic:spPr bwMode="auto">
                    <a:xfrm>
                      <a:off x="0" y="0"/>
                      <a:ext cx="5899785" cy="2162810"/>
                    </a:xfrm>
                    <a:prstGeom prst="rect">
                      <a:avLst/>
                    </a:prstGeom>
                    <a:noFill/>
                    <a:ln w="9525">
                      <a:noFill/>
                      <a:miter lim="800000"/>
                      <a:headEnd/>
                      <a:tailEnd/>
                    </a:ln>
                  </pic:spPr>
                </pic:pic>
              </a:graphicData>
            </a:graphic>
          </wp:inline>
        </w:drawing>
      </w: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15.01 Openbaar vervoer</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Subsidie regionaal OV systeem</w:t>
      </w:r>
      <w:r>
        <w:rPr>
          <w:rFonts w:ascii="Verdana" w:hAnsi="Verdana"/>
          <w:i/>
          <w:szCs w:val="20"/>
        </w:rPr>
        <w:tab/>
      </w: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szCs w:val="20"/>
        </w:rPr>
        <w:t xml:space="preserve">Dit betreft subsidies voor de Boordcomputer Taxi (BCT) en voor de onafhankelijke OV-klantenbarometer. De OV-klantenbarometer heeft betrekking op al het openbaar vervoer dat wordt aangestuurd door de provincies en stadregio’s. </w:t>
      </w:r>
    </w:p>
    <w:p w:rsidR="006F445A" w:rsidRPr="00B95CC8" w:rsidRDefault="006F445A" w:rsidP="006F445A">
      <w:pPr>
        <w:pStyle w:val="Variabelegegevens"/>
        <w:keepLines w:val="0"/>
        <w:spacing w:line="240" w:lineRule="auto"/>
        <w:rPr>
          <w:rFonts w:ascii="Verdana" w:hAnsi="Verdana"/>
          <w:b/>
          <w:szCs w:val="20"/>
        </w:rPr>
      </w:pPr>
      <w:r>
        <w:rPr>
          <w:rFonts w:ascii="Verdana" w:hAnsi="Verdana"/>
          <w:b/>
          <w:szCs w:val="20"/>
        </w:rPr>
        <w:tab/>
      </w: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Ontvangsten</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szCs w:val="20"/>
        </w:rPr>
        <w:t>Met het oog op de eindafrekening van de tijdelijke subsidieregeling Boordcomputer Taxi (BCT) wordt rekening gehouden met een incidentele ontvangstenmeevaller</w:t>
      </w:r>
      <w:r>
        <w:rPr>
          <w:rFonts w:ascii="Verdana" w:hAnsi="Verdana"/>
          <w:szCs w:val="20"/>
        </w:rPr>
        <w:t>,</w:t>
      </w:r>
      <w:r w:rsidRPr="00B95CC8">
        <w:rPr>
          <w:rFonts w:ascii="Verdana" w:hAnsi="Verdana"/>
          <w:szCs w:val="20"/>
        </w:rPr>
        <w:t xml:space="preserve"> zoals zich ook in 2014 heeft voorgedaan. </w:t>
      </w:r>
      <w:r w:rsidRPr="00B95CC8">
        <w:rPr>
          <w:rFonts w:ascii="Verdana" w:hAnsi="Verdana"/>
          <w:szCs w:val="20"/>
        </w:rPr>
        <w:br w:type="page"/>
      </w:r>
      <w:r w:rsidRPr="00B95CC8">
        <w:rPr>
          <w:rFonts w:ascii="Verdana" w:hAnsi="Verdana"/>
          <w:b/>
          <w:szCs w:val="20"/>
        </w:rPr>
        <w:lastRenderedPageBreak/>
        <w:t>Artikel 16 Spoor</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r>
        <w:rPr>
          <w:noProof/>
          <w:szCs w:val="20"/>
          <w:lang w:eastAsia="nl-NL"/>
        </w:rPr>
        <w:drawing>
          <wp:inline distT="0" distB="0" distL="0" distR="0" wp14:anchorId="0988518B" wp14:editId="4DAD0588">
            <wp:extent cx="5915660" cy="3188335"/>
            <wp:effectExtent l="1905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12" cstate="print"/>
                    <a:srcRect/>
                    <a:stretch>
                      <a:fillRect/>
                    </a:stretch>
                  </pic:blipFill>
                  <pic:spPr bwMode="auto">
                    <a:xfrm>
                      <a:off x="0" y="0"/>
                      <a:ext cx="5915660" cy="3188335"/>
                    </a:xfrm>
                    <a:prstGeom prst="rect">
                      <a:avLst/>
                    </a:prstGeom>
                    <a:noFill/>
                    <a:ln w="9525">
                      <a:noFill/>
                      <a:miter lim="800000"/>
                      <a:headEnd/>
                      <a:tailEnd/>
                    </a:ln>
                  </pic:spPr>
                </pic:pic>
              </a:graphicData>
            </a:graphic>
          </wp:inline>
        </w:drawing>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Verplichtingen</w:t>
      </w:r>
      <w:r>
        <w:rPr>
          <w:rFonts w:ascii="Verdana" w:hAnsi="Verdana"/>
          <w:b/>
          <w:szCs w:val="20"/>
        </w:rPr>
        <w:t xml:space="preserve"> </w:t>
      </w:r>
    </w:p>
    <w:p w:rsidR="006F445A" w:rsidRDefault="006F445A" w:rsidP="006F445A">
      <w:pPr>
        <w:pStyle w:val="Variabelegegevens"/>
        <w:keepLines w:val="0"/>
        <w:spacing w:line="240" w:lineRule="auto"/>
        <w:rPr>
          <w:rFonts w:ascii="Verdana" w:hAnsi="Verdana"/>
          <w:szCs w:val="20"/>
        </w:rPr>
      </w:pPr>
      <w:r w:rsidRPr="00B95CC8">
        <w:rPr>
          <w:rFonts w:ascii="Verdana" w:hAnsi="Verdana"/>
          <w:szCs w:val="20"/>
        </w:rPr>
        <w:t>De verhoging van het beschikbare bedrag verplichtingen vloeit voort uit het convenant ‘Bodemsanering NS-percelen’. Op basis van dit convenant ontvangt de stichting bodemsanering Nederland een totale subsidie van € 18</w:t>
      </w:r>
      <w:r>
        <w:rPr>
          <w:rFonts w:ascii="Verdana" w:hAnsi="Verdana"/>
          <w:szCs w:val="20"/>
        </w:rPr>
        <w:t xml:space="preserve"> miljoen</w:t>
      </w:r>
      <w:r w:rsidRPr="00B95CC8">
        <w:rPr>
          <w:rFonts w:ascii="Verdana" w:hAnsi="Verdana"/>
          <w:szCs w:val="20"/>
        </w:rPr>
        <w:t xml:space="preserve"> in 2015 en 2016. Het kasbudget was reeds bij Miljoenennota 2015 opgenomen, het verplichtingenbudget wordt bij Voorjaarsnota opgehoogd. </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16.01 Spoor</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ERTMS</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De verhoging van de uitgaven op artikel 16 betreft nagenoeg geheel de bijdrage aan NS voor de ERTMS pilot Amsterdam-Utrecht. Hiervoor worden middelen overgeboekt vanuit het Infrastructuurfonds artikel 13 Spoor. De uitgaven voor de ERTMS pilot worden namelijk op de operationele doelstelling 13.03 in het Infrastructuurfonds geraamd maar de uitgaven, met uitzondering van de door ProRail gemaakte kosten, dienen op de begroting van Hoofdstuk XII te worden verantwoord. </w:t>
      </w: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Ontvangsten</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Met het oog op de eindafrekening van overige subsidies wordt rekening gehouden met een ontvangstenmeevaller zoals zich ook in 2014 heeft voorgedaan. </w:t>
      </w:r>
    </w:p>
    <w:p w:rsidR="006F445A" w:rsidRPr="00B95CC8" w:rsidRDefault="006F445A" w:rsidP="006F445A">
      <w:pPr>
        <w:pStyle w:val="Variabelegegevens"/>
        <w:keepLines w:val="0"/>
        <w:spacing w:line="240" w:lineRule="auto"/>
        <w:rPr>
          <w:rFonts w:ascii="Verdana" w:hAnsi="Verdana"/>
          <w:i/>
          <w:szCs w:val="20"/>
        </w:rPr>
      </w:pP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br w:type="page"/>
      </w:r>
      <w:r w:rsidRPr="00B95CC8">
        <w:rPr>
          <w:rFonts w:ascii="Verdana" w:hAnsi="Verdana"/>
          <w:b/>
          <w:szCs w:val="20"/>
        </w:rPr>
        <w:lastRenderedPageBreak/>
        <w:t>Artikel 17 Luchtvaart</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r>
        <w:rPr>
          <w:noProof/>
          <w:szCs w:val="20"/>
          <w:lang w:eastAsia="nl-NL"/>
        </w:rPr>
        <w:drawing>
          <wp:inline distT="0" distB="0" distL="0" distR="0" wp14:anchorId="1EDFC048" wp14:editId="08E04B0C">
            <wp:extent cx="5828030" cy="2671445"/>
            <wp:effectExtent l="1905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13" cstate="print"/>
                    <a:srcRect/>
                    <a:stretch>
                      <a:fillRect/>
                    </a:stretch>
                  </pic:blipFill>
                  <pic:spPr bwMode="auto">
                    <a:xfrm>
                      <a:off x="0" y="0"/>
                      <a:ext cx="5828030" cy="2671445"/>
                    </a:xfrm>
                    <a:prstGeom prst="rect">
                      <a:avLst/>
                    </a:prstGeom>
                    <a:noFill/>
                    <a:ln w="9525">
                      <a:noFill/>
                      <a:miter lim="800000"/>
                      <a:headEnd/>
                      <a:tailEnd/>
                    </a:ln>
                  </pic:spPr>
                </pic:pic>
              </a:graphicData>
            </a:graphic>
          </wp:inline>
        </w:drawing>
      </w:r>
      <w:r w:rsidRPr="00B95CC8">
        <w:rPr>
          <w:rFonts w:ascii="Verdana" w:hAnsi="Verdana"/>
          <w:szCs w:val="20"/>
        </w:rPr>
        <w:t xml:space="preserve"> </w:t>
      </w: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17.01 Luchtvaart</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Subsidie Corporate Biofuel Programme</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In 2015, 2016 en 2017 draagt IenM jaarlijks € 0,2 m</w:t>
      </w:r>
      <w:r>
        <w:rPr>
          <w:rFonts w:ascii="Verdana" w:hAnsi="Verdana"/>
          <w:szCs w:val="20"/>
        </w:rPr>
        <w:t>iljoen</w:t>
      </w:r>
      <w:r w:rsidRPr="00B95CC8">
        <w:rPr>
          <w:rFonts w:ascii="Verdana" w:hAnsi="Verdana"/>
          <w:szCs w:val="20"/>
        </w:rPr>
        <w:t xml:space="preserve"> bij aan het KLM Corporate Biofuel Programme</w:t>
      </w:r>
      <w:r>
        <w:rPr>
          <w:rFonts w:ascii="Verdana" w:hAnsi="Verdana"/>
          <w:szCs w:val="20"/>
        </w:rPr>
        <w:t>. Dit is</w:t>
      </w:r>
      <w:r w:rsidRPr="00B95CC8">
        <w:rPr>
          <w:rFonts w:ascii="Verdana" w:hAnsi="Verdana"/>
          <w:szCs w:val="20"/>
        </w:rPr>
        <w:t xml:space="preserve"> een </w:t>
      </w:r>
      <w:r>
        <w:rPr>
          <w:rFonts w:ascii="Verdana" w:hAnsi="Verdana"/>
          <w:szCs w:val="20"/>
        </w:rPr>
        <w:t>innovatie</w:t>
      </w:r>
      <w:r w:rsidRPr="00B95CC8">
        <w:rPr>
          <w:rFonts w:ascii="Verdana" w:hAnsi="Verdana"/>
          <w:szCs w:val="20"/>
        </w:rPr>
        <w:t xml:space="preserve">programma </w:t>
      </w:r>
      <w:r>
        <w:rPr>
          <w:rFonts w:ascii="Verdana" w:hAnsi="Verdana"/>
          <w:szCs w:val="20"/>
        </w:rPr>
        <w:t>waarbij ondernemingen ervoor kiezen om een deel van hun dienstreizen op duurzame biobrandstof te vliegen en zo de CO2-uitstoot te reduceren. De bijdrage van € 0,2 miljoen wordt door KLM volledig geïnvesteerd in duurzame biokerosine en draagt daarmee bij aan de vergroening van de luchtvaartsector.</w:t>
      </w:r>
      <w:r w:rsidRPr="00B95CC8">
        <w:rPr>
          <w:rFonts w:ascii="Verdana" w:hAnsi="Verdana"/>
          <w:szCs w:val="20"/>
        </w:rPr>
        <w:t xml:space="preserve"> </w:t>
      </w:r>
    </w:p>
    <w:p w:rsidR="006F445A" w:rsidRDefault="006F445A" w:rsidP="006F445A">
      <w:pPr>
        <w:pStyle w:val="Variabelegegevens"/>
        <w:keepLines w:val="0"/>
        <w:spacing w:line="240" w:lineRule="auto"/>
        <w:rPr>
          <w:rFonts w:ascii="Verdana" w:hAnsi="Verdana"/>
          <w:i/>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szCs w:val="20"/>
        </w:rPr>
        <w:br w:type="page"/>
      </w:r>
      <w:r w:rsidRPr="00B95CC8">
        <w:rPr>
          <w:rFonts w:ascii="Verdana" w:hAnsi="Verdana"/>
          <w:b/>
          <w:szCs w:val="20"/>
        </w:rPr>
        <w:lastRenderedPageBreak/>
        <w:t>Artikel 18 Scheepvaart en havens</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r>
        <w:rPr>
          <w:rFonts w:ascii="Verdana" w:hAnsi="Verdana"/>
          <w:noProof/>
          <w:szCs w:val="20"/>
          <w:lang w:eastAsia="nl-NL"/>
        </w:rPr>
        <w:drawing>
          <wp:inline distT="0" distB="0" distL="0" distR="0" wp14:anchorId="399F4F03" wp14:editId="2FA6E614">
            <wp:extent cx="5828030" cy="2138680"/>
            <wp:effectExtent l="1905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4" cstate="print"/>
                    <a:srcRect/>
                    <a:stretch>
                      <a:fillRect/>
                    </a:stretch>
                  </pic:blipFill>
                  <pic:spPr bwMode="auto">
                    <a:xfrm>
                      <a:off x="0" y="0"/>
                      <a:ext cx="5828030" cy="2138680"/>
                    </a:xfrm>
                    <a:prstGeom prst="rect">
                      <a:avLst/>
                    </a:prstGeom>
                    <a:noFill/>
                    <a:ln w="9525">
                      <a:noFill/>
                      <a:miter lim="800000"/>
                      <a:headEnd/>
                      <a:tailEnd/>
                    </a:ln>
                  </pic:spPr>
                </pic:pic>
              </a:graphicData>
            </a:graphic>
          </wp:inline>
        </w:drawing>
      </w:r>
    </w:p>
    <w:p w:rsidR="006F445A"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Verplichtingen</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De verhoging van het beschikbare bedrag verplichtingen vloeit voort uit de dekking van de uitgaven voor de Topsector Logistiek jaarplan</w:t>
      </w:r>
      <w:r>
        <w:rPr>
          <w:rFonts w:ascii="Verdana" w:hAnsi="Verdana"/>
          <w:szCs w:val="20"/>
        </w:rPr>
        <w:t xml:space="preserve"> 2015, zoals gemeld onder 18.01 </w:t>
      </w:r>
      <w:r w:rsidRPr="00B95CC8">
        <w:rPr>
          <w:rFonts w:ascii="Verdana" w:hAnsi="Verdana"/>
          <w:szCs w:val="20"/>
        </w:rPr>
        <w:t xml:space="preserve">Scheepvaart en havens. </w:t>
      </w:r>
      <w:r>
        <w:rPr>
          <w:rFonts w:ascii="Verdana" w:hAnsi="Verdana"/>
          <w:szCs w:val="20"/>
        </w:rPr>
        <w:t>In 2015 wordt voor het Jaarplan 2015 Topsector Logistiek € 20,5 miljoen aan verplichtingen aangegaan.</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18.01 Scheepvaart en havens</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Topsector Logistiek</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Ten behoeve van de financiële dekking voor</w:t>
      </w:r>
      <w:r>
        <w:rPr>
          <w:rFonts w:ascii="Verdana" w:hAnsi="Verdana"/>
          <w:szCs w:val="20"/>
        </w:rPr>
        <w:t xml:space="preserve"> het jaarplan 2015 </w:t>
      </w:r>
      <w:r w:rsidRPr="00B95CC8">
        <w:rPr>
          <w:rFonts w:ascii="Verdana" w:hAnsi="Verdana"/>
          <w:szCs w:val="20"/>
        </w:rPr>
        <w:t>van de Topsector Logistiek word</w:t>
      </w:r>
      <w:r>
        <w:rPr>
          <w:rFonts w:ascii="Verdana" w:hAnsi="Verdana"/>
          <w:szCs w:val="20"/>
        </w:rPr>
        <w:t xml:space="preserve">t € 8,5 miljoen </w:t>
      </w:r>
      <w:r w:rsidRPr="00B95CC8">
        <w:rPr>
          <w:rFonts w:ascii="Verdana" w:hAnsi="Verdana"/>
          <w:szCs w:val="20"/>
        </w:rPr>
        <w:t>overgeheveld uit het Infrastructuurfonds</w:t>
      </w:r>
      <w:r>
        <w:rPr>
          <w:rFonts w:ascii="Verdana" w:hAnsi="Verdana"/>
          <w:szCs w:val="20"/>
        </w:rPr>
        <w:t xml:space="preserve"> naar Hoofdstuk XII</w:t>
      </w:r>
      <w:r w:rsidRPr="00B95CC8">
        <w:rPr>
          <w:rFonts w:ascii="Verdana" w:hAnsi="Verdana"/>
          <w:szCs w:val="20"/>
        </w:rPr>
        <w:t xml:space="preserve">. Het jaarplan omvat verschillende projecten om de ambities van de Topsector Logistiek op de thema’s bereikbaarheid, leefbaarheid en concurrentiekracht te realiseren. </w:t>
      </w:r>
    </w:p>
    <w:p w:rsidR="006F445A" w:rsidRPr="00B95CC8" w:rsidRDefault="006F445A" w:rsidP="006F445A">
      <w:pPr>
        <w:pStyle w:val="Variabelegegevens"/>
        <w:keepLines w:val="0"/>
        <w:spacing w:line="240" w:lineRule="auto"/>
        <w:rPr>
          <w:rFonts w:ascii="Verdana" w:hAnsi="Verdana"/>
          <w:i/>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Ontvangsten</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In 2014 heeft zich een ontvangsten</w:t>
      </w:r>
      <w:r>
        <w:rPr>
          <w:rFonts w:ascii="Verdana" w:hAnsi="Verdana"/>
          <w:szCs w:val="20"/>
        </w:rPr>
        <w:t>m</w:t>
      </w:r>
      <w:r w:rsidRPr="00B95CC8">
        <w:rPr>
          <w:rFonts w:ascii="Verdana" w:hAnsi="Verdana"/>
          <w:szCs w:val="20"/>
        </w:rPr>
        <w:t>eevaller voorgedaan op de tijdelijke subsidieregeling maritieme innovatie. Met het oog op de eindafrekening van deze regeling wordt in 2015 rekening gehouden met eenzelfde ontvangstenmeevaller</w:t>
      </w:r>
      <w:r>
        <w:rPr>
          <w:rFonts w:ascii="Verdana" w:hAnsi="Verdana"/>
          <w:szCs w:val="20"/>
        </w:rPr>
        <w:t>,</w:t>
      </w:r>
      <w:r w:rsidRPr="00B95CC8">
        <w:rPr>
          <w:rFonts w:ascii="Verdana" w:hAnsi="Verdana"/>
          <w:szCs w:val="20"/>
        </w:rPr>
        <w:t xml:space="preserve"> zoals zich in 2014 heeft voorgedaan. </w:t>
      </w: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br w:type="page"/>
      </w:r>
      <w:r w:rsidRPr="00B95CC8">
        <w:rPr>
          <w:rFonts w:ascii="Verdana" w:hAnsi="Verdana"/>
          <w:b/>
          <w:szCs w:val="20"/>
        </w:rPr>
        <w:lastRenderedPageBreak/>
        <w:t>Artikel 19 Klimaat</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r>
        <w:rPr>
          <w:noProof/>
          <w:szCs w:val="20"/>
          <w:lang w:eastAsia="nl-NL"/>
        </w:rPr>
        <w:drawing>
          <wp:inline distT="0" distB="0" distL="0" distR="0" wp14:anchorId="55515F16" wp14:editId="2DB9A3E3">
            <wp:extent cx="5939790" cy="4269740"/>
            <wp:effectExtent l="1905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15" cstate="print"/>
                    <a:srcRect/>
                    <a:stretch>
                      <a:fillRect/>
                    </a:stretch>
                  </pic:blipFill>
                  <pic:spPr bwMode="auto">
                    <a:xfrm>
                      <a:off x="0" y="0"/>
                      <a:ext cx="5939790" cy="4269740"/>
                    </a:xfrm>
                    <a:prstGeom prst="rect">
                      <a:avLst/>
                    </a:prstGeom>
                    <a:noFill/>
                    <a:ln w="9525">
                      <a:noFill/>
                      <a:miter lim="800000"/>
                      <a:headEnd/>
                      <a:tailEnd/>
                    </a:ln>
                  </pic:spPr>
                </pic:pic>
              </a:graphicData>
            </a:graphic>
          </wp:inline>
        </w:drawing>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19.01 Klimaat</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Gecoördineerde opdrachtverlening RVO</w:t>
      </w:r>
    </w:p>
    <w:p w:rsidR="006F445A" w:rsidRPr="002452D9" w:rsidRDefault="006F445A" w:rsidP="006F445A">
      <w:pPr>
        <w:pStyle w:val="Variabelegegevens"/>
        <w:rPr>
          <w:rFonts w:ascii="Verdana" w:hAnsi="Verdana"/>
        </w:rPr>
      </w:pPr>
      <w:r w:rsidRPr="00B95CC8">
        <w:rPr>
          <w:rFonts w:ascii="Verdana" w:hAnsi="Verdana"/>
          <w:szCs w:val="20"/>
        </w:rPr>
        <w:t>De totale opdracht aan het RVO wordt verantwoord op artikel</w:t>
      </w:r>
      <w:r>
        <w:rPr>
          <w:rFonts w:ascii="Verdana" w:hAnsi="Verdana"/>
          <w:szCs w:val="20"/>
        </w:rPr>
        <w:t>onderdeel</w:t>
      </w:r>
      <w:r w:rsidRPr="00B95CC8">
        <w:rPr>
          <w:rFonts w:ascii="Verdana" w:hAnsi="Verdana"/>
          <w:szCs w:val="20"/>
        </w:rPr>
        <w:t xml:space="preserve"> 19.02.03. De in het kader van deze opdracht bij de afzonderlijke directies geraamde aanvullende budgetten worden dan ook overgeboekt naar </w:t>
      </w:r>
      <w:r>
        <w:rPr>
          <w:rFonts w:ascii="Verdana" w:hAnsi="Verdana"/>
          <w:szCs w:val="20"/>
        </w:rPr>
        <w:t xml:space="preserve">het hiervoor </w:t>
      </w:r>
      <w:r w:rsidRPr="00B95CC8">
        <w:rPr>
          <w:rFonts w:ascii="Verdana" w:hAnsi="Verdana"/>
          <w:szCs w:val="20"/>
        </w:rPr>
        <w:t>genoemde artikel.</w:t>
      </w:r>
      <w:r>
        <w:rPr>
          <w:rFonts w:ascii="Verdana" w:hAnsi="Verdana"/>
          <w:szCs w:val="20"/>
        </w:rPr>
        <w:t xml:space="preserve">  </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Overboeking naar BDU</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In het kader van praktijkproeven </w:t>
      </w:r>
      <w:r>
        <w:rPr>
          <w:rFonts w:ascii="Verdana" w:hAnsi="Verdana"/>
          <w:szCs w:val="20"/>
        </w:rPr>
        <w:t>met</w:t>
      </w:r>
      <w:r w:rsidRPr="00B95CC8">
        <w:rPr>
          <w:rFonts w:ascii="Verdana" w:hAnsi="Verdana"/>
          <w:szCs w:val="20"/>
        </w:rPr>
        <w:t xml:space="preserve"> waterstofbussen in het openbaar vervoer worden er middelen gedecentraliseerd naar het BDU.</w:t>
      </w:r>
      <w:r>
        <w:rPr>
          <w:rFonts w:ascii="Verdana" w:hAnsi="Verdana"/>
          <w:szCs w:val="20"/>
        </w:rPr>
        <w:t xml:space="preserve"> De verplichtingenbudgetten zijn reeds in 2014 overgeboekt en bij deze begroting worden de bijbehorende uitgavenbudgetten overgeboekt. </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 xml:space="preserve">19.02 Internationaal beleid, coördinatie en samenwerking </w:t>
      </w: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Gecoördineerde opdrachtverlening RVO</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De totale opdracht aan het RVO wordt verantwoord op artikel 19.02.03. De in het kader van deze opdracht bij de afzonderlijke directies geraamde aanvullende budgetten worden dan ook overgeboekt naar dit artikel.</w:t>
      </w:r>
      <w:r>
        <w:rPr>
          <w:rFonts w:ascii="Verdana" w:hAnsi="Verdana"/>
          <w:szCs w:val="20"/>
        </w:rPr>
        <w:t xml:space="preserve"> In 2015 is de totale omvang van opdrachten aan het RVO € 9,4 miljoen.</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Gecoördineerde opdrachtverlening RIVM</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De totale opdracht aan het RIVM wordt verantwoord op artikel 19.02.03. De in het kader van deze opdracht bij de afzonderlijke directies geraamde aanvullende budgetten worden dan ook overgeboekt naar dit artikel.</w:t>
      </w:r>
    </w:p>
    <w:p w:rsidR="006F445A"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Arbitragezaak Panama (HGIS)</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lastRenderedPageBreak/>
        <w:t xml:space="preserve">Bij HGIS-besluitvorming 2014 is afgesproken dat eventuele verplichtingen die mogelijk voortvloeien uit een in Panama aangespannen arbitragezaak over het wel of niet moeten afnemen van emissierechten uit het CDM-waterkrachtproject Xacbal/Panama en uit twee vergelijkbare </w:t>
      </w:r>
      <w:r>
        <w:rPr>
          <w:rFonts w:ascii="Verdana" w:hAnsi="Verdana"/>
          <w:szCs w:val="20"/>
        </w:rPr>
        <w:t>zaken</w:t>
      </w:r>
      <w:r w:rsidRPr="00B95CC8">
        <w:rPr>
          <w:rFonts w:ascii="Verdana" w:hAnsi="Verdana"/>
          <w:szCs w:val="20"/>
        </w:rPr>
        <w:t xml:space="preserve"> worden opgevangen binnen de HGIS. In februari 2015 is de uitspraak in de arbitragezaak Xacbal/Panama gekomen en negatief voor Nederland geëindigd. In totaal bedragen de kosten die samenhangen met deze arbitragezaak € 6,7 </w:t>
      </w:r>
      <w:r>
        <w:rPr>
          <w:rFonts w:ascii="Verdana" w:hAnsi="Verdana"/>
          <w:szCs w:val="20"/>
        </w:rPr>
        <w:t xml:space="preserve">miljoen. </w:t>
      </w:r>
      <w:r w:rsidRPr="00B95CC8">
        <w:rPr>
          <w:rFonts w:ascii="Verdana" w:hAnsi="Verdana"/>
          <w:szCs w:val="20"/>
        </w:rPr>
        <w:t>Conform HGIS-besluitvorming 2014 wordt IenM hiervoor gecompenseerd vanuit de HGIS.</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Overboeking t.b.v. ESA (ruimtevaart)</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In het kader van ESA-ruimtevaart worden middelen</w:t>
      </w:r>
      <w:r>
        <w:rPr>
          <w:rFonts w:ascii="Verdana" w:hAnsi="Verdana"/>
          <w:szCs w:val="20"/>
        </w:rPr>
        <w:t xml:space="preserve"> naar het M</w:t>
      </w:r>
      <w:r w:rsidRPr="00B95CC8">
        <w:rPr>
          <w:rFonts w:ascii="Verdana" w:hAnsi="Verdana"/>
          <w:szCs w:val="20"/>
        </w:rPr>
        <w:t xml:space="preserve">inisterie van Economische Zaken overgeheveld (€ 2,5 </w:t>
      </w:r>
      <w:r>
        <w:rPr>
          <w:rFonts w:ascii="Verdana" w:hAnsi="Verdana"/>
          <w:szCs w:val="20"/>
        </w:rPr>
        <w:t>miljoen</w:t>
      </w:r>
      <w:r w:rsidRPr="00B95CC8">
        <w:rPr>
          <w:rFonts w:ascii="Verdana" w:hAnsi="Verdana"/>
          <w:szCs w:val="20"/>
        </w:rPr>
        <w:t>). Deze bijdrage wordt gedaan voor de ontwikkeling van producten van ESA-programma’s.</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br w:type="page"/>
      </w:r>
      <w:r w:rsidRPr="00B95CC8">
        <w:rPr>
          <w:rFonts w:ascii="Verdana" w:hAnsi="Verdana"/>
          <w:b/>
          <w:szCs w:val="20"/>
        </w:rPr>
        <w:lastRenderedPageBreak/>
        <w:t>Artikel 20 Lucht en geluid</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r>
        <w:rPr>
          <w:rFonts w:ascii="Verdana" w:hAnsi="Verdana"/>
          <w:noProof/>
          <w:szCs w:val="20"/>
          <w:lang w:eastAsia="nl-NL"/>
        </w:rPr>
        <w:drawing>
          <wp:inline distT="0" distB="0" distL="0" distR="0" wp14:anchorId="5C1DBF6B" wp14:editId="7C45609B">
            <wp:extent cx="5923915" cy="2989580"/>
            <wp:effectExtent l="1905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
                    <pic:cNvPicPr>
                      <a:picLocks noChangeAspect="1" noChangeArrowheads="1"/>
                    </pic:cNvPicPr>
                  </pic:nvPicPr>
                  <pic:blipFill>
                    <a:blip r:embed="rId16" cstate="print"/>
                    <a:srcRect/>
                    <a:stretch>
                      <a:fillRect/>
                    </a:stretch>
                  </pic:blipFill>
                  <pic:spPr bwMode="auto">
                    <a:xfrm>
                      <a:off x="0" y="0"/>
                      <a:ext cx="5923915" cy="2989580"/>
                    </a:xfrm>
                    <a:prstGeom prst="rect">
                      <a:avLst/>
                    </a:prstGeom>
                    <a:noFill/>
                    <a:ln w="9525">
                      <a:noFill/>
                      <a:miter lim="800000"/>
                      <a:headEnd/>
                      <a:tailEnd/>
                    </a:ln>
                  </pic:spPr>
                </pic:pic>
              </a:graphicData>
            </a:graphic>
          </wp:inline>
        </w:drawing>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Verplichtingen</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De verhoging van de verplichtingen heeft </w:t>
      </w:r>
      <w:r>
        <w:rPr>
          <w:rFonts w:ascii="Verdana" w:hAnsi="Verdana"/>
          <w:szCs w:val="20"/>
        </w:rPr>
        <w:t xml:space="preserve">er </w:t>
      </w:r>
      <w:r w:rsidRPr="00B95CC8">
        <w:rPr>
          <w:rFonts w:ascii="Verdana" w:hAnsi="Verdana"/>
          <w:szCs w:val="20"/>
        </w:rPr>
        <w:t xml:space="preserve">met name </w:t>
      </w:r>
      <w:r>
        <w:rPr>
          <w:rFonts w:ascii="Verdana" w:hAnsi="Verdana"/>
          <w:szCs w:val="20"/>
        </w:rPr>
        <w:t xml:space="preserve">mee </w:t>
      </w:r>
      <w:r w:rsidRPr="00B95CC8">
        <w:rPr>
          <w:rFonts w:ascii="Verdana" w:hAnsi="Verdana"/>
          <w:szCs w:val="20"/>
        </w:rPr>
        <w:t xml:space="preserve">te maken </w:t>
      </w:r>
      <w:r>
        <w:rPr>
          <w:rFonts w:ascii="Verdana" w:hAnsi="Verdana"/>
          <w:szCs w:val="20"/>
        </w:rPr>
        <w:t>dat bij</w:t>
      </w:r>
      <w:r w:rsidRPr="00B95CC8">
        <w:rPr>
          <w:rFonts w:ascii="Verdana" w:hAnsi="Verdana"/>
          <w:szCs w:val="20"/>
        </w:rPr>
        <w:t xml:space="preserve"> de overboeking van het Infrastructuurfonds naar H</w:t>
      </w:r>
      <w:r>
        <w:rPr>
          <w:rFonts w:ascii="Verdana" w:hAnsi="Verdana"/>
          <w:szCs w:val="20"/>
        </w:rPr>
        <w:t xml:space="preserve">oofdstuk </w:t>
      </w:r>
      <w:r w:rsidRPr="00B95CC8">
        <w:rPr>
          <w:rFonts w:ascii="Verdana" w:hAnsi="Verdana"/>
          <w:szCs w:val="20"/>
        </w:rPr>
        <w:t>XII naast kasbudget ook verplichtingenbudget wordt overgeheveld.</w:t>
      </w:r>
    </w:p>
    <w:p w:rsidR="006F445A"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20.01 Luchtkwaliteit en tegengaan geluidshinder</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Gecoördineerde opdrachtverlening RIVM</w:t>
      </w:r>
    </w:p>
    <w:p w:rsidR="006F445A" w:rsidRPr="00B95CC8" w:rsidRDefault="006F445A" w:rsidP="006F445A">
      <w:pPr>
        <w:pStyle w:val="Variabelegegevens"/>
        <w:rPr>
          <w:rFonts w:ascii="Verdana" w:hAnsi="Verdana"/>
          <w:szCs w:val="20"/>
        </w:rPr>
      </w:pPr>
      <w:r w:rsidRPr="00B95CC8">
        <w:rPr>
          <w:rFonts w:ascii="Verdana" w:hAnsi="Verdana"/>
          <w:szCs w:val="20"/>
        </w:rPr>
        <w:t>De totale opdracht aan het RIVM wordt verantwoord op artikel</w:t>
      </w:r>
      <w:r>
        <w:rPr>
          <w:rFonts w:ascii="Verdana" w:hAnsi="Verdana"/>
          <w:szCs w:val="20"/>
        </w:rPr>
        <w:t>onderdeel</w:t>
      </w:r>
      <w:r w:rsidRPr="00B95CC8">
        <w:rPr>
          <w:rFonts w:ascii="Verdana" w:hAnsi="Verdana"/>
          <w:szCs w:val="20"/>
        </w:rPr>
        <w:t xml:space="preserve"> 19.02.03. De in het kader van deze opdracht bij de afzonderlijke directies geraamde aanvullende budgetten w</w:t>
      </w:r>
      <w:r>
        <w:rPr>
          <w:rFonts w:ascii="Verdana" w:hAnsi="Verdana"/>
          <w:szCs w:val="20"/>
        </w:rPr>
        <w:t xml:space="preserve">orden dan ook overgeboekt naar het hiervoor </w:t>
      </w:r>
      <w:r w:rsidRPr="00B95CC8">
        <w:rPr>
          <w:rFonts w:ascii="Verdana" w:hAnsi="Verdana"/>
          <w:szCs w:val="20"/>
        </w:rPr>
        <w:t>genoemde artikel.</w:t>
      </w:r>
      <w:r>
        <w:rPr>
          <w:rFonts w:ascii="Verdana" w:hAnsi="Verdana"/>
          <w:szCs w:val="20"/>
        </w:rPr>
        <w:t xml:space="preserve">  </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 xml:space="preserve">Overboeking </w:t>
      </w:r>
      <w:r>
        <w:rPr>
          <w:rFonts w:ascii="Verdana" w:hAnsi="Verdana"/>
          <w:i/>
          <w:szCs w:val="20"/>
        </w:rPr>
        <w:t>ten behoeve van</w:t>
      </w:r>
      <w:r w:rsidRPr="00B95CC8">
        <w:rPr>
          <w:rFonts w:ascii="Verdana" w:hAnsi="Verdana"/>
          <w:i/>
          <w:szCs w:val="20"/>
        </w:rPr>
        <w:t xml:space="preserve"> Green Deal</w:t>
      </w:r>
      <w:r>
        <w:rPr>
          <w:rFonts w:ascii="Verdana" w:hAnsi="Verdana"/>
          <w:i/>
          <w:szCs w:val="20"/>
        </w:rPr>
        <w:t xml:space="preserve"> Laadinfrastructuur</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In het kader van </w:t>
      </w:r>
      <w:r>
        <w:rPr>
          <w:rFonts w:ascii="Verdana" w:hAnsi="Verdana"/>
          <w:szCs w:val="20"/>
        </w:rPr>
        <w:t>de</w:t>
      </w:r>
      <w:r w:rsidRPr="00B95CC8">
        <w:rPr>
          <w:rFonts w:ascii="Verdana" w:hAnsi="Verdana"/>
          <w:szCs w:val="20"/>
        </w:rPr>
        <w:t xml:space="preserve"> Green Deal</w:t>
      </w:r>
      <w:r>
        <w:rPr>
          <w:rFonts w:ascii="Verdana" w:hAnsi="Verdana"/>
          <w:szCs w:val="20"/>
        </w:rPr>
        <w:t xml:space="preserve"> ‘Openbaar Toegankelijke Laadinfrastructuur’ wordt een bedrag van € 2,5 miljoen overgeheveld naar het M</w:t>
      </w:r>
      <w:r w:rsidRPr="00B95CC8">
        <w:rPr>
          <w:rFonts w:ascii="Verdana" w:hAnsi="Verdana"/>
          <w:szCs w:val="20"/>
        </w:rPr>
        <w:t>inisterie van Economische Zaken. Deze bijdrage is nodig voor de infrastructuur van laadpunten voor elektrische auto’s.</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Overboeking van Infrastructuurfonds</w:t>
      </w:r>
    </w:p>
    <w:p w:rsidR="006F445A" w:rsidRPr="00B95CC8" w:rsidRDefault="006F445A" w:rsidP="006F445A">
      <w:pPr>
        <w:pStyle w:val="Geenafstand"/>
        <w:rPr>
          <w:rFonts w:ascii="Verdana" w:hAnsi="Verdana"/>
          <w:sz w:val="20"/>
          <w:szCs w:val="20"/>
        </w:rPr>
      </w:pPr>
      <w:r w:rsidRPr="00B95CC8">
        <w:rPr>
          <w:rFonts w:ascii="Verdana" w:hAnsi="Verdana"/>
          <w:sz w:val="20"/>
          <w:szCs w:val="20"/>
        </w:rPr>
        <w:t>Op het Infrastructuurfonds staat in de periode 2015-2018 een</w:t>
      </w:r>
      <w:r>
        <w:rPr>
          <w:rFonts w:ascii="Verdana" w:hAnsi="Verdana"/>
          <w:sz w:val="20"/>
          <w:szCs w:val="20"/>
        </w:rPr>
        <w:t xml:space="preserve"> nog resterend</w:t>
      </w:r>
      <w:r w:rsidRPr="00B95CC8">
        <w:rPr>
          <w:rFonts w:ascii="Verdana" w:hAnsi="Verdana"/>
          <w:sz w:val="20"/>
          <w:szCs w:val="20"/>
        </w:rPr>
        <w:t xml:space="preserve"> bedrag van € 23 miljoen gereserveerd voor </w:t>
      </w:r>
      <w:r>
        <w:rPr>
          <w:rFonts w:ascii="Verdana" w:hAnsi="Verdana"/>
          <w:sz w:val="20"/>
          <w:szCs w:val="20"/>
        </w:rPr>
        <w:t>maatregelen</w:t>
      </w:r>
      <w:r w:rsidRPr="00B95CC8">
        <w:rPr>
          <w:rFonts w:ascii="Verdana" w:hAnsi="Verdana"/>
          <w:sz w:val="20"/>
          <w:szCs w:val="20"/>
        </w:rPr>
        <w:t xml:space="preserve"> in het kader van het Nationaal Samenwerkingsprogramma Luchtkwaliteit (NSL). Bij deze begroting hevelt IenM de middelen over naar Hoofdstuk XII ten behoeve van een correcte verantwoording. Voor 2015 is dit een bedrag van € 5,2 </w:t>
      </w:r>
      <w:r>
        <w:rPr>
          <w:rFonts w:ascii="Verdana" w:hAnsi="Verdana"/>
          <w:sz w:val="20"/>
          <w:szCs w:val="20"/>
        </w:rPr>
        <w:t xml:space="preserve">miljoen. </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tabs>
          <w:tab w:val="left" w:pos="900"/>
        </w:tabs>
        <w:spacing w:line="240" w:lineRule="auto"/>
        <w:rPr>
          <w:rFonts w:ascii="Verdana" w:hAnsi="Verdana"/>
          <w:szCs w:val="20"/>
        </w:rPr>
      </w:pPr>
      <w:r w:rsidRPr="00B95CC8">
        <w:rPr>
          <w:rFonts w:ascii="Verdana" w:hAnsi="Verdana"/>
          <w:szCs w:val="20"/>
        </w:rPr>
        <w:tab/>
      </w: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szCs w:val="20"/>
        </w:rPr>
        <w:br w:type="page"/>
      </w:r>
      <w:r w:rsidRPr="00B95CC8">
        <w:rPr>
          <w:rFonts w:ascii="Verdana" w:hAnsi="Verdana"/>
          <w:b/>
          <w:szCs w:val="20"/>
        </w:rPr>
        <w:lastRenderedPageBreak/>
        <w:t>Artikel 21 Duurzaamheid</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Pr>
          <w:noProof/>
          <w:szCs w:val="20"/>
          <w:lang w:eastAsia="nl-NL"/>
        </w:rPr>
        <w:drawing>
          <wp:inline distT="0" distB="0" distL="0" distR="0" wp14:anchorId="4564B1A1" wp14:editId="42FF3D96">
            <wp:extent cx="5892165" cy="3029585"/>
            <wp:effectExtent l="19050" t="0" r="0" b="0"/>
            <wp:docPr id="13" name="Objec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
                    <pic:cNvPicPr>
                      <a:picLocks noChangeAspect="1" noChangeArrowheads="1"/>
                    </pic:cNvPicPr>
                  </pic:nvPicPr>
                  <pic:blipFill>
                    <a:blip r:embed="rId17" cstate="print"/>
                    <a:srcRect/>
                    <a:stretch>
                      <a:fillRect/>
                    </a:stretch>
                  </pic:blipFill>
                  <pic:spPr bwMode="auto">
                    <a:xfrm>
                      <a:off x="0" y="0"/>
                      <a:ext cx="5892165" cy="3029585"/>
                    </a:xfrm>
                    <a:prstGeom prst="rect">
                      <a:avLst/>
                    </a:prstGeom>
                    <a:noFill/>
                    <a:ln w="9525">
                      <a:noFill/>
                      <a:miter lim="800000"/>
                      <a:headEnd/>
                      <a:tailEnd/>
                    </a:ln>
                  </pic:spPr>
                </pic:pic>
              </a:graphicData>
            </a:graphic>
          </wp:inline>
        </w:drawing>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21.05 Duurzame Productketens</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Gecoördineerde opdrachtverlening RVO</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De totale opdracht aan het RVO wordt verantwoord op artikel</w:t>
      </w:r>
      <w:r>
        <w:rPr>
          <w:rFonts w:ascii="Verdana" w:hAnsi="Verdana"/>
          <w:szCs w:val="20"/>
        </w:rPr>
        <w:t>onderdeel</w:t>
      </w:r>
      <w:r w:rsidRPr="00B95CC8">
        <w:rPr>
          <w:rFonts w:ascii="Verdana" w:hAnsi="Verdana"/>
          <w:szCs w:val="20"/>
        </w:rPr>
        <w:t xml:space="preserve"> 19.02.03. De in het kader van deze opdracht bij de afzonderlijke directies geraamde aanvullende budgetten worden dan ook overgeboekt naar </w:t>
      </w:r>
      <w:r>
        <w:rPr>
          <w:rFonts w:ascii="Verdana" w:hAnsi="Verdana"/>
          <w:szCs w:val="20"/>
        </w:rPr>
        <w:t xml:space="preserve">het hiervoor </w:t>
      </w:r>
      <w:r w:rsidRPr="00B95CC8">
        <w:rPr>
          <w:rFonts w:ascii="Verdana" w:hAnsi="Verdana"/>
          <w:szCs w:val="20"/>
        </w:rPr>
        <w:t>genoemde artikel.</w:t>
      </w:r>
      <w:r>
        <w:rPr>
          <w:rFonts w:ascii="Verdana" w:hAnsi="Verdana"/>
          <w:szCs w:val="20"/>
        </w:rPr>
        <w:t xml:space="preserve">  </w:t>
      </w:r>
    </w:p>
    <w:p w:rsidR="006F445A" w:rsidRPr="00B95CC8" w:rsidRDefault="006F445A" w:rsidP="006F445A">
      <w:pPr>
        <w:pStyle w:val="Variabelegegevens"/>
        <w:keepLines w:val="0"/>
        <w:spacing w:line="240" w:lineRule="auto"/>
        <w:rPr>
          <w:rFonts w:ascii="Verdana" w:hAnsi="Verdana"/>
          <w:i/>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Gecoördineerde opdrachtverlening RIVM</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De totale opdracht aan het RIVM wordt verantwoord op artikel</w:t>
      </w:r>
      <w:r>
        <w:rPr>
          <w:rFonts w:ascii="Verdana" w:hAnsi="Verdana"/>
          <w:szCs w:val="20"/>
        </w:rPr>
        <w:t>onderdeel</w:t>
      </w:r>
      <w:r w:rsidRPr="00B95CC8">
        <w:rPr>
          <w:rFonts w:ascii="Verdana" w:hAnsi="Verdana"/>
          <w:szCs w:val="20"/>
        </w:rPr>
        <w:t xml:space="preserve"> 19.02.03. De in het kader van deze opdracht bij de afzonderlijke directies geraamde aanvullende budgetten worden dan ook overgeboekt naar</w:t>
      </w:r>
      <w:r>
        <w:rPr>
          <w:rFonts w:ascii="Verdana" w:hAnsi="Verdana"/>
          <w:szCs w:val="20"/>
        </w:rPr>
        <w:t xml:space="preserve"> het hiervoor </w:t>
      </w:r>
      <w:r w:rsidRPr="00B95CC8">
        <w:rPr>
          <w:rFonts w:ascii="Verdana" w:hAnsi="Verdana"/>
          <w:szCs w:val="20"/>
        </w:rPr>
        <w:t>genoemde artikel.</w:t>
      </w:r>
      <w:r>
        <w:rPr>
          <w:rFonts w:ascii="Verdana" w:hAnsi="Verdana"/>
          <w:szCs w:val="20"/>
        </w:rPr>
        <w:t xml:space="preserve">  </w:t>
      </w:r>
    </w:p>
    <w:p w:rsidR="006F445A" w:rsidRPr="00B95CC8" w:rsidRDefault="006F445A" w:rsidP="006F445A">
      <w:pPr>
        <w:pStyle w:val="Variabelegegevens"/>
        <w:keepLines w:val="0"/>
        <w:spacing w:line="240" w:lineRule="auto"/>
        <w:rPr>
          <w:rFonts w:ascii="Verdana" w:hAnsi="Verdana"/>
          <w:i/>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Caribisch Nederland – Afvalbeheer</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Voor het opzetten van </w:t>
      </w:r>
      <w:r>
        <w:rPr>
          <w:rFonts w:ascii="Verdana" w:hAnsi="Verdana"/>
          <w:szCs w:val="20"/>
        </w:rPr>
        <w:t>a</w:t>
      </w:r>
      <w:r w:rsidRPr="00B95CC8">
        <w:rPr>
          <w:rFonts w:ascii="Verdana" w:hAnsi="Verdana"/>
          <w:szCs w:val="20"/>
        </w:rPr>
        <w:t>fvalbeheer op Caribisch Nederland vindt er een overboeking plaats van verschillende artikelen (13, 16 en 18) naar artikel 21.</w:t>
      </w:r>
    </w:p>
    <w:p w:rsidR="006F445A" w:rsidRPr="00B95CC8"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szCs w:val="20"/>
        </w:rPr>
        <w:br w:type="page"/>
      </w:r>
      <w:r w:rsidRPr="00B95CC8">
        <w:rPr>
          <w:rFonts w:ascii="Verdana" w:hAnsi="Verdana"/>
          <w:b/>
          <w:szCs w:val="20"/>
        </w:rPr>
        <w:lastRenderedPageBreak/>
        <w:t>Artikel 22 Externe veiligheid en risico’s</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r>
        <w:rPr>
          <w:rFonts w:ascii="Verdana" w:hAnsi="Verdana"/>
          <w:noProof/>
          <w:szCs w:val="20"/>
          <w:lang w:eastAsia="nl-NL"/>
        </w:rPr>
        <w:drawing>
          <wp:inline distT="0" distB="0" distL="0" distR="0" wp14:anchorId="02B3ECC1" wp14:editId="4B8E530C">
            <wp:extent cx="5939790" cy="4166235"/>
            <wp:effectExtent l="19050" t="0" r="0" b="0"/>
            <wp:docPr id="14" name="Objec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
                    <pic:cNvPicPr>
                      <a:picLocks noChangeAspect="1" noChangeArrowheads="1"/>
                    </pic:cNvPicPr>
                  </pic:nvPicPr>
                  <pic:blipFill>
                    <a:blip r:embed="rId18" cstate="print"/>
                    <a:srcRect/>
                    <a:stretch>
                      <a:fillRect/>
                    </a:stretch>
                  </pic:blipFill>
                  <pic:spPr bwMode="auto">
                    <a:xfrm>
                      <a:off x="0" y="0"/>
                      <a:ext cx="5939790" cy="4166235"/>
                    </a:xfrm>
                    <a:prstGeom prst="rect">
                      <a:avLst/>
                    </a:prstGeom>
                    <a:noFill/>
                    <a:ln w="9525">
                      <a:noFill/>
                      <a:miter lim="800000"/>
                      <a:headEnd/>
                      <a:tailEnd/>
                    </a:ln>
                  </pic:spPr>
                </pic:pic>
              </a:graphicData>
            </a:graphic>
          </wp:inline>
        </w:drawing>
      </w: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Verplichtingen</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De verhoging van de verplichtingen heeft met name te maken </w:t>
      </w:r>
      <w:r>
        <w:rPr>
          <w:rFonts w:ascii="Verdana" w:hAnsi="Verdana"/>
          <w:szCs w:val="20"/>
        </w:rPr>
        <w:t>met</w:t>
      </w:r>
      <w:r w:rsidRPr="00B95CC8">
        <w:rPr>
          <w:rFonts w:ascii="Verdana" w:hAnsi="Verdana"/>
          <w:szCs w:val="20"/>
        </w:rPr>
        <w:t xml:space="preserve"> de desalderingen </w:t>
      </w:r>
      <w:r>
        <w:rPr>
          <w:rFonts w:ascii="Verdana" w:hAnsi="Verdana"/>
          <w:szCs w:val="20"/>
        </w:rPr>
        <w:t xml:space="preserve">die verband houden met de uitvoering van </w:t>
      </w:r>
      <w:r w:rsidRPr="00B95CC8">
        <w:rPr>
          <w:rFonts w:ascii="Verdana" w:hAnsi="Verdana"/>
          <w:szCs w:val="20"/>
        </w:rPr>
        <w:t xml:space="preserve">NANoREG, ProSafe en </w:t>
      </w:r>
      <w:r>
        <w:rPr>
          <w:rFonts w:ascii="Verdana" w:hAnsi="Verdana"/>
          <w:szCs w:val="20"/>
        </w:rPr>
        <w:t xml:space="preserve">de </w:t>
      </w:r>
      <w:r w:rsidRPr="00B95CC8">
        <w:rPr>
          <w:rFonts w:ascii="Verdana" w:hAnsi="Verdana"/>
          <w:szCs w:val="20"/>
        </w:rPr>
        <w:t>Saneringsregeling Asbestwegen</w:t>
      </w:r>
      <w:r>
        <w:rPr>
          <w:rFonts w:ascii="Verdana" w:hAnsi="Verdana"/>
          <w:szCs w:val="20"/>
        </w:rPr>
        <w:t xml:space="preserve"> derde fase</w:t>
      </w:r>
      <w:r w:rsidRPr="00B95CC8">
        <w:rPr>
          <w:rFonts w:ascii="Verdana" w:hAnsi="Verdana"/>
          <w:szCs w:val="20"/>
        </w:rPr>
        <w:t>.</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22.01 Veiligheid chemische stoffen</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 xml:space="preserve">Gecoördineerde opdrachtverlening </w:t>
      </w:r>
      <w:r>
        <w:rPr>
          <w:rFonts w:ascii="Verdana" w:hAnsi="Verdana"/>
          <w:i/>
          <w:szCs w:val="20"/>
        </w:rPr>
        <w:t>RIVM</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De totale opdracht aan het </w:t>
      </w:r>
      <w:r>
        <w:rPr>
          <w:rFonts w:ascii="Verdana" w:hAnsi="Verdana"/>
          <w:szCs w:val="20"/>
        </w:rPr>
        <w:t xml:space="preserve">RIVM </w:t>
      </w:r>
      <w:r w:rsidRPr="00B95CC8">
        <w:rPr>
          <w:rFonts w:ascii="Verdana" w:hAnsi="Verdana"/>
          <w:szCs w:val="20"/>
        </w:rPr>
        <w:t>wordt verantwoord op artikel</w:t>
      </w:r>
      <w:r>
        <w:rPr>
          <w:rFonts w:ascii="Verdana" w:hAnsi="Verdana"/>
          <w:szCs w:val="20"/>
        </w:rPr>
        <w:t>onderdeel</w:t>
      </w:r>
      <w:r w:rsidRPr="00B95CC8">
        <w:rPr>
          <w:rFonts w:ascii="Verdana" w:hAnsi="Verdana"/>
          <w:szCs w:val="20"/>
        </w:rPr>
        <w:t xml:space="preserve"> 19.02.03. De in het kader van deze opdracht bij de afzonderlijke directies geraamde aanvullende budgetten </w:t>
      </w:r>
      <w:r>
        <w:rPr>
          <w:rFonts w:ascii="Verdana" w:hAnsi="Verdana"/>
          <w:szCs w:val="20"/>
        </w:rPr>
        <w:t xml:space="preserve">worden dan ook overgeboekt naar het hiervoor </w:t>
      </w:r>
      <w:r w:rsidRPr="00B95CC8">
        <w:rPr>
          <w:rFonts w:ascii="Verdana" w:hAnsi="Verdana"/>
          <w:szCs w:val="20"/>
        </w:rPr>
        <w:t>genoemde artikel.</w:t>
      </w:r>
      <w:r>
        <w:rPr>
          <w:rFonts w:ascii="Verdana" w:hAnsi="Verdana"/>
          <w:szCs w:val="20"/>
        </w:rPr>
        <w:t xml:space="preserve">  </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NANoREG</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IenM ontvangt van de Europese Commissie (EC) middelen ten behoeve van de coördinatie van het EU-programma NANoREG. De uitvoering van dit project is ondergebracht bij het projectbureau NANoREG </w:t>
      </w:r>
      <w:r>
        <w:rPr>
          <w:rFonts w:ascii="Verdana" w:hAnsi="Verdana"/>
          <w:szCs w:val="20"/>
        </w:rPr>
        <w:t>bij het RIVM</w:t>
      </w:r>
      <w:r w:rsidRPr="00B95CC8">
        <w:rPr>
          <w:rFonts w:ascii="Verdana" w:hAnsi="Verdana"/>
          <w:szCs w:val="20"/>
        </w:rPr>
        <w:t xml:space="preserve">. Artikel 22 fungeert als een doorgeefluik. Hierdoor wordt het subsidiebudget verhoogd met € 2,3 </w:t>
      </w:r>
      <w:r>
        <w:rPr>
          <w:rFonts w:ascii="Verdana" w:hAnsi="Verdana"/>
          <w:szCs w:val="20"/>
        </w:rPr>
        <w:t>miljoen.</w:t>
      </w:r>
    </w:p>
    <w:p w:rsidR="006F445A"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ProSafe</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IenM ontvangt van de Europese Commissie (EC) middelen ten behoeve van de coördinatie van het EU-project ProSafe. Net als in het geval met NANoREG fungeert artikel 22 als een doorgeefluik. Hierdoor wordt het subsidiebudget verhoogd met € 1,6 </w:t>
      </w:r>
      <w:r>
        <w:rPr>
          <w:rFonts w:ascii="Verdana" w:hAnsi="Verdana"/>
          <w:szCs w:val="20"/>
        </w:rPr>
        <w:t>miljoen.</w:t>
      </w:r>
    </w:p>
    <w:p w:rsidR="006F445A"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22.03 Externe veiligheid inrichtingen en transport</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szCs w:val="20"/>
        </w:rPr>
      </w:pPr>
      <w:r>
        <w:rPr>
          <w:rFonts w:ascii="Verdana" w:hAnsi="Verdana"/>
          <w:szCs w:val="20"/>
        </w:rPr>
        <w:t xml:space="preserve">De verhoging van dit budget betreft met name de afrekening van het project </w:t>
      </w:r>
      <w:r w:rsidRPr="00B95CC8">
        <w:rPr>
          <w:rFonts w:ascii="Verdana" w:hAnsi="Verdana"/>
          <w:szCs w:val="20"/>
        </w:rPr>
        <w:t xml:space="preserve"> Saneringsregeling Asbestwegen</w:t>
      </w:r>
      <w:r>
        <w:rPr>
          <w:rFonts w:ascii="Verdana" w:hAnsi="Verdana"/>
          <w:szCs w:val="20"/>
        </w:rPr>
        <w:t xml:space="preserve"> derde fase</w:t>
      </w:r>
      <w:r w:rsidRPr="00B95CC8">
        <w:rPr>
          <w:rFonts w:ascii="Verdana" w:hAnsi="Verdana"/>
          <w:szCs w:val="20"/>
        </w:rPr>
        <w:t xml:space="preserve"> (€ 6</w:t>
      </w:r>
      <w:r>
        <w:rPr>
          <w:rFonts w:ascii="Verdana" w:hAnsi="Verdana"/>
          <w:szCs w:val="20"/>
        </w:rPr>
        <w:t>,2</w:t>
      </w:r>
      <w:r w:rsidRPr="00B95CC8">
        <w:rPr>
          <w:rFonts w:ascii="Verdana" w:hAnsi="Verdana"/>
          <w:szCs w:val="20"/>
        </w:rPr>
        <w:t xml:space="preserve"> </w:t>
      </w:r>
      <w:r>
        <w:rPr>
          <w:rFonts w:ascii="Verdana" w:hAnsi="Verdana"/>
          <w:szCs w:val="20"/>
        </w:rPr>
        <w:t>miljoen</w:t>
      </w:r>
      <w:r w:rsidRPr="00B95CC8">
        <w:rPr>
          <w:rFonts w:ascii="Verdana" w:hAnsi="Verdana"/>
          <w:szCs w:val="20"/>
        </w:rPr>
        <w:t xml:space="preserve">). </w:t>
      </w:r>
    </w:p>
    <w:p w:rsidR="006F445A" w:rsidRDefault="006F445A" w:rsidP="006F445A">
      <w:pPr>
        <w:pStyle w:val="Variabelegegevens"/>
        <w:keepLines w:val="0"/>
        <w:spacing w:line="240" w:lineRule="auto"/>
        <w:rPr>
          <w:rFonts w:ascii="Verdana" w:hAnsi="Verdana"/>
          <w:b/>
          <w:szCs w:val="20"/>
        </w:rPr>
      </w:pPr>
    </w:p>
    <w:p w:rsidR="006F445A"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Ontvangsten</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lastRenderedPageBreak/>
        <w:t>De verhoging van de ontvangsten heeft met name te maken met de desaldering</w:t>
      </w:r>
      <w:r>
        <w:rPr>
          <w:rFonts w:ascii="Verdana" w:hAnsi="Verdana"/>
          <w:szCs w:val="20"/>
        </w:rPr>
        <w:t>en</w:t>
      </w:r>
      <w:r w:rsidRPr="00B95CC8">
        <w:rPr>
          <w:rFonts w:ascii="Verdana" w:hAnsi="Verdana"/>
          <w:szCs w:val="20"/>
        </w:rPr>
        <w:t xml:space="preserve"> zoals hierboven genoemd. IenM ontvangt van de Europese Commissie (EC) middelen ten behoeve van de coördinatie van het EU-programma NANoREG (€ 2,3 </w:t>
      </w:r>
      <w:r>
        <w:rPr>
          <w:rFonts w:ascii="Verdana" w:hAnsi="Verdana"/>
          <w:szCs w:val="20"/>
        </w:rPr>
        <w:t>miljoen</w:t>
      </w:r>
      <w:r w:rsidRPr="00B95CC8">
        <w:rPr>
          <w:rFonts w:ascii="Verdana" w:hAnsi="Verdana"/>
          <w:szCs w:val="20"/>
        </w:rPr>
        <w:t xml:space="preserve">) en ProSafe (€ 1,6 </w:t>
      </w:r>
      <w:r>
        <w:rPr>
          <w:rFonts w:ascii="Verdana" w:hAnsi="Verdana"/>
          <w:szCs w:val="20"/>
        </w:rPr>
        <w:t>miljoen</w:t>
      </w:r>
      <w:r w:rsidRPr="00B95CC8">
        <w:rPr>
          <w:rFonts w:ascii="Verdana" w:hAnsi="Verdana"/>
          <w:szCs w:val="20"/>
        </w:rPr>
        <w:t>). Daarnaast zijn er ontvangsten in het kader van de afrekening van het project Saneringsregeling Asbestwegen</w:t>
      </w:r>
      <w:r>
        <w:rPr>
          <w:rFonts w:ascii="Verdana" w:hAnsi="Verdana"/>
          <w:szCs w:val="20"/>
        </w:rPr>
        <w:t xml:space="preserve"> derde fase</w:t>
      </w:r>
      <w:r w:rsidRPr="00B95CC8">
        <w:rPr>
          <w:rFonts w:ascii="Verdana" w:hAnsi="Verdana"/>
          <w:szCs w:val="20"/>
        </w:rPr>
        <w:t xml:space="preserve"> (€ 6</w:t>
      </w:r>
      <w:r>
        <w:rPr>
          <w:rFonts w:ascii="Verdana" w:hAnsi="Verdana"/>
          <w:szCs w:val="20"/>
        </w:rPr>
        <w:t>,2</w:t>
      </w:r>
      <w:r w:rsidRPr="00B95CC8">
        <w:rPr>
          <w:rFonts w:ascii="Verdana" w:hAnsi="Verdana"/>
          <w:szCs w:val="20"/>
        </w:rPr>
        <w:t xml:space="preserve"> </w:t>
      </w:r>
      <w:r>
        <w:rPr>
          <w:rFonts w:ascii="Verdana" w:hAnsi="Verdana"/>
          <w:szCs w:val="20"/>
        </w:rPr>
        <w:t>miljoen</w:t>
      </w:r>
      <w:r w:rsidRPr="00B95CC8">
        <w:rPr>
          <w:rFonts w:ascii="Verdana" w:hAnsi="Verdana"/>
          <w:szCs w:val="20"/>
        </w:rPr>
        <w:t>).</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szCs w:val="20"/>
        </w:rPr>
        <w:br w:type="page"/>
      </w:r>
      <w:r w:rsidRPr="00B95CC8">
        <w:rPr>
          <w:rFonts w:ascii="Verdana" w:hAnsi="Verdana"/>
          <w:b/>
          <w:szCs w:val="20"/>
        </w:rPr>
        <w:lastRenderedPageBreak/>
        <w:t>Artikel 23 Meteorologie, seismologie en aardobservatie</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r>
        <w:rPr>
          <w:rFonts w:ascii="Verdana" w:hAnsi="Verdana"/>
          <w:noProof/>
          <w:szCs w:val="20"/>
          <w:lang w:eastAsia="nl-NL"/>
        </w:rPr>
        <w:drawing>
          <wp:inline distT="0" distB="0" distL="0" distR="0" wp14:anchorId="58C08CCA" wp14:editId="6DE613CC">
            <wp:extent cx="5931535" cy="2154555"/>
            <wp:effectExtent l="19050" t="0" r="0" b="0"/>
            <wp:docPr id="15" name="Objec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
                    <pic:cNvPicPr>
                      <a:picLocks noChangeAspect="1" noChangeArrowheads="1"/>
                    </pic:cNvPicPr>
                  </pic:nvPicPr>
                  <pic:blipFill>
                    <a:blip r:embed="rId19" cstate="print"/>
                    <a:srcRect/>
                    <a:stretch>
                      <a:fillRect/>
                    </a:stretch>
                  </pic:blipFill>
                  <pic:spPr bwMode="auto">
                    <a:xfrm>
                      <a:off x="0" y="0"/>
                      <a:ext cx="5931535" cy="2154555"/>
                    </a:xfrm>
                    <a:prstGeom prst="rect">
                      <a:avLst/>
                    </a:prstGeom>
                    <a:noFill/>
                    <a:ln w="9525">
                      <a:noFill/>
                      <a:miter lim="800000"/>
                      <a:headEnd/>
                      <a:tailEnd/>
                    </a:ln>
                  </pic:spPr>
                </pic:pic>
              </a:graphicData>
            </a:graphic>
          </wp:inline>
        </w:drawing>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De wijzigingen bij 1</w:t>
      </w:r>
      <w:r w:rsidRPr="00B95CC8">
        <w:rPr>
          <w:rFonts w:ascii="Verdana" w:hAnsi="Verdana"/>
          <w:szCs w:val="20"/>
          <w:vertAlign w:val="superscript"/>
        </w:rPr>
        <w:t>e</w:t>
      </w:r>
      <w:r w:rsidRPr="00B95CC8">
        <w:rPr>
          <w:rFonts w:ascii="Verdana" w:hAnsi="Verdana"/>
          <w:szCs w:val="20"/>
        </w:rPr>
        <w:t xml:space="preserve"> suppletoire begroting op dit artikel zijn</w:t>
      </w:r>
      <w:r>
        <w:rPr>
          <w:rFonts w:ascii="Verdana" w:hAnsi="Verdana"/>
          <w:szCs w:val="20"/>
        </w:rPr>
        <w:t xml:space="preserve"> zeer beperkt en</w:t>
      </w:r>
      <w:r w:rsidRPr="00B95CC8">
        <w:rPr>
          <w:rFonts w:ascii="Verdana" w:hAnsi="Verdana"/>
          <w:szCs w:val="20"/>
        </w:rPr>
        <w:t xml:space="preserve"> kleiner dan de gehanteerde norm en worden verder niet uiteengezet (zie de leeswijzer). </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br w:type="page"/>
      </w:r>
      <w:r w:rsidRPr="00B95CC8">
        <w:rPr>
          <w:rFonts w:ascii="Verdana" w:hAnsi="Verdana"/>
          <w:b/>
          <w:szCs w:val="20"/>
        </w:rPr>
        <w:lastRenderedPageBreak/>
        <w:t>Artikel 24 Handhaving en toezicht</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color w:val="FF0000"/>
          <w:szCs w:val="20"/>
        </w:rPr>
      </w:pPr>
      <w:r>
        <w:rPr>
          <w:rFonts w:ascii="Verdana" w:hAnsi="Verdana"/>
          <w:noProof/>
          <w:szCs w:val="20"/>
          <w:lang w:eastAsia="nl-NL"/>
        </w:rPr>
        <w:drawing>
          <wp:inline distT="0" distB="0" distL="0" distR="0" wp14:anchorId="73DBC236" wp14:editId="50B674AD">
            <wp:extent cx="5979160" cy="2385695"/>
            <wp:effectExtent l="19050" t="0" r="0" b="0"/>
            <wp:docPr id="16" name="Objec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pic:cNvPicPr>
                      <a:picLocks noChangeAspect="1" noChangeArrowheads="1"/>
                    </pic:cNvPicPr>
                  </pic:nvPicPr>
                  <pic:blipFill>
                    <a:blip r:embed="rId20" cstate="print"/>
                    <a:srcRect/>
                    <a:stretch>
                      <a:fillRect/>
                    </a:stretch>
                  </pic:blipFill>
                  <pic:spPr bwMode="auto">
                    <a:xfrm>
                      <a:off x="0" y="0"/>
                      <a:ext cx="5979160" cy="2385695"/>
                    </a:xfrm>
                    <a:prstGeom prst="rect">
                      <a:avLst/>
                    </a:prstGeom>
                    <a:noFill/>
                    <a:ln w="9525">
                      <a:noFill/>
                      <a:miter lim="800000"/>
                      <a:headEnd/>
                      <a:tailEnd/>
                    </a:ln>
                  </pic:spPr>
                </pic:pic>
              </a:graphicData>
            </a:graphic>
          </wp:inline>
        </w:drawing>
      </w:r>
    </w:p>
    <w:p w:rsidR="006F445A" w:rsidRPr="00B95CC8" w:rsidRDefault="006F445A" w:rsidP="006F445A">
      <w:pPr>
        <w:pStyle w:val="Variabelegegevens"/>
        <w:spacing w:line="240" w:lineRule="auto"/>
        <w:rPr>
          <w:rFonts w:ascii="Verdana" w:hAnsi="Verdana"/>
          <w:b/>
          <w:szCs w:val="20"/>
        </w:rPr>
      </w:pPr>
      <w:r w:rsidRPr="00B95CC8">
        <w:rPr>
          <w:rFonts w:ascii="Verdana" w:hAnsi="Verdana"/>
          <w:b/>
          <w:szCs w:val="20"/>
        </w:rPr>
        <w:t>24.01 Handhaving en toezicht</w:t>
      </w:r>
      <w:r>
        <w:rPr>
          <w:rFonts w:ascii="Verdana" w:hAnsi="Verdana"/>
          <w:b/>
          <w:szCs w:val="20"/>
        </w:rPr>
        <w:t xml:space="preserve"> </w:t>
      </w:r>
    </w:p>
    <w:p w:rsidR="006F445A" w:rsidRPr="00B95CC8" w:rsidRDefault="006F445A" w:rsidP="006F445A">
      <w:pPr>
        <w:pStyle w:val="Variabelegegevens"/>
        <w:spacing w:line="240" w:lineRule="auto"/>
        <w:rPr>
          <w:rFonts w:ascii="Verdana" w:hAnsi="Verdana"/>
          <w:szCs w:val="20"/>
        </w:rPr>
      </w:pPr>
      <w:r w:rsidRPr="00B95CC8">
        <w:rPr>
          <w:rFonts w:ascii="Verdana" w:hAnsi="Verdana"/>
          <w:szCs w:val="20"/>
        </w:rPr>
        <w:t xml:space="preserve">De afname </w:t>
      </w:r>
      <w:r>
        <w:rPr>
          <w:rFonts w:ascii="Verdana" w:hAnsi="Verdana"/>
          <w:szCs w:val="20"/>
        </w:rPr>
        <w:t>komt</w:t>
      </w:r>
      <w:r w:rsidRPr="00B95CC8">
        <w:rPr>
          <w:rFonts w:ascii="Verdana" w:hAnsi="Verdana"/>
          <w:szCs w:val="20"/>
        </w:rPr>
        <w:t xml:space="preserve"> voornamelijk </w:t>
      </w:r>
      <w:r>
        <w:rPr>
          <w:rFonts w:ascii="Verdana" w:hAnsi="Verdana"/>
          <w:szCs w:val="20"/>
        </w:rPr>
        <w:t xml:space="preserve">door </w:t>
      </w:r>
      <w:r w:rsidRPr="00B95CC8">
        <w:rPr>
          <w:rFonts w:ascii="Verdana" w:hAnsi="Verdana"/>
          <w:szCs w:val="20"/>
        </w:rPr>
        <w:t>de budgettaire overboeking van middelen voor de Kernfysische Dienst (KFD) naar artikel 98 als gevolg van de overgang van de KFD in de Autoriteit Nucleaire Veiligheid en Stralingsbescherming (ANVS) per 1 januari 2015.</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br w:type="page"/>
      </w:r>
      <w:r w:rsidRPr="00B95CC8">
        <w:rPr>
          <w:rFonts w:ascii="Verdana" w:hAnsi="Verdana"/>
          <w:b/>
          <w:szCs w:val="20"/>
        </w:rPr>
        <w:lastRenderedPageBreak/>
        <w:t>Artikel 25 Brede Doeluitkering</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r>
        <w:rPr>
          <w:rFonts w:ascii="Verdana" w:hAnsi="Verdana"/>
          <w:noProof/>
          <w:szCs w:val="20"/>
          <w:lang w:eastAsia="nl-NL"/>
        </w:rPr>
        <w:drawing>
          <wp:inline distT="0" distB="0" distL="0" distR="0" wp14:anchorId="55938C5E" wp14:editId="187CCCBD">
            <wp:extent cx="6043295" cy="1359535"/>
            <wp:effectExtent l="19050" t="0" r="0" b="0"/>
            <wp:docPr id="17" name="Obje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ChangeAspect="1" noChangeArrowheads="1"/>
                    </pic:cNvPicPr>
                  </pic:nvPicPr>
                  <pic:blipFill>
                    <a:blip r:embed="rId21" cstate="print"/>
                    <a:srcRect/>
                    <a:stretch>
                      <a:fillRect/>
                    </a:stretch>
                  </pic:blipFill>
                  <pic:spPr bwMode="auto">
                    <a:xfrm>
                      <a:off x="0" y="0"/>
                      <a:ext cx="6043295" cy="1359535"/>
                    </a:xfrm>
                    <a:prstGeom prst="rect">
                      <a:avLst/>
                    </a:prstGeom>
                    <a:noFill/>
                    <a:ln w="9525">
                      <a:noFill/>
                      <a:miter lim="800000"/>
                      <a:headEnd/>
                      <a:tailEnd/>
                    </a:ln>
                  </pic:spPr>
                </pic:pic>
              </a:graphicData>
            </a:graphic>
          </wp:inline>
        </w:drawing>
      </w: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25.01 Brede doeluitkering</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Beter Benutten</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In het kader van het programma Beter Benutten wordt € 58,9 </w:t>
      </w:r>
      <w:r>
        <w:rPr>
          <w:rFonts w:ascii="Verdana" w:hAnsi="Verdana"/>
          <w:szCs w:val="20"/>
        </w:rPr>
        <w:t>miljoen</w:t>
      </w:r>
      <w:r w:rsidRPr="00B95CC8">
        <w:rPr>
          <w:rFonts w:ascii="Verdana" w:hAnsi="Verdana"/>
          <w:szCs w:val="20"/>
        </w:rPr>
        <w:t xml:space="preserve"> overgeboekt vanuit het Infrastructuurfonds. </w:t>
      </w:r>
    </w:p>
    <w:p w:rsidR="006F445A" w:rsidRPr="00B95CC8" w:rsidRDefault="006F445A" w:rsidP="006F445A">
      <w:pPr>
        <w:pStyle w:val="Variabelegegevens"/>
        <w:keepLines w:val="0"/>
        <w:spacing w:line="240" w:lineRule="auto"/>
        <w:rPr>
          <w:rFonts w:ascii="Verdana" w:hAnsi="Verdana"/>
          <w:i/>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Waterstofbussen</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Via de BDU 2015 wordt € 4,7 </w:t>
      </w:r>
      <w:r>
        <w:rPr>
          <w:rFonts w:ascii="Verdana" w:hAnsi="Verdana"/>
          <w:szCs w:val="20"/>
        </w:rPr>
        <w:t>miljoen</w:t>
      </w:r>
      <w:r w:rsidRPr="00B95CC8">
        <w:rPr>
          <w:rFonts w:ascii="Verdana" w:hAnsi="Verdana"/>
          <w:szCs w:val="20"/>
        </w:rPr>
        <w:t xml:space="preserve"> beschikbaar gesteld voor proeven met zero-emissie waterstofbussen in het openbaar vervoer. De middelen bestemd voor vijf proeven met waterstofbussen zijn afkomstig van artikel 19 Klimaat. </w:t>
      </w:r>
    </w:p>
    <w:p w:rsidR="006F445A" w:rsidRPr="00B95CC8" w:rsidRDefault="006F445A" w:rsidP="006F445A">
      <w:pPr>
        <w:pStyle w:val="Variabelegegevens"/>
        <w:keepLines w:val="0"/>
        <w:spacing w:line="240" w:lineRule="auto"/>
        <w:rPr>
          <w:rFonts w:ascii="Verdana" w:hAnsi="Verdana"/>
          <w:i/>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Overige projecten</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Naast Beter Benutten en de proeven met waterstofbussen vinden er voor diverse andere projecten overboekingen vanuit het Infrastructuurfonds naar de BDU plaats. Het betreft hier bijdragen aan stadregio’s en provincies voor de aanleg van P+R voorzieningen, een bijdrage aan de provincie Gelderland voor de in het Lenteakkoord 2012 afgesproken bijdrage aan drie spoorlijnen in Oost Nederland en bijdragen voor de decentralisatie van de spoorlijn Zwolle-Enschede en twee spoorprojecten in de gemeente Utrecht. </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br w:type="page"/>
      </w:r>
      <w:r w:rsidRPr="00B95CC8">
        <w:rPr>
          <w:rFonts w:ascii="Verdana" w:hAnsi="Verdana"/>
          <w:b/>
          <w:szCs w:val="20"/>
        </w:rPr>
        <w:lastRenderedPageBreak/>
        <w:t>Artikel 26 Bijdrage investeringsfondsen</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r>
        <w:rPr>
          <w:rFonts w:ascii="Verdana" w:hAnsi="Verdana"/>
          <w:noProof/>
          <w:szCs w:val="20"/>
          <w:lang w:eastAsia="nl-NL"/>
        </w:rPr>
        <w:drawing>
          <wp:inline distT="0" distB="0" distL="0" distR="0" wp14:anchorId="2B84B2B4" wp14:editId="1CC8628F">
            <wp:extent cx="5931535" cy="1709420"/>
            <wp:effectExtent l="19050" t="0" r="0" b="0"/>
            <wp:docPr id="18" name="Objec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pic:cNvPicPr>
                      <a:picLocks noChangeAspect="1" noChangeArrowheads="1"/>
                    </pic:cNvPicPr>
                  </pic:nvPicPr>
                  <pic:blipFill>
                    <a:blip r:embed="rId22" cstate="print"/>
                    <a:srcRect/>
                    <a:stretch>
                      <a:fillRect/>
                    </a:stretch>
                  </pic:blipFill>
                  <pic:spPr bwMode="auto">
                    <a:xfrm>
                      <a:off x="0" y="0"/>
                      <a:ext cx="5931535" cy="1709420"/>
                    </a:xfrm>
                    <a:prstGeom prst="rect">
                      <a:avLst/>
                    </a:prstGeom>
                    <a:noFill/>
                    <a:ln w="9525">
                      <a:noFill/>
                      <a:miter lim="800000"/>
                      <a:headEnd/>
                      <a:tailEnd/>
                    </a:ln>
                  </pic:spPr>
                </pic:pic>
              </a:graphicData>
            </a:graphic>
          </wp:inline>
        </w:drawing>
      </w:r>
    </w:p>
    <w:p w:rsidR="006F445A" w:rsidRDefault="006F445A" w:rsidP="006F445A">
      <w:pPr>
        <w:pStyle w:val="Variabelegegevens"/>
        <w:keepLines w:val="0"/>
        <w:spacing w:line="240" w:lineRule="auto"/>
        <w:rPr>
          <w:rFonts w:ascii="Verdana" w:hAnsi="Verdana"/>
          <w:szCs w:val="20"/>
        </w:rPr>
      </w:pPr>
    </w:p>
    <w:p w:rsidR="006F445A" w:rsidRPr="00DB444D" w:rsidRDefault="006F445A" w:rsidP="006F445A">
      <w:pPr>
        <w:pStyle w:val="Geenafstand"/>
        <w:rPr>
          <w:rFonts w:ascii="Verdana" w:hAnsi="Verdana"/>
          <w:b/>
          <w:sz w:val="20"/>
          <w:szCs w:val="20"/>
        </w:rPr>
      </w:pPr>
      <w:r w:rsidRPr="00DB444D">
        <w:rPr>
          <w:rFonts w:ascii="Verdana" w:hAnsi="Verdana"/>
          <w:b/>
          <w:sz w:val="20"/>
          <w:szCs w:val="20"/>
        </w:rPr>
        <w:t>Verplichtingen</w:t>
      </w:r>
      <w:r>
        <w:rPr>
          <w:rFonts w:ascii="Verdana" w:hAnsi="Verdana"/>
          <w:b/>
          <w:sz w:val="20"/>
          <w:szCs w:val="20"/>
        </w:rPr>
        <w:t xml:space="preserve"> </w:t>
      </w:r>
    </w:p>
    <w:p w:rsidR="006F445A" w:rsidRPr="002A0001" w:rsidRDefault="006F445A" w:rsidP="006F445A">
      <w:pPr>
        <w:pStyle w:val="Geenafstand"/>
        <w:rPr>
          <w:rFonts w:ascii="Verdana" w:hAnsi="Verdana"/>
          <w:bCs/>
          <w:sz w:val="20"/>
          <w:szCs w:val="20"/>
        </w:rPr>
      </w:pPr>
      <w:r w:rsidRPr="002A0001">
        <w:rPr>
          <w:rFonts w:ascii="Verdana" w:hAnsi="Verdana"/>
          <w:bCs/>
          <w:sz w:val="20"/>
          <w:szCs w:val="20"/>
        </w:rPr>
        <w:t>D</w:t>
      </w:r>
      <w:r>
        <w:rPr>
          <w:rFonts w:ascii="Verdana" w:hAnsi="Verdana"/>
          <w:bCs/>
          <w:sz w:val="20"/>
          <w:szCs w:val="20"/>
        </w:rPr>
        <w:t>e</w:t>
      </w:r>
      <w:r w:rsidRPr="002A0001">
        <w:rPr>
          <w:rFonts w:ascii="Verdana" w:hAnsi="Verdana"/>
          <w:bCs/>
          <w:sz w:val="20"/>
          <w:szCs w:val="20"/>
        </w:rPr>
        <w:t xml:space="preserve"> verplichtingen</w:t>
      </w:r>
      <w:r>
        <w:rPr>
          <w:rFonts w:ascii="Verdana" w:hAnsi="Verdana"/>
          <w:bCs/>
          <w:sz w:val="20"/>
          <w:szCs w:val="20"/>
        </w:rPr>
        <w:t xml:space="preserve">mutaties zijn een weerspiegeling van de </w:t>
      </w:r>
      <w:r w:rsidRPr="002A0001">
        <w:rPr>
          <w:rFonts w:ascii="Verdana" w:hAnsi="Verdana"/>
          <w:bCs/>
          <w:sz w:val="20"/>
          <w:szCs w:val="20"/>
        </w:rPr>
        <w:t xml:space="preserve">bovenstaande </w:t>
      </w:r>
      <w:r>
        <w:rPr>
          <w:rFonts w:ascii="Verdana" w:hAnsi="Verdana"/>
          <w:bCs/>
          <w:sz w:val="20"/>
          <w:szCs w:val="20"/>
        </w:rPr>
        <w:t>toegelichte kasmutaties.</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26.01 Bijdrage aan het Infrastructuurfonds</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De bijdrage vanuit Hoofdstuk XII aan het Infrastructuurfonds wordt voor het jaar 2015 met € 330,8 miljoen verlaagd. De voeding wordt enerzijds verlaagd ten behoeve van de kasschuif via de algemene middelen (- € 250 miljoen), bijdragen aan de BDU (- € 86,3 miljoen, waarvan </w:t>
      </w:r>
      <w:r>
        <w:rPr>
          <w:rFonts w:ascii="Verdana" w:hAnsi="Verdana"/>
          <w:szCs w:val="20"/>
        </w:rPr>
        <w:t xml:space="preserve">€ </w:t>
      </w:r>
      <w:r w:rsidRPr="00B95CC8">
        <w:rPr>
          <w:rFonts w:ascii="Verdana" w:hAnsi="Verdana"/>
          <w:szCs w:val="20"/>
        </w:rPr>
        <w:t xml:space="preserve">58,9 miljoen voor Beter Benutten, zie artikel 25) en de financiering van de ERTMS pilot en de Topsector Logistiek (- € </w:t>
      </w:r>
      <w:r>
        <w:rPr>
          <w:rFonts w:ascii="Verdana" w:hAnsi="Verdana"/>
          <w:szCs w:val="20"/>
        </w:rPr>
        <w:t>8,5</w:t>
      </w:r>
      <w:r w:rsidRPr="00B95CC8">
        <w:rPr>
          <w:rFonts w:ascii="Verdana" w:hAnsi="Verdana"/>
          <w:szCs w:val="20"/>
        </w:rPr>
        <w:t xml:space="preserve">) en anderzijds een toevoeging van de algemene middelen ten behoeve van de belasting van Infraspeed (€ 22,5 miljoen). </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Geenafstand"/>
        <w:rPr>
          <w:rFonts w:ascii="Verdana" w:hAnsi="Verdana"/>
          <w:i/>
          <w:sz w:val="20"/>
          <w:szCs w:val="20"/>
        </w:rPr>
      </w:pPr>
      <w:r w:rsidRPr="00B95CC8">
        <w:rPr>
          <w:rFonts w:ascii="Verdana" w:hAnsi="Verdana"/>
          <w:i/>
          <w:sz w:val="20"/>
          <w:szCs w:val="20"/>
        </w:rPr>
        <w:t>a) Kasschuif via algemene middelen</w:t>
      </w:r>
    </w:p>
    <w:p w:rsidR="006F445A" w:rsidRPr="00B95CC8" w:rsidRDefault="006F445A" w:rsidP="006F445A">
      <w:pPr>
        <w:pStyle w:val="Geenafstand"/>
        <w:rPr>
          <w:rFonts w:ascii="Verdana" w:hAnsi="Verdana"/>
          <w:sz w:val="20"/>
          <w:szCs w:val="20"/>
        </w:rPr>
      </w:pPr>
      <w:r w:rsidRPr="00B95CC8">
        <w:rPr>
          <w:rFonts w:ascii="Verdana" w:hAnsi="Verdana"/>
          <w:sz w:val="20"/>
          <w:szCs w:val="20"/>
        </w:rPr>
        <w:t>In 2015 worden voor de projecten Kanaal Gent-Terneuzen, N35 Nijverdal-Wierden en Zeetoegang IJmond versneld bijdragen van derden ontvangen, terwijl de projectuitgaven pas in latere jaren zijn voorzien. Middels een kasschuif via het generale beeld, worden deze financiële middelen (- € 250 miljoen) verschoven van 2015 naar 2016 (€ 100 miljoen) 2018 (€ 75 miljoen) en 2019 (€ 75 miljoen)</w:t>
      </w:r>
    </w:p>
    <w:p w:rsidR="006F445A" w:rsidRPr="00B95CC8" w:rsidRDefault="006F445A" w:rsidP="006F445A">
      <w:pPr>
        <w:pStyle w:val="Geenafstand"/>
        <w:rPr>
          <w:rFonts w:ascii="Verdana" w:hAnsi="Verdana"/>
          <w:sz w:val="20"/>
          <w:szCs w:val="20"/>
        </w:rPr>
      </w:pPr>
    </w:p>
    <w:p w:rsidR="006F445A" w:rsidRPr="00B95CC8" w:rsidRDefault="006F445A" w:rsidP="006F445A">
      <w:pPr>
        <w:pStyle w:val="Geenafstand"/>
        <w:rPr>
          <w:rFonts w:ascii="Verdana" w:hAnsi="Verdana"/>
          <w:i/>
          <w:sz w:val="20"/>
          <w:szCs w:val="20"/>
        </w:rPr>
      </w:pPr>
      <w:r w:rsidRPr="00B95CC8">
        <w:rPr>
          <w:rFonts w:ascii="Verdana" w:hAnsi="Verdana"/>
          <w:i/>
          <w:sz w:val="20"/>
          <w:szCs w:val="20"/>
        </w:rPr>
        <w:t>b) Naar BDU</w:t>
      </w:r>
    </w:p>
    <w:p w:rsidR="006F445A" w:rsidRPr="00B95CC8" w:rsidRDefault="006F445A" w:rsidP="006F445A">
      <w:pPr>
        <w:pStyle w:val="Geenafstand"/>
        <w:rPr>
          <w:rFonts w:ascii="Verdana" w:hAnsi="Verdana"/>
          <w:sz w:val="20"/>
          <w:szCs w:val="20"/>
        </w:rPr>
      </w:pPr>
      <w:r w:rsidRPr="00B95CC8">
        <w:rPr>
          <w:rFonts w:ascii="Verdana" w:hAnsi="Verdana"/>
          <w:sz w:val="20"/>
          <w:szCs w:val="20"/>
        </w:rPr>
        <w:t>In het kader van het programma Beter Benutten worden middelen aan de BDU overgeboekt (- € 58,9 miljoen). Daarnaast vinden diverse overboekingen plaats, waarvan de belangrijkste zijn: het toekennen aan de provincie Gelderland van de tranche 2015 voor de in het Lenteakkoord van 2012 afgesproken bijdrage aan 3 spoorlijnen in Oost Nederland, een tweetal toezeggingen aan de gemeente Utrecht</w:t>
      </w:r>
      <w:r w:rsidRPr="00B95CC8">
        <w:rPr>
          <w:rFonts w:ascii="Verdana" w:hAnsi="Verdana"/>
          <w:bCs/>
          <w:sz w:val="20"/>
          <w:szCs w:val="20"/>
        </w:rPr>
        <w:t>, de decentralisatie bijdrage Zwolle-Enschede en een bijdrage aan de aanleg van P+R voorzieningen. Zie artikel 25</w:t>
      </w:r>
      <w:r>
        <w:rPr>
          <w:rFonts w:ascii="Verdana" w:hAnsi="Verdana"/>
          <w:bCs/>
          <w:sz w:val="20"/>
          <w:szCs w:val="20"/>
        </w:rPr>
        <w:t xml:space="preserve"> voor een verdere toelichting.</w:t>
      </w:r>
    </w:p>
    <w:p w:rsidR="006F445A" w:rsidRPr="00B95CC8" w:rsidRDefault="006F445A" w:rsidP="006F445A">
      <w:pPr>
        <w:pStyle w:val="Geenafstand"/>
        <w:rPr>
          <w:rFonts w:ascii="Verdana" w:hAnsi="Verdana"/>
          <w:i/>
          <w:sz w:val="20"/>
          <w:szCs w:val="20"/>
        </w:rPr>
      </w:pPr>
    </w:p>
    <w:p w:rsidR="006F445A" w:rsidRPr="00B95CC8" w:rsidRDefault="006F445A" w:rsidP="006F445A">
      <w:pPr>
        <w:pStyle w:val="Geenafstand"/>
        <w:rPr>
          <w:rFonts w:ascii="Verdana" w:hAnsi="Verdana"/>
          <w:i/>
          <w:sz w:val="20"/>
          <w:szCs w:val="20"/>
        </w:rPr>
      </w:pPr>
      <w:r w:rsidRPr="00B95CC8">
        <w:rPr>
          <w:rFonts w:ascii="Verdana" w:hAnsi="Verdana"/>
          <w:i/>
          <w:sz w:val="20"/>
          <w:szCs w:val="20"/>
        </w:rPr>
        <w:t>d) ERTMS en Topsector Logistiek</w:t>
      </w:r>
    </w:p>
    <w:p w:rsidR="006F445A" w:rsidRPr="00B95CC8" w:rsidRDefault="006F445A" w:rsidP="006F445A">
      <w:pPr>
        <w:pStyle w:val="Geenafstand"/>
        <w:rPr>
          <w:rFonts w:ascii="Verdana" w:hAnsi="Verdana"/>
          <w:sz w:val="20"/>
          <w:szCs w:val="20"/>
        </w:rPr>
      </w:pPr>
      <w:r w:rsidRPr="00B95CC8">
        <w:rPr>
          <w:rFonts w:ascii="Verdana" w:hAnsi="Verdana"/>
          <w:sz w:val="20"/>
          <w:szCs w:val="20"/>
        </w:rPr>
        <w:t>In het kader van de ERTMS pilot Amsterdam-Utrecht (€ 10,6 miljoen) en ter dekking van het jaarplan 2015 van de Topsector Logistiek (- € 8,5 miljoen) is de voeding aan het Infrastructuurfonds ten behoeve van verantwoording op Hoofdstuk XII achtergebleven (zie respectievelijk artikelen. Het Infrastructuurfonds wordt in de periode 2015 -2020 met € 42,3 miljoen, waarvan € 8,5 miljoen in 2015) verlaagd. Zie ook artikel 14 en 16</w:t>
      </w:r>
      <w:r>
        <w:rPr>
          <w:rFonts w:ascii="Verdana" w:hAnsi="Verdana"/>
          <w:sz w:val="20"/>
          <w:szCs w:val="20"/>
        </w:rPr>
        <w:t xml:space="preserve"> voor een verdere toelichting</w:t>
      </w:r>
    </w:p>
    <w:p w:rsidR="006F445A" w:rsidRPr="00B95CC8" w:rsidRDefault="006F445A" w:rsidP="006F445A">
      <w:pPr>
        <w:pStyle w:val="Geenafstand"/>
        <w:rPr>
          <w:rFonts w:ascii="Verdana" w:hAnsi="Verdana"/>
          <w:i/>
          <w:sz w:val="20"/>
          <w:szCs w:val="20"/>
        </w:rPr>
      </w:pPr>
    </w:p>
    <w:p w:rsidR="006F445A" w:rsidRPr="00B95CC8" w:rsidRDefault="006F445A" w:rsidP="006F445A">
      <w:pPr>
        <w:pStyle w:val="Geenafstand"/>
        <w:rPr>
          <w:rFonts w:ascii="Verdana" w:hAnsi="Verdana"/>
          <w:i/>
          <w:sz w:val="20"/>
          <w:szCs w:val="20"/>
        </w:rPr>
      </w:pPr>
      <w:r w:rsidRPr="00B95CC8">
        <w:rPr>
          <w:rFonts w:ascii="Verdana" w:hAnsi="Verdana"/>
          <w:i/>
          <w:sz w:val="20"/>
          <w:szCs w:val="20"/>
        </w:rPr>
        <w:t>c) Belasting Infraspeed</w:t>
      </w:r>
    </w:p>
    <w:p w:rsidR="006F445A" w:rsidRPr="00B95CC8" w:rsidRDefault="006F445A" w:rsidP="006F445A">
      <w:pPr>
        <w:pStyle w:val="Geenafstand"/>
        <w:rPr>
          <w:rFonts w:ascii="Verdana" w:hAnsi="Verdana"/>
          <w:sz w:val="20"/>
          <w:szCs w:val="20"/>
        </w:rPr>
      </w:pPr>
      <w:r w:rsidRPr="00B95CC8">
        <w:rPr>
          <w:rFonts w:ascii="Verdana" w:hAnsi="Verdana"/>
          <w:sz w:val="20"/>
          <w:szCs w:val="20"/>
        </w:rPr>
        <w:t>Een bedrag van € 22,5 miljoen wordt in 2015 vanuit de algemene middelen overgeboekt naar het infrastructuurfonds als gevolg van de clausule, opgenomen in het contract tussen de Staat en Infraspeed, met betrekking tot de aftrekbaarheid van de rente op de aandeelhoudersleningen.</w:t>
      </w:r>
      <w:r w:rsidRPr="00B95CC8">
        <w:rPr>
          <w:rFonts w:ascii="Verdana" w:hAnsi="Verdana"/>
          <w:b/>
          <w:sz w:val="20"/>
          <w:szCs w:val="20"/>
        </w:rPr>
        <w:t xml:space="preserve"> </w:t>
      </w:r>
      <w:r w:rsidRPr="00B95CC8">
        <w:rPr>
          <w:rFonts w:ascii="Verdana" w:hAnsi="Verdana"/>
          <w:sz w:val="20"/>
          <w:szCs w:val="20"/>
        </w:rPr>
        <w:t>Tot en met 2028 wordt er in totaal een bedrag van € 60,3 miljoen</w:t>
      </w:r>
      <w:r w:rsidRPr="00B95CC8">
        <w:rPr>
          <w:rFonts w:ascii="Verdana" w:hAnsi="Verdana"/>
          <w:b/>
          <w:i/>
          <w:sz w:val="20"/>
          <w:szCs w:val="20"/>
        </w:rPr>
        <w:t xml:space="preserve"> </w:t>
      </w:r>
      <w:r w:rsidRPr="00B95CC8">
        <w:rPr>
          <w:rFonts w:ascii="Verdana" w:hAnsi="Verdana"/>
          <w:sz w:val="20"/>
          <w:szCs w:val="20"/>
        </w:rPr>
        <w:t xml:space="preserve">overgeboekt. </w:t>
      </w:r>
    </w:p>
    <w:p w:rsidR="006F445A"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lastRenderedPageBreak/>
        <w:t>26.02 Bijdrage aan het Deltafonds</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De bijdrage vanuit Hoofdstuk XII aan het Deltafonds wordt voor het jaar 2015 met € 74,6 miljoen verlaagd. De voeding wordt voornamelijk als gevolg van de kasschuif via de algemene middelen (- € 75 miljoen). De voeding wordt verder verlaagd ten behoeve van de overboeking van middelen voor het budget BIRK/NSP (- € 0,4 miljoen). Aan de andere kant wordt de voeding vanuit Hoofdstuk XII IenM en Hoofdstuk XIII EZ met € 0,8 miljoen verhoogd ten behoeve van extra wettelijke monitoringverplichtingen.</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Geenafstand"/>
        <w:rPr>
          <w:rFonts w:ascii="Verdana" w:hAnsi="Verdana"/>
          <w:i/>
          <w:sz w:val="20"/>
          <w:szCs w:val="20"/>
        </w:rPr>
      </w:pPr>
      <w:r w:rsidRPr="00B95CC8">
        <w:rPr>
          <w:rFonts w:ascii="Verdana" w:hAnsi="Verdana"/>
          <w:i/>
          <w:sz w:val="20"/>
          <w:szCs w:val="20"/>
        </w:rPr>
        <w:t>a) Kasschuif via algemene middelen</w:t>
      </w:r>
    </w:p>
    <w:p w:rsidR="006F445A" w:rsidRPr="00B95CC8" w:rsidRDefault="006F445A" w:rsidP="006F445A">
      <w:pPr>
        <w:pStyle w:val="Variabelegegevens"/>
        <w:keepLines w:val="0"/>
        <w:spacing w:line="240" w:lineRule="auto"/>
        <w:rPr>
          <w:rFonts w:ascii="Verdana" w:hAnsi="Verdana"/>
          <w:szCs w:val="20"/>
        </w:rPr>
      </w:pPr>
      <w:r w:rsidRPr="00B95CC8">
        <w:rPr>
          <w:rFonts w:ascii="Verdana" w:eastAsia="Calibri" w:hAnsi="Verdana"/>
          <w:szCs w:val="20"/>
        </w:rPr>
        <w:t>Op het Deltafonds lopen een aantal uitvoeringsprogramma’s af. Daarnaast zijn de deltabeslissingen genomen en is het nieuwe Hoogwaterbeschermingsprogramma opgestart</w:t>
      </w:r>
      <w:r w:rsidRPr="00B95CC8">
        <w:rPr>
          <w:rFonts w:ascii="Verdana" w:hAnsi="Verdana"/>
          <w:szCs w:val="20"/>
        </w:rPr>
        <w:t>. IenM staat voor de opgave om het ritme van het meerjarige programma en het budget op het Deltafonds weer met elkaar in overeenstemming te brengen. Derhalve wordt een kasschuif via de algemene middelen van € 75 miljoen op het Deltafonds van 2015 naar 2019 aangebracht.</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Geenafstand"/>
        <w:rPr>
          <w:rFonts w:ascii="Verdana" w:hAnsi="Verdana"/>
          <w:i/>
          <w:sz w:val="20"/>
          <w:szCs w:val="20"/>
        </w:rPr>
      </w:pPr>
      <w:r w:rsidRPr="00B95CC8">
        <w:rPr>
          <w:rFonts w:ascii="Verdana" w:hAnsi="Verdana"/>
          <w:i/>
          <w:sz w:val="20"/>
          <w:szCs w:val="20"/>
        </w:rPr>
        <w:t>b) BIRK/NSP</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Een deel van het budget van het beëindigde project IJsselsprong Zutphen wordt toegevoegd aan het aanverwante budget BIRK/NSP op hoofdstuk XII (€ 0,4 miljoen). </w:t>
      </w:r>
    </w:p>
    <w:p w:rsidR="006F445A" w:rsidRPr="00B95CC8" w:rsidRDefault="006F445A" w:rsidP="006F445A">
      <w:pPr>
        <w:pStyle w:val="Geenafstand"/>
        <w:rPr>
          <w:rFonts w:ascii="Verdana" w:hAnsi="Verdana"/>
          <w:i/>
          <w:sz w:val="20"/>
          <w:szCs w:val="20"/>
        </w:rPr>
      </w:pPr>
    </w:p>
    <w:p w:rsidR="006F445A" w:rsidRPr="00B95CC8" w:rsidRDefault="006F445A" w:rsidP="006F445A">
      <w:pPr>
        <w:pStyle w:val="Geenafstand"/>
        <w:rPr>
          <w:rFonts w:ascii="Verdana" w:hAnsi="Verdana"/>
          <w:i/>
          <w:sz w:val="20"/>
          <w:szCs w:val="20"/>
        </w:rPr>
      </w:pPr>
      <w:r w:rsidRPr="00B95CC8">
        <w:rPr>
          <w:rFonts w:ascii="Verdana" w:hAnsi="Verdana"/>
          <w:i/>
          <w:sz w:val="20"/>
          <w:szCs w:val="20"/>
        </w:rPr>
        <w:t>c) Wettelijke monitoringverplichtingen</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IenM en EZ hebben afgesproken om gezamenlijk het monitoringbudget van RWS de komende jaren met € 0,8 miljoen per jaar te verhogen om aan de extra wettelijke monitoringverplichtingen te voldoen, voortvloeiende uit de vogel- en habitatrichtlijn en de kaderrichtlijn mariene strategie. </w:t>
      </w:r>
    </w:p>
    <w:p w:rsidR="006F445A" w:rsidRPr="00B95CC8" w:rsidRDefault="006F445A" w:rsidP="006F445A">
      <w:pPr>
        <w:pStyle w:val="Variabelegegevens"/>
        <w:keepLines w:val="0"/>
        <w:spacing w:line="240" w:lineRule="auto"/>
        <w:rPr>
          <w:rFonts w:ascii="Verdana" w:hAnsi="Verdana"/>
          <w:szCs w:val="20"/>
        </w:rPr>
      </w:pPr>
    </w:p>
    <w:p w:rsidR="006F445A" w:rsidRDefault="006F445A" w:rsidP="006F445A">
      <w:pPr>
        <w:pStyle w:val="Variabelegegevens"/>
        <w:keepLines w:val="0"/>
        <w:spacing w:line="240" w:lineRule="auto"/>
        <w:rPr>
          <w:rFonts w:ascii="Verdana" w:hAnsi="Verdana"/>
          <w:b/>
          <w:bCs/>
          <w:szCs w:val="20"/>
          <w:lang w:eastAsia="nl-NL"/>
        </w:rPr>
      </w:pPr>
      <w:r w:rsidRPr="00B95CC8">
        <w:rPr>
          <w:rFonts w:ascii="Verdana" w:hAnsi="Verdana"/>
          <w:b/>
          <w:szCs w:val="20"/>
        </w:rPr>
        <w:br w:type="page"/>
      </w:r>
      <w:r w:rsidRPr="0026461F">
        <w:rPr>
          <w:rFonts w:ascii="Verdana" w:hAnsi="Verdana"/>
          <w:b/>
          <w:bCs/>
          <w:szCs w:val="20"/>
          <w:lang w:eastAsia="nl-NL"/>
        </w:rPr>
        <w:lastRenderedPageBreak/>
        <w:t>2.3 De niet-beleidsartikelen</w:t>
      </w:r>
    </w:p>
    <w:p w:rsidR="006F445A" w:rsidRDefault="006F445A" w:rsidP="006F445A">
      <w:pPr>
        <w:pStyle w:val="Variabelegegevens"/>
        <w:keepLines w:val="0"/>
        <w:spacing w:line="240" w:lineRule="auto"/>
        <w:rPr>
          <w:rFonts w:ascii="Verdana" w:hAnsi="Verdana"/>
          <w:b/>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Artikel 97 Algemeen departement</w:t>
      </w:r>
    </w:p>
    <w:p w:rsidR="006F445A" w:rsidRPr="00B95CC8" w:rsidRDefault="006F445A" w:rsidP="006F445A">
      <w:pPr>
        <w:pStyle w:val="Variabelegegevens"/>
        <w:keepLines w:val="0"/>
        <w:spacing w:line="240" w:lineRule="auto"/>
        <w:rPr>
          <w:rFonts w:ascii="Verdana" w:hAnsi="Verdana"/>
          <w:szCs w:val="20"/>
        </w:rPr>
      </w:pPr>
    </w:p>
    <w:p w:rsidR="006F445A" w:rsidRDefault="006F445A" w:rsidP="006F445A">
      <w:pPr>
        <w:pStyle w:val="Variabelegegevens"/>
        <w:keepLines w:val="0"/>
        <w:spacing w:line="240" w:lineRule="auto"/>
        <w:rPr>
          <w:rFonts w:ascii="Verdana" w:hAnsi="Verdana"/>
          <w:szCs w:val="20"/>
        </w:rPr>
      </w:pPr>
      <w:r>
        <w:rPr>
          <w:noProof/>
          <w:szCs w:val="20"/>
          <w:lang w:eastAsia="nl-NL"/>
        </w:rPr>
        <w:drawing>
          <wp:inline distT="0" distB="0" distL="0" distR="0" wp14:anchorId="64EF6CFB" wp14:editId="5034BEB6">
            <wp:extent cx="5995035" cy="2298065"/>
            <wp:effectExtent l="19050" t="0" r="0" b="0"/>
            <wp:docPr id="19" name="Objec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
                    <pic:cNvPicPr>
                      <a:picLocks noChangeAspect="1" noChangeArrowheads="1"/>
                    </pic:cNvPicPr>
                  </pic:nvPicPr>
                  <pic:blipFill>
                    <a:blip r:embed="rId23" cstate="print"/>
                    <a:srcRect/>
                    <a:stretch>
                      <a:fillRect/>
                    </a:stretch>
                  </pic:blipFill>
                  <pic:spPr bwMode="auto">
                    <a:xfrm>
                      <a:off x="0" y="0"/>
                      <a:ext cx="5995035" cy="2298065"/>
                    </a:xfrm>
                    <a:prstGeom prst="rect">
                      <a:avLst/>
                    </a:prstGeom>
                    <a:noFill/>
                    <a:ln w="9525">
                      <a:noFill/>
                      <a:miter lim="800000"/>
                      <a:headEnd/>
                      <a:tailEnd/>
                    </a:ln>
                  </pic:spPr>
                </pic:pic>
              </a:graphicData>
            </a:graphic>
          </wp:inline>
        </w:drawing>
      </w:r>
    </w:p>
    <w:p w:rsidR="006F445A" w:rsidRPr="00EF6C26" w:rsidRDefault="006F445A" w:rsidP="006F445A">
      <w:pPr>
        <w:pStyle w:val="Variabelegegevens"/>
        <w:keepLines w:val="0"/>
        <w:spacing w:line="240" w:lineRule="auto"/>
        <w:rPr>
          <w:rFonts w:ascii="Verdana" w:hAnsi="Verdana"/>
          <w:b/>
        </w:rPr>
      </w:pPr>
      <w:r w:rsidRPr="00EF6C26">
        <w:rPr>
          <w:rFonts w:ascii="Verdana" w:hAnsi="Verdana"/>
          <w:bCs/>
          <w:szCs w:val="20"/>
        </w:rPr>
        <w:t>Hieronder worden alle beleidsmatig relevante mutaties op het niveau van het artikelonderdeel zichtbaar gemaakt, en waar zinvol en relevant, ook toegelicht (zie leeswijzer).</w:t>
      </w:r>
    </w:p>
    <w:p w:rsidR="006F445A" w:rsidRDefault="006F445A" w:rsidP="006F445A">
      <w:pPr>
        <w:pStyle w:val="Variabelegegevens"/>
        <w:keepLines w:val="0"/>
        <w:spacing w:line="240" w:lineRule="auto"/>
        <w:rPr>
          <w:rFonts w:ascii="Verdana" w:hAnsi="Verdana"/>
          <w:szCs w:val="20"/>
        </w:rPr>
      </w:pPr>
      <w:r>
        <w:rPr>
          <w:rFonts w:ascii="Verdana" w:hAnsi="Verdana"/>
          <w:szCs w:val="20"/>
        </w:rPr>
        <w:tab/>
      </w:r>
    </w:p>
    <w:p w:rsidR="006F445A" w:rsidRPr="00327086" w:rsidRDefault="006F445A" w:rsidP="006F445A">
      <w:pPr>
        <w:pStyle w:val="Variabelegegevens"/>
        <w:keepLines w:val="0"/>
        <w:spacing w:line="240" w:lineRule="auto"/>
        <w:rPr>
          <w:rFonts w:ascii="Verdana" w:hAnsi="Verdana"/>
          <w:b/>
          <w:szCs w:val="20"/>
        </w:rPr>
      </w:pPr>
      <w:r w:rsidRPr="00327086">
        <w:rPr>
          <w:rFonts w:ascii="Verdana" w:hAnsi="Verdana"/>
          <w:b/>
          <w:szCs w:val="20"/>
        </w:rPr>
        <w:t xml:space="preserve">Verplichtingen </w:t>
      </w:r>
    </w:p>
    <w:p w:rsidR="006F445A" w:rsidRDefault="006F445A" w:rsidP="006F445A">
      <w:pPr>
        <w:pStyle w:val="Variabelegegevens"/>
        <w:keepLines w:val="0"/>
        <w:spacing w:line="240" w:lineRule="auto"/>
        <w:rPr>
          <w:rFonts w:ascii="Verdana" w:hAnsi="Verdana"/>
          <w:szCs w:val="20"/>
        </w:rPr>
      </w:pPr>
      <w:r>
        <w:rPr>
          <w:rFonts w:ascii="Verdana" w:hAnsi="Verdana"/>
          <w:szCs w:val="20"/>
        </w:rPr>
        <w:t>De hogere verplichtingen in 2015 hebben met name te maken met h</w:t>
      </w:r>
      <w:r w:rsidRPr="00B95CC8">
        <w:rPr>
          <w:rFonts w:ascii="Verdana" w:hAnsi="Verdana"/>
          <w:szCs w:val="20"/>
        </w:rPr>
        <w:t>et versterken van de eigenaarsrol in het kader van audits</w:t>
      </w:r>
      <w:r>
        <w:rPr>
          <w:rFonts w:ascii="Verdana" w:hAnsi="Verdana"/>
          <w:szCs w:val="20"/>
        </w:rPr>
        <w:t>. Verder heeft er een verplichtingenschuif plaatsgevonden  ten behoeve van de</w:t>
      </w:r>
      <w:r w:rsidRPr="00327086">
        <w:rPr>
          <w:rFonts w:ascii="Verdana" w:hAnsi="Verdana"/>
          <w:szCs w:val="20"/>
        </w:rPr>
        <w:t xml:space="preserve"> subsidieverlening aan </w:t>
      </w:r>
      <w:r>
        <w:rPr>
          <w:rFonts w:ascii="Verdana" w:hAnsi="Verdana"/>
          <w:szCs w:val="20"/>
        </w:rPr>
        <w:t xml:space="preserve">de </w:t>
      </w:r>
      <w:r w:rsidRPr="00327086">
        <w:rPr>
          <w:rFonts w:ascii="Verdana" w:hAnsi="Verdana"/>
          <w:szCs w:val="20"/>
        </w:rPr>
        <w:t>Nederlandse Organisatie voor Wetenschappelijk Onderzoek voor het programma SURF</w:t>
      </w:r>
      <w:r>
        <w:rPr>
          <w:rFonts w:ascii="Verdana" w:hAnsi="Verdana"/>
          <w:szCs w:val="20"/>
        </w:rPr>
        <w:t xml:space="preserve"> (</w:t>
      </w:r>
      <w:r w:rsidRPr="00294237">
        <w:rPr>
          <w:rFonts w:ascii="Verdana" w:hAnsi="Verdana"/>
          <w:szCs w:val="20"/>
        </w:rPr>
        <w:t>Smart Urban Regions of the Future)</w:t>
      </w:r>
      <w:r>
        <w:rPr>
          <w:rFonts w:ascii="Verdana" w:hAnsi="Verdana"/>
          <w:szCs w:val="20"/>
        </w:rPr>
        <w:t>.</w:t>
      </w:r>
    </w:p>
    <w:p w:rsidR="006F445A" w:rsidRDefault="006F445A" w:rsidP="006F445A">
      <w:pPr>
        <w:pStyle w:val="Variabelegegevens"/>
        <w:keepLines w:val="0"/>
        <w:spacing w:line="240" w:lineRule="auto"/>
        <w:rPr>
          <w:rFonts w:ascii="Verdana" w:hAnsi="Verdana"/>
          <w:szCs w:val="20"/>
        </w:rPr>
      </w:pPr>
    </w:p>
    <w:p w:rsidR="006F445A" w:rsidRPr="00EF6C26" w:rsidRDefault="006F445A" w:rsidP="006F445A">
      <w:pPr>
        <w:pStyle w:val="Variabelegegevens"/>
        <w:keepLines w:val="0"/>
        <w:spacing w:line="240" w:lineRule="auto"/>
        <w:rPr>
          <w:rFonts w:ascii="Verdana" w:hAnsi="Verdana"/>
          <w:b/>
        </w:rPr>
      </w:pPr>
      <w:r w:rsidRPr="00EF6C26">
        <w:rPr>
          <w:rFonts w:ascii="Verdana" w:hAnsi="Verdana"/>
          <w:b/>
        </w:rPr>
        <w:t>97.01 Algemeen departement</w:t>
      </w:r>
      <w:r>
        <w:rPr>
          <w:rFonts w:ascii="Verdana" w:hAnsi="Verdana"/>
          <w:b/>
        </w:rPr>
        <w:t xml:space="preserve"> </w:t>
      </w:r>
    </w:p>
    <w:p w:rsidR="006F445A" w:rsidRDefault="006F445A" w:rsidP="006F445A">
      <w:pPr>
        <w:pStyle w:val="Variabelegegevens"/>
        <w:keepLines w:val="0"/>
        <w:spacing w:line="240" w:lineRule="auto"/>
        <w:rPr>
          <w:rFonts w:ascii="Verdana" w:hAnsi="Verdana"/>
          <w:szCs w:val="20"/>
        </w:rPr>
      </w:pPr>
      <w:r w:rsidRPr="00B95CC8">
        <w:rPr>
          <w:rFonts w:ascii="Verdana" w:hAnsi="Verdana"/>
          <w:szCs w:val="20"/>
        </w:rPr>
        <w:t>D</w:t>
      </w:r>
      <w:r>
        <w:rPr>
          <w:rFonts w:ascii="Verdana" w:hAnsi="Verdana"/>
          <w:szCs w:val="20"/>
        </w:rPr>
        <w:t>e hogere uitgaven in 2015 worden met name veroorzaakt door overboekingen vanuit artikel 13 ten behoeve van DCI voor het uitvoeren van de opzet van Omgevingsloketonline. Verder betreft dit een overheveling van middelen vanuit artikel 99 Nominaal en onvoorzien voor h</w:t>
      </w:r>
      <w:r w:rsidRPr="00B95CC8">
        <w:rPr>
          <w:rFonts w:ascii="Verdana" w:hAnsi="Verdana"/>
          <w:szCs w:val="20"/>
        </w:rPr>
        <w:t>et versterken van de eigenaarsrol in het kader van audits</w:t>
      </w:r>
      <w:r>
        <w:rPr>
          <w:rFonts w:ascii="Verdana" w:hAnsi="Verdana"/>
          <w:szCs w:val="20"/>
        </w:rPr>
        <w:t>, zoals gemeld in de Decemberbrief 2014 (Kamerstukken II, 2014/15, 34 000 XII nr. 62</w:t>
      </w:r>
      <w:r w:rsidRPr="00A3331C">
        <w:rPr>
          <w:rFonts w:ascii="Verdana" w:hAnsi="Verdana"/>
          <w:szCs w:val="20"/>
        </w:rPr>
        <w:t>)</w:t>
      </w:r>
      <w:r>
        <w:rPr>
          <w:rFonts w:ascii="Verdana" w:hAnsi="Verdana"/>
          <w:szCs w:val="20"/>
        </w:rPr>
        <w:t xml:space="preserve">. </w:t>
      </w:r>
    </w:p>
    <w:p w:rsidR="006F445A"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Pr>
          <w:rFonts w:ascii="Verdana" w:hAnsi="Verdana"/>
          <w:b/>
          <w:szCs w:val="20"/>
        </w:rPr>
        <w:br w:type="page"/>
      </w:r>
      <w:r w:rsidRPr="00B95CC8">
        <w:rPr>
          <w:rFonts w:ascii="Verdana" w:hAnsi="Verdana"/>
          <w:b/>
          <w:szCs w:val="20"/>
        </w:rPr>
        <w:lastRenderedPageBreak/>
        <w:t>Artikel 98 Apparaat van het Kerndepartement</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r>
        <w:rPr>
          <w:noProof/>
          <w:szCs w:val="20"/>
          <w:lang w:eastAsia="nl-NL"/>
        </w:rPr>
        <w:drawing>
          <wp:inline distT="0" distB="0" distL="0" distR="0" wp14:anchorId="641B9EAC" wp14:editId="12A30607">
            <wp:extent cx="5987415" cy="2472690"/>
            <wp:effectExtent l="19050" t="0" r="0" b="0"/>
            <wp:docPr id="20" name="Objec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pic:cNvPicPr>
                      <a:picLocks noChangeAspect="1" noChangeArrowheads="1"/>
                    </pic:cNvPicPr>
                  </pic:nvPicPr>
                  <pic:blipFill>
                    <a:blip r:embed="rId24" cstate="print"/>
                    <a:srcRect/>
                    <a:stretch>
                      <a:fillRect/>
                    </a:stretch>
                  </pic:blipFill>
                  <pic:spPr bwMode="auto">
                    <a:xfrm>
                      <a:off x="0" y="0"/>
                      <a:ext cx="5987415" cy="2472690"/>
                    </a:xfrm>
                    <a:prstGeom prst="rect">
                      <a:avLst/>
                    </a:prstGeom>
                    <a:noFill/>
                    <a:ln w="9525">
                      <a:noFill/>
                      <a:miter lim="800000"/>
                      <a:headEnd/>
                      <a:tailEnd/>
                    </a:ln>
                  </pic:spPr>
                </pic:pic>
              </a:graphicData>
            </a:graphic>
          </wp:inline>
        </w:drawing>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Cs/>
          <w:szCs w:val="20"/>
        </w:rPr>
        <w:t>Hieronder worden alle beleidsmatig relevante mutaties op het niveau van het artikelonderdeel zichtbaar gemaakt, en waar zinvol en relevant, ook toegelicht (zie leeswijzer).</w:t>
      </w:r>
    </w:p>
    <w:p w:rsidR="006F445A"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Verplichtingen</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De toename van de verplichtingen zijn het gevolg van </w:t>
      </w:r>
      <w:r>
        <w:rPr>
          <w:rFonts w:ascii="Verdana" w:hAnsi="Verdana"/>
          <w:szCs w:val="20"/>
        </w:rPr>
        <w:t>onderstaande</w:t>
      </w:r>
      <w:r w:rsidRPr="00B95CC8">
        <w:rPr>
          <w:rFonts w:ascii="Verdana" w:hAnsi="Verdana"/>
          <w:szCs w:val="20"/>
        </w:rPr>
        <w:t xml:space="preserve"> mutaties aan de uitgavenkant. Daarnaast is er sprake van een afname omdat er in 2014 verplichtingen eerder zijn aangegaan.</w:t>
      </w:r>
    </w:p>
    <w:p w:rsidR="006F445A" w:rsidRDefault="006F445A" w:rsidP="006F445A">
      <w:pPr>
        <w:pStyle w:val="Variabelegegevens"/>
        <w:keepLines w:val="0"/>
        <w:spacing w:line="240" w:lineRule="auto"/>
        <w:rPr>
          <w:rFonts w:ascii="Verdana" w:hAnsi="Verdana"/>
          <w:szCs w:val="20"/>
        </w:rPr>
      </w:pPr>
    </w:p>
    <w:p w:rsidR="006F445A" w:rsidRPr="00EF6C26" w:rsidRDefault="006F445A" w:rsidP="006F445A">
      <w:pPr>
        <w:pStyle w:val="Variabelegegevens"/>
        <w:keepLines w:val="0"/>
        <w:spacing w:line="240" w:lineRule="auto"/>
        <w:rPr>
          <w:rFonts w:ascii="Verdana" w:hAnsi="Verdana"/>
          <w:b/>
        </w:rPr>
      </w:pPr>
      <w:r w:rsidRPr="00EF6C26">
        <w:rPr>
          <w:rFonts w:ascii="Verdana" w:hAnsi="Verdana"/>
          <w:b/>
        </w:rPr>
        <w:t>Artikel 98 Apparaat van het kerndepartement</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szCs w:val="20"/>
        </w:rPr>
      </w:pPr>
      <w:r>
        <w:rPr>
          <w:rFonts w:ascii="Verdana" w:hAnsi="Verdana"/>
          <w:b/>
          <w:szCs w:val="20"/>
        </w:rPr>
        <w:t xml:space="preserve">98.01 </w:t>
      </w:r>
      <w:r w:rsidRPr="00B95CC8">
        <w:rPr>
          <w:rFonts w:ascii="Verdana" w:hAnsi="Verdana"/>
          <w:b/>
          <w:szCs w:val="20"/>
        </w:rPr>
        <w:t>Personele uitgaven</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 xml:space="preserve">Autoriteit Nucleaire Veiligheid en Stralingsbescherming (ANVS) </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De verhoging van de personele uitgaven betreft nagenoeg geheel een overboeking vanuit EZ (circa € 15 </w:t>
      </w:r>
      <w:r>
        <w:rPr>
          <w:rFonts w:ascii="Verdana" w:hAnsi="Verdana"/>
          <w:szCs w:val="20"/>
        </w:rPr>
        <w:t>miljoen</w:t>
      </w:r>
      <w:r w:rsidRPr="00B95CC8">
        <w:rPr>
          <w:rFonts w:ascii="Verdana" w:hAnsi="Verdana"/>
          <w:szCs w:val="20"/>
        </w:rPr>
        <w:t xml:space="preserve">) en ILT (circa € 3,8 </w:t>
      </w:r>
      <w:r>
        <w:rPr>
          <w:rFonts w:ascii="Verdana" w:hAnsi="Verdana"/>
          <w:szCs w:val="20"/>
        </w:rPr>
        <w:t>miljoen</w:t>
      </w:r>
      <w:r w:rsidRPr="00B95CC8">
        <w:rPr>
          <w:rFonts w:ascii="Verdana" w:hAnsi="Verdana"/>
          <w:szCs w:val="20"/>
        </w:rPr>
        <w:t>)) ten behoeve van de ANVS in oprichting. Deze dienst valt per 1 januari 2015 onder IenM met een organisatieomvang van ca 100 fte. Vanuit EZ zijn per 1 januari 2015 het RVO/Stralingslab en de directie NIV overgegaan in de ANVS en vanuit de ILT is de Kernfysische Dienst overgegaan. Deze overboekingen zijn voor IenM kaderverhogend.</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 xml:space="preserve">ERTMS- treinbeveiligingssysteem </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In het Regeerakkoord is opgenomen dat dit speerpunt vanaf 2016 gefaseerd moet worden uitgewerkt en ingevoerd. ERTMS heeft medio 2013 door de Tweede Kamer de status van Groot Project Status verkregen. Het totale budget is opgenomen op artikel 17 van het Infrastructuurfonds. Bij de Voorkeursbeslissing van 11 april 2014 (kamerstuk 33652 - 14) heeft de Ministerraad aangegeven dat een gemeenschappelijke programmalocatie en inhuur nodig is. Bij het programma was tot op heden nog niet bekend welk bedrag (inhuur en locatie) als separaat apparaatbudget op hoofdstuk XII moest worden gereserveerd. De overboeking van kosten voor inhuur en personele exploitatie bedraagt € 1,1 </w:t>
      </w:r>
      <w:r>
        <w:rPr>
          <w:rFonts w:ascii="Verdana" w:hAnsi="Verdana"/>
          <w:szCs w:val="20"/>
        </w:rPr>
        <w:t>miljoen.</w:t>
      </w:r>
    </w:p>
    <w:p w:rsidR="006F445A" w:rsidRPr="00B95CC8" w:rsidRDefault="006F445A" w:rsidP="006F445A">
      <w:pPr>
        <w:pStyle w:val="Variabelegegevens"/>
        <w:keepLines w:val="0"/>
        <w:spacing w:line="240" w:lineRule="auto"/>
        <w:ind w:left="284"/>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Pr>
          <w:rFonts w:ascii="Verdana" w:hAnsi="Verdana"/>
          <w:b/>
          <w:szCs w:val="20"/>
        </w:rPr>
        <w:t xml:space="preserve">98.02 </w:t>
      </w:r>
      <w:r w:rsidRPr="00B95CC8">
        <w:rPr>
          <w:rFonts w:ascii="Verdana" w:hAnsi="Verdana"/>
          <w:b/>
          <w:szCs w:val="20"/>
        </w:rPr>
        <w:t>Materiële uitgaven</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Centrale uitgaven bedrijfsvoering</w:t>
      </w:r>
      <w:r w:rsidRPr="00B95CC8">
        <w:rPr>
          <w:rFonts w:ascii="Verdana" w:hAnsi="Verdana"/>
          <w:szCs w:val="20"/>
        </w:rPr>
        <w:t xml:space="preserve"> </w:t>
      </w:r>
      <w:r w:rsidRPr="00B95CC8">
        <w:rPr>
          <w:rFonts w:ascii="Verdana" w:hAnsi="Verdana"/>
          <w:i/>
          <w:szCs w:val="20"/>
        </w:rPr>
        <w:t xml:space="preserve"> </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Een deel van de centraal betaalde uitgaven voor ICT en facilitaire dienstverlening vindt plaats ten behoeve van agentschappen. Hiervoor vindt een interne verrekening plaats door middel van facturering (circa € 9,9 </w:t>
      </w:r>
      <w:r>
        <w:rPr>
          <w:rFonts w:ascii="Verdana" w:hAnsi="Verdana"/>
          <w:szCs w:val="20"/>
        </w:rPr>
        <w:t>miljoen</w:t>
      </w:r>
      <w:r w:rsidRPr="00B95CC8">
        <w:rPr>
          <w:rFonts w:ascii="Verdana" w:hAnsi="Verdana"/>
          <w:szCs w:val="20"/>
        </w:rPr>
        <w:t>)</w:t>
      </w:r>
      <w:r>
        <w:rPr>
          <w:rFonts w:ascii="Verdana" w:hAnsi="Verdana"/>
          <w:szCs w:val="20"/>
        </w:rPr>
        <w:t>, zi</w:t>
      </w:r>
      <w:r w:rsidRPr="00B95CC8">
        <w:rPr>
          <w:rFonts w:ascii="Verdana" w:hAnsi="Verdana"/>
          <w:szCs w:val="20"/>
        </w:rPr>
        <w:t>e ook</w:t>
      </w:r>
      <w:r>
        <w:rPr>
          <w:rFonts w:ascii="Verdana" w:hAnsi="Verdana"/>
          <w:szCs w:val="20"/>
        </w:rPr>
        <w:t xml:space="preserve"> de</w:t>
      </w:r>
      <w:r w:rsidRPr="00B95CC8">
        <w:rPr>
          <w:rFonts w:ascii="Verdana" w:hAnsi="Verdana"/>
          <w:szCs w:val="20"/>
        </w:rPr>
        <w:t xml:space="preserve"> ontvangsten. </w:t>
      </w:r>
    </w:p>
    <w:p w:rsidR="006F445A" w:rsidRDefault="006F445A" w:rsidP="006F445A">
      <w:pPr>
        <w:pStyle w:val="Variabelegegevens"/>
        <w:keepLines w:val="0"/>
        <w:spacing w:line="240" w:lineRule="auto"/>
        <w:rPr>
          <w:rFonts w:ascii="Verdana" w:hAnsi="Verdana"/>
          <w:szCs w:val="20"/>
        </w:rPr>
      </w:pPr>
    </w:p>
    <w:p w:rsidR="006F445A"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 xml:space="preserve">Herverdeling eenheidsprijzen kantoren </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lastRenderedPageBreak/>
        <w:t>Dit betreft de verrekening van huisvestingsbudgetten in verband met de financiële gevolgen van de masterplannen en stelselherziening van de rijkshuisvesting en het aandeel van IenM in de renovatiekosten van het Binnenhof door RVB met ingang van 2016</w:t>
      </w:r>
      <w:r>
        <w:rPr>
          <w:rFonts w:ascii="Verdana" w:hAnsi="Verdana"/>
          <w:szCs w:val="20"/>
        </w:rPr>
        <w:t>.</w:t>
      </w:r>
      <w:r w:rsidRPr="00B95CC8">
        <w:rPr>
          <w:rFonts w:ascii="Verdana" w:hAnsi="Verdana"/>
          <w:szCs w:val="20"/>
        </w:rPr>
        <w:t xml:space="preserve"> </w:t>
      </w:r>
    </w:p>
    <w:p w:rsidR="006F445A" w:rsidRPr="00B95CC8" w:rsidRDefault="006F445A" w:rsidP="006F445A">
      <w:pPr>
        <w:pStyle w:val="Variabelegegevens"/>
        <w:keepLines w:val="0"/>
        <w:spacing w:line="240" w:lineRule="auto"/>
        <w:rPr>
          <w:rFonts w:ascii="Verdana" w:hAnsi="Verdana"/>
          <w:szCs w:val="20"/>
        </w:rPr>
      </w:pPr>
    </w:p>
    <w:p w:rsidR="006F445A" w:rsidRPr="00E12C56" w:rsidRDefault="006F445A" w:rsidP="006F445A">
      <w:pPr>
        <w:pStyle w:val="Variabelegegevens"/>
        <w:keepLines w:val="0"/>
        <w:spacing w:line="240" w:lineRule="auto"/>
        <w:rPr>
          <w:rFonts w:ascii="Verdana" w:hAnsi="Verdana"/>
          <w:i/>
          <w:szCs w:val="20"/>
        </w:rPr>
      </w:pPr>
      <w:r w:rsidRPr="00432ECE">
        <w:rPr>
          <w:rFonts w:ascii="Verdana" w:hAnsi="Verdana"/>
          <w:i/>
          <w:szCs w:val="20"/>
        </w:rPr>
        <w:t xml:space="preserve">ICT/Elias </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Het betreft de overdracht aan BZK van de structurele bijdrage IenM ten behoeve van de rijksbrede kosten als gevolg van het eindrapport van de commissie ICT/Elias.</w:t>
      </w:r>
    </w:p>
    <w:p w:rsidR="006F445A" w:rsidRPr="00B95CC8"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Ontvangsten</w:t>
      </w:r>
      <w:r>
        <w:rPr>
          <w:rFonts w:ascii="Verdana" w:hAnsi="Verdana"/>
          <w:b/>
          <w:szCs w:val="20"/>
        </w:rPr>
        <w:t xml:space="preserve"> </w:t>
      </w:r>
    </w:p>
    <w:p w:rsidR="006F445A" w:rsidRPr="00B95CC8" w:rsidRDefault="006F445A" w:rsidP="006F445A">
      <w:pPr>
        <w:pStyle w:val="Variabelegegevens"/>
        <w:keepLines w:val="0"/>
        <w:spacing w:line="240" w:lineRule="auto"/>
        <w:rPr>
          <w:rFonts w:ascii="Verdana" w:hAnsi="Verdana"/>
          <w:i/>
          <w:szCs w:val="20"/>
        </w:rPr>
      </w:pPr>
      <w:r w:rsidRPr="00B95CC8">
        <w:rPr>
          <w:rFonts w:ascii="Verdana" w:hAnsi="Verdana"/>
          <w:i/>
          <w:szCs w:val="20"/>
        </w:rPr>
        <w:t>Centrale uitgaven bedrijfsvoering</w:t>
      </w:r>
      <w:r w:rsidRPr="00B95CC8">
        <w:rPr>
          <w:rFonts w:ascii="Verdana" w:hAnsi="Verdana"/>
          <w:szCs w:val="20"/>
        </w:rPr>
        <w:t xml:space="preserve"> </w:t>
      </w:r>
    </w:p>
    <w:p w:rsidR="006F445A" w:rsidRPr="00724581" w:rsidRDefault="006F445A" w:rsidP="006F445A">
      <w:pPr>
        <w:pStyle w:val="Variabelegegevens"/>
        <w:keepLines w:val="0"/>
        <w:spacing w:line="240" w:lineRule="auto"/>
        <w:rPr>
          <w:rFonts w:ascii="Verdana" w:hAnsi="Verdana"/>
          <w:szCs w:val="20"/>
        </w:rPr>
      </w:pPr>
      <w:r w:rsidRPr="00B95CC8">
        <w:rPr>
          <w:rFonts w:ascii="Verdana" w:hAnsi="Verdana"/>
          <w:szCs w:val="20"/>
        </w:rPr>
        <w:t>Het betreft de interne verrekening van centraal betaalde uitgaven voor ICT en facilitaire dienstverlening ten behoeve van agentschappen in 2015. Zie ook materiële uitgaven.</w:t>
      </w:r>
      <w:r w:rsidRPr="00B95CC8">
        <w:rPr>
          <w:rFonts w:ascii="Verdana" w:hAnsi="Verdana"/>
          <w:b/>
          <w:szCs w:val="20"/>
        </w:rPr>
        <w:br w:type="page"/>
      </w:r>
      <w:r w:rsidRPr="00B95CC8">
        <w:rPr>
          <w:rFonts w:ascii="Verdana" w:hAnsi="Verdana"/>
          <w:b/>
          <w:szCs w:val="20"/>
        </w:rPr>
        <w:lastRenderedPageBreak/>
        <w:t>Artikel 99 Nominaal en Onvoorzien</w:t>
      </w:r>
    </w:p>
    <w:p w:rsidR="006F445A" w:rsidRPr="00B95CC8" w:rsidRDefault="006F445A" w:rsidP="006F445A">
      <w:pPr>
        <w:pStyle w:val="Variabelegegevens"/>
        <w:keepLines w:val="0"/>
        <w:spacing w:line="240" w:lineRule="auto"/>
        <w:rPr>
          <w:rFonts w:ascii="Verdana" w:hAnsi="Verdana"/>
          <w:szCs w:val="20"/>
        </w:rPr>
      </w:pPr>
    </w:p>
    <w:p w:rsidR="006F445A" w:rsidRDefault="006F445A" w:rsidP="006F445A">
      <w:pPr>
        <w:pStyle w:val="Variabelegegevens"/>
        <w:keepLines w:val="0"/>
        <w:spacing w:line="240" w:lineRule="auto"/>
        <w:rPr>
          <w:rFonts w:ascii="Verdana" w:hAnsi="Verdana"/>
          <w:szCs w:val="20"/>
        </w:rPr>
      </w:pPr>
      <w:r>
        <w:rPr>
          <w:rFonts w:ascii="Verdana" w:hAnsi="Verdana"/>
          <w:noProof/>
          <w:szCs w:val="20"/>
          <w:lang w:eastAsia="nl-NL"/>
        </w:rPr>
        <w:drawing>
          <wp:inline distT="0" distB="0" distL="0" distR="0" wp14:anchorId="1EE47E1D" wp14:editId="3EC6E92A">
            <wp:extent cx="5979160" cy="1200785"/>
            <wp:effectExtent l="19050" t="0" r="0" b="0"/>
            <wp:docPr id="21" name="Objec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25" cstate="print"/>
                    <a:srcRect/>
                    <a:stretch>
                      <a:fillRect/>
                    </a:stretch>
                  </pic:blipFill>
                  <pic:spPr bwMode="auto">
                    <a:xfrm>
                      <a:off x="0" y="0"/>
                      <a:ext cx="5979160" cy="1200785"/>
                    </a:xfrm>
                    <a:prstGeom prst="rect">
                      <a:avLst/>
                    </a:prstGeom>
                    <a:noFill/>
                    <a:ln w="9525">
                      <a:noFill/>
                      <a:miter lim="800000"/>
                      <a:headEnd/>
                      <a:tailEnd/>
                    </a:ln>
                  </pic:spPr>
                </pic:pic>
              </a:graphicData>
            </a:graphic>
          </wp:inline>
        </w:drawing>
      </w:r>
    </w:p>
    <w:p w:rsidR="006F445A" w:rsidRPr="00EF6C26" w:rsidRDefault="006F445A" w:rsidP="006F445A">
      <w:pPr>
        <w:pStyle w:val="Variabelegegevens"/>
        <w:keepLines w:val="0"/>
        <w:spacing w:line="240" w:lineRule="auto"/>
        <w:rPr>
          <w:rFonts w:ascii="Verdana" w:hAnsi="Verdana"/>
          <w:b/>
          <w:szCs w:val="20"/>
          <w:lang w:eastAsia="nl-NL"/>
        </w:rPr>
      </w:pPr>
      <w:r w:rsidRPr="00EF6C26">
        <w:rPr>
          <w:rFonts w:ascii="Verdana" w:hAnsi="Verdana"/>
          <w:b/>
          <w:szCs w:val="20"/>
          <w:lang w:eastAsia="nl-NL"/>
        </w:rPr>
        <w:t xml:space="preserve">Artikel </w:t>
      </w:r>
      <w:r w:rsidRPr="00FC04FD">
        <w:rPr>
          <w:rFonts w:ascii="Verdana" w:hAnsi="Verdana"/>
          <w:b/>
          <w:szCs w:val="20"/>
          <w:lang w:eastAsia="nl-NL"/>
        </w:rPr>
        <w:t>99 Nominaal en Onvoorzien</w:t>
      </w:r>
    </w:p>
    <w:p w:rsidR="006F445A" w:rsidRDefault="006F445A" w:rsidP="006F445A">
      <w:pPr>
        <w:pStyle w:val="Variabelegegevens"/>
        <w:rPr>
          <w:rFonts w:ascii="Verdana" w:hAnsi="Verdana"/>
          <w:szCs w:val="20"/>
          <w:lang w:eastAsia="nl-NL"/>
        </w:rPr>
      </w:pPr>
    </w:p>
    <w:p w:rsidR="006F445A" w:rsidRPr="00310F72" w:rsidRDefault="006F445A" w:rsidP="006F445A">
      <w:pPr>
        <w:pStyle w:val="Variabelegegevens"/>
        <w:rPr>
          <w:rFonts w:ascii="Verdana" w:hAnsi="Verdana"/>
          <w:i/>
          <w:szCs w:val="20"/>
          <w:lang w:eastAsia="nl-NL"/>
        </w:rPr>
      </w:pPr>
      <w:r w:rsidRPr="00310F72">
        <w:rPr>
          <w:rFonts w:ascii="Verdana" w:hAnsi="Verdana"/>
          <w:i/>
          <w:szCs w:val="20"/>
          <w:lang w:eastAsia="nl-NL"/>
        </w:rPr>
        <w:t>Eindejaarsmarge en loon- en prijsbijstelling</w:t>
      </w:r>
    </w:p>
    <w:p w:rsidR="006F445A" w:rsidRPr="004F3B93" w:rsidRDefault="006F445A" w:rsidP="006F445A">
      <w:pPr>
        <w:pStyle w:val="Variabelegegevens"/>
        <w:rPr>
          <w:rFonts w:ascii="Verdana" w:hAnsi="Verdana"/>
        </w:rPr>
      </w:pPr>
      <w:r>
        <w:rPr>
          <w:rFonts w:ascii="Verdana" w:hAnsi="Verdana"/>
          <w:szCs w:val="20"/>
          <w:lang w:eastAsia="nl-NL"/>
        </w:rPr>
        <w:t>H</w:t>
      </w:r>
      <w:r w:rsidRPr="00B95CC8">
        <w:rPr>
          <w:rFonts w:ascii="Verdana" w:hAnsi="Verdana"/>
          <w:szCs w:val="20"/>
          <w:lang w:eastAsia="nl-NL"/>
        </w:rPr>
        <w:t xml:space="preserve">et voordeling saldo </w:t>
      </w:r>
      <w:r>
        <w:rPr>
          <w:rFonts w:ascii="Verdana" w:hAnsi="Verdana"/>
          <w:szCs w:val="20"/>
          <w:lang w:eastAsia="nl-NL"/>
        </w:rPr>
        <w:t xml:space="preserve">wordt </w:t>
      </w:r>
      <w:r w:rsidRPr="00B95CC8">
        <w:rPr>
          <w:rFonts w:ascii="Verdana" w:hAnsi="Verdana"/>
          <w:szCs w:val="20"/>
        </w:rPr>
        <w:t>via de eindejaarsmarge aan de begroting van IenM toegevoegd op Hoofdstuk XII</w:t>
      </w:r>
      <w:r w:rsidRPr="00310F72">
        <w:rPr>
          <w:rFonts w:ascii="Verdana" w:hAnsi="Verdana"/>
        </w:rPr>
        <w:t xml:space="preserve">, waarvan € 23,2 miljoen in het jaar 2015 en € 2,4 miljoen in het jaar 2017. </w:t>
      </w:r>
      <w:r>
        <w:rPr>
          <w:rFonts w:ascii="Verdana" w:hAnsi="Verdana"/>
          <w:szCs w:val="20"/>
        </w:rPr>
        <w:t>Daarnaast wordt d</w:t>
      </w:r>
      <w:r>
        <w:rPr>
          <w:rFonts w:ascii="Verdana" w:hAnsi="Verdana"/>
        </w:rPr>
        <w:t>e</w:t>
      </w:r>
      <w:r w:rsidRPr="004F3B93">
        <w:rPr>
          <w:rFonts w:ascii="Verdana" w:hAnsi="Verdana"/>
        </w:rPr>
        <w:t xml:space="preserve"> loon- en</w:t>
      </w:r>
      <w:r>
        <w:rPr>
          <w:rFonts w:ascii="Verdana" w:hAnsi="Verdana"/>
        </w:rPr>
        <w:t xml:space="preserve"> </w:t>
      </w:r>
      <w:r w:rsidRPr="004F3B93">
        <w:rPr>
          <w:rFonts w:ascii="Verdana" w:hAnsi="Verdana"/>
        </w:rPr>
        <w:t>prijsbijstelling</w:t>
      </w:r>
      <w:r>
        <w:rPr>
          <w:rFonts w:ascii="Verdana" w:hAnsi="Verdana"/>
        </w:rPr>
        <w:t xml:space="preserve"> van het jaar 2015</w:t>
      </w:r>
      <w:r w:rsidRPr="004F3B93">
        <w:rPr>
          <w:rFonts w:ascii="Verdana" w:hAnsi="Verdana"/>
        </w:rPr>
        <w:t xml:space="preserve"> </w:t>
      </w:r>
      <w:r>
        <w:rPr>
          <w:rFonts w:ascii="Verdana" w:hAnsi="Verdana"/>
        </w:rPr>
        <w:t>voor alle IenM begrotingen</w:t>
      </w:r>
      <w:r w:rsidRPr="004F3B93">
        <w:rPr>
          <w:rFonts w:ascii="Verdana" w:hAnsi="Verdana"/>
        </w:rPr>
        <w:t xml:space="preserve"> </w:t>
      </w:r>
      <w:r>
        <w:rPr>
          <w:rFonts w:ascii="Verdana" w:hAnsi="Verdana"/>
        </w:rPr>
        <w:t>bij 1</w:t>
      </w:r>
      <w:r w:rsidRPr="00F32866">
        <w:rPr>
          <w:rFonts w:ascii="Verdana" w:hAnsi="Verdana"/>
          <w:vertAlign w:val="superscript"/>
        </w:rPr>
        <w:t>e</w:t>
      </w:r>
      <w:r>
        <w:rPr>
          <w:rFonts w:ascii="Verdana" w:hAnsi="Verdana"/>
        </w:rPr>
        <w:t xml:space="preserve"> suppletoire </w:t>
      </w:r>
      <w:r w:rsidRPr="004F3B93">
        <w:rPr>
          <w:rFonts w:ascii="Verdana" w:hAnsi="Verdana"/>
        </w:rPr>
        <w:t xml:space="preserve">technisch aan Hoofdstuk XII op artikel 99 </w:t>
      </w:r>
      <w:r>
        <w:rPr>
          <w:rFonts w:ascii="Verdana" w:hAnsi="Verdana"/>
        </w:rPr>
        <w:t xml:space="preserve">Nominaal en Onvoorzien </w:t>
      </w:r>
      <w:r w:rsidRPr="004F3B93">
        <w:rPr>
          <w:rFonts w:ascii="Verdana" w:hAnsi="Verdana"/>
        </w:rPr>
        <w:t>toegevoegd en zal</w:t>
      </w:r>
      <w:r>
        <w:rPr>
          <w:rFonts w:ascii="Verdana" w:hAnsi="Verdana"/>
        </w:rPr>
        <w:t xml:space="preserve"> dit</w:t>
      </w:r>
      <w:r w:rsidRPr="004F3B93">
        <w:rPr>
          <w:rFonts w:ascii="Verdana" w:hAnsi="Verdana"/>
        </w:rPr>
        <w:t xml:space="preserve"> bij Ontwerpbegroting 2016 binnen de IenM begroting worden toebedeeld.</w:t>
      </w:r>
    </w:p>
    <w:p w:rsidR="006F445A" w:rsidRDefault="006F445A" w:rsidP="006F445A">
      <w:pPr>
        <w:pStyle w:val="Variabelegegevens"/>
        <w:keepLines w:val="0"/>
        <w:spacing w:line="240" w:lineRule="auto"/>
        <w:rPr>
          <w:rFonts w:ascii="Verdana" w:hAnsi="Verdana"/>
          <w:szCs w:val="20"/>
        </w:rPr>
      </w:pPr>
    </w:p>
    <w:p w:rsidR="006F445A" w:rsidRPr="00D72054" w:rsidRDefault="006F445A" w:rsidP="006F445A">
      <w:pPr>
        <w:pStyle w:val="Variabelegegevens"/>
        <w:keepLines w:val="0"/>
        <w:spacing w:line="240" w:lineRule="auto"/>
        <w:rPr>
          <w:rFonts w:ascii="Verdana" w:hAnsi="Verdana"/>
          <w:i/>
          <w:szCs w:val="20"/>
        </w:rPr>
      </w:pPr>
      <w:r w:rsidRPr="00D72054">
        <w:rPr>
          <w:rFonts w:ascii="Verdana" w:hAnsi="Verdana"/>
          <w:i/>
          <w:szCs w:val="20"/>
        </w:rPr>
        <w:t>Generieke Digitale Infrastructuur (GDI)</w:t>
      </w:r>
    </w:p>
    <w:p w:rsidR="006F445A" w:rsidRDefault="006F445A" w:rsidP="006F445A">
      <w:pPr>
        <w:pStyle w:val="Variabelegegevens"/>
        <w:keepLines w:val="0"/>
        <w:spacing w:line="240" w:lineRule="auto"/>
        <w:rPr>
          <w:rFonts w:ascii="Verdana" w:hAnsi="Verdana"/>
        </w:rPr>
      </w:pPr>
      <w:r w:rsidRPr="00D72054">
        <w:rPr>
          <w:rFonts w:ascii="Verdana" w:hAnsi="Verdana" w:cstheme="minorHAnsi"/>
        </w:rPr>
        <w:t>De afgelopen jaren is de druk op het gebruik van GDI voorzieningen, de instandhouding en doorontwikkeling daarvan sterk toegenomen. Hierdoor zijn er tekorten ontstaan in de financiering. Onder regie en organisatie van de Digicommissaris heeft interbestuurlijke besluitvorming en versterkte governance plaatsgevonden met als doel het ontwikkelen van een solide en toekomstbestendige digitale overheid.</w:t>
      </w:r>
      <w:r>
        <w:rPr>
          <w:rFonts w:ascii="Verdana" w:hAnsi="Verdana" w:cstheme="minorHAnsi"/>
        </w:rPr>
        <w:t xml:space="preserve"> </w:t>
      </w:r>
      <w:r w:rsidRPr="00D72054">
        <w:rPr>
          <w:rFonts w:ascii="Verdana" w:hAnsi="Verdana" w:cstheme="minorHAnsi"/>
        </w:rPr>
        <w:t>De bijdrage voor GDI wordt bij 1</w:t>
      </w:r>
      <w:r w:rsidRPr="00D72054">
        <w:rPr>
          <w:rFonts w:ascii="Verdana" w:hAnsi="Verdana" w:cstheme="minorHAnsi"/>
          <w:vertAlign w:val="superscript"/>
        </w:rPr>
        <w:t>e</w:t>
      </w:r>
      <w:r w:rsidRPr="00D72054">
        <w:rPr>
          <w:rFonts w:ascii="Verdana" w:hAnsi="Verdana" w:cstheme="minorHAnsi"/>
        </w:rPr>
        <w:t xml:space="preserve"> suppletoire </w:t>
      </w:r>
      <w:r w:rsidRPr="00D72054">
        <w:rPr>
          <w:rFonts w:ascii="Verdana" w:hAnsi="Verdana"/>
        </w:rPr>
        <w:t>voorlopig technisch van artikel 99 afgeboekt en zal bij Ontwerpbegroting 2016 binnen de IenM begroting worden verrekend.</w:t>
      </w:r>
    </w:p>
    <w:p w:rsidR="006F445A" w:rsidRDefault="006F445A" w:rsidP="006F445A">
      <w:pPr>
        <w:rPr>
          <w:rFonts w:ascii="Verdana" w:hAnsi="Verdana" w:cstheme="minorHAnsi"/>
          <w:highlight w:val="yellow"/>
        </w:rPr>
      </w:pPr>
    </w:p>
    <w:p w:rsidR="006F445A" w:rsidRPr="00310F72" w:rsidRDefault="006F445A" w:rsidP="006F445A">
      <w:pPr>
        <w:pStyle w:val="Variabelegegevens"/>
        <w:keepLines w:val="0"/>
        <w:spacing w:line="240" w:lineRule="auto"/>
        <w:rPr>
          <w:rFonts w:ascii="Verdana" w:hAnsi="Verdana"/>
          <w:i/>
          <w:szCs w:val="20"/>
        </w:rPr>
      </w:pPr>
      <w:r w:rsidRPr="00310F72">
        <w:rPr>
          <w:rFonts w:ascii="Verdana" w:hAnsi="Verdana"/>
          <w:i/>
          <w:szCs w:val="20"/>
        </w:rPr>
        <w:t xml:space="preserve">Versterken eigenaarsrol </w:t>
      </w:r>
    </w:p>
    <w:p w:rsidR="006F445A" w:rsidRPr="00B95CC8" w:rsidRDefault="006F445A" w:rsidP="006F445A">
      <w:pPr>
        <w:pStyle w:val="Variabelegegevens"/>
        <w:keepLines w:val="0"/>
        <w:spacing w:line="240" w:lineRule="auto"/>
        <w:rPr>
          <w:rFonts w:ascii="Verdana" w:hAnsi="Verdana"/>
          <w:szCs w:val="20"/>
        </w:rPr>
      </w:pPr>
      <w:r>
        <w:rPr>
          <w:rFonts w:ascii="Verdana" w:hAnsi="Verdana"/>
          <w:szCs w:val="20"/>
        </w:rPr>
        <w:t>T</w:t>
      </w:r>
      <w:r w:rsidRPr="00B95CC8">
        <w:rPr>
          <w:rFonts w:ascii="Verdana" w:hAnsi="Verdana"/>
          <w:szCs w:val="20"/>
        </w:rPr>
        <w:t>en behoeve van het versterken van de eigenaarsrol in het ka</w:t>
      </w:r>
      <w:r>
        <w:rPr>
          <w:rFonts w:ascii="Verdana" w:hAnsi="Verdana"/>
          <w:szCs w:val="20"/>
        </w:rPr>
        <w:t xml:space="preserve">der van audits, zoals BOV-Spoor, </w:t>
      </w:r>
      <w:r w:rsidRPr="00B95CC8">
        <w:rPr>
          <w:rFonts w:ascii="Verdana" w:hAnsi="Verdana"/>
          <w:szCs w:val="20"/>
        </w:rPr>
        <w:t xml:space="preserve">wordt er € 1,1 </w:t>
      </w:r>
      <w:r>
        <w:rPr>
          <w:rFonts w:ascii="Verdana" w:hAnsi="Verdana"/>
          <w:szCs w:val="20"/>
        </w:rPr>
        <w:t>miljoen</w:t>
      </w:r>
      <w:r w:rsidRPr="00B95CC8">
        <w:rPr>
          <w:rFonts w:ascii="Verdana" w:hAnsi="Verdana"/>
          <w:szCs w:val="20"/>
        </w:rPr>
        <w:t xml:space="preserve"> van artikel 99 Nominaal en </w:t>
      </w:r>
      <w:r>
        <w:rPr>
          <w:rFonts w:ascii="Verdana" w:hAnsi="Verdana"/>
          <w:szCs w:val="20"/>
        </w:rPr>
        <w:t>Onv</w:t>
      </w:r>
      <w:r w:rsidRPr="00B95CC8">
        <w:rPr>
          <w:rFonts w:ascii="Verdana" w:hAnsi="Verdana"/>
          <w:szCs w:val="20"/>
        </w:rPr>
        <w:t>oorzien overgeboekt naar art</w:t>
      </w:r>
      <w:r>
        <w:rPr>
          <w:rFonts w:ascii="Verdana" w:hAnsi="Verdana"/>
          <w:szCs w:val="20"/>
        </w:rPr>
        <w:t>ikel</w:t>
      </w:r>
      <w:r w:rsidRPr="00B95CC8">
        <w:rPr>
          <w:rFonts w:ascii="Verdana" w:hAnsi="Verdana"/>
          <w:szCs w:val="20"/>
        </w:rPr>
        <w:t xml:space="preserve"> 97 Algemeen departement</w:t>
      </w:r>
      <w:r>
        <w:rPr>
          <w:rFonts w:ascii="Verdana" w:hAnsi="Verdana"/>
          <w:szCs w:val="20"/>
        </w:rPr>
        <w:t>.</w:t>
      </w:r>
    </w:p>
    <w:p w:rsidR="006F445A" w:rsidRDefault="006F445A" w:rsidP="006F445A">
      <w:pPr>
        <w:pStyle w:val="Variabelegegevens"/>
        <w:keepLines w:val="0"/>
        <w:spacing w:line="240" w:lineRule="auto"/>
        <w:rPr>
          <w:rFonts w:ascii="Verdana" w:hAnsi="Verdana"/>
          <w:szCs w:val="20"/>
        </w:rPr>
      </w:pPr>
    </w:p>
    <w:p w:rsidR="006F445A" w:rsidRPr="00B95CC8" w:rsidRDefault="006F445A" w:rsidP="006F445A">
      <w:pPr>
        <w:pStyle w:val="Variabelegegevens"/>
        <w:keepLines w:val="0"/>
        <w:spacing w:line="240" w:lineRule="auto"/>
        <w:rPr>
          <w:rFonts w:ascii="Verdana" w:hAnsi="Verdana"/>
          <w:b/>
          <w:szCs w:val="20"/>
        </w:rPr>
      </w:pPr>
      <w:r w:rsidRPr="00B95CC8">
        <w:rPr>
          <w:rFonts w:ascii="Verdana" w:hAnsi="Verdana"/>
          <w:b/>
          <w:szCs w:val="20"/>
        </w:rPr>
        <w:t>Ontvangsten</w:t>
      </w:r>
      <w:r>
        <w:rPr>
          <w:rFonts w:ascii="Verdana" w:hAnsi="Verdana"/>
          <w:b/>
          <w:szCs w:val="20"/>
        </w:rPr>
        <w:t xml:space="preserve"> </w:t>
      </w:r>
    </w:p>
    <w:p w:rsidR="006F445A" w:rsidRPr="00B95CC8" w:rsidRDefault="006F445A" w:rsidP="006F445A">
      <w:pPr>
        <w:pStyle w:val="Variabelegegevens"/>
        <w:rPr>
          <w:rFonts w:ascii="Verdana" w:hAnsi="Verdana"/>
          <w:szCs w:val="20"/>
        </w:rPr>
      </w:pPr>
      <w:r w:rsidRPr="00B95CC8">
        <w:rPr>
          <w:rFonts w:ascii="Verdana" w:hAnsi="Verdana"/>
          <w:szCs w:val="20"/>
        </w:rPr>
        <w:t>Het eigen vermogen van een baten-lastenagentschap is op basis van artikel 27, lid</w:t>
      </w:r>
    </w:p>
    <w:p w:rsidR="006F445A" w:rsidRPr="00B95CC8" w:rsidRDefault="006F445A" w:rsidP="006F445A">
      <w:pPr>
        <w:pStyle w:val="Variabelegegevens"/>
        <w:rPr>
          <w:rFonts w:ascii="Verdana" w:hAnsi="Verdana"/>
          <w:szCs w:val="20"/>
        </w:rPr>
      </w:pPr>
      <w:r w:rsidRPr="00B95CC8">
        <w:rPr>
          <w:rFonts w:ascii="Verdana" w:hAnsi="Verdana"/>
          <w:szCs w:val="20"/>
        </w:rPr>
        <w:t>4c van de Regeling agentschappen gebonden aan een maximumomvang van 5%</w:t>
      </w:r>
    </w:p>
    <w:p w:rsidR="006F445A" w:rsidRPr="00B95CC8" w:rsidRDefault="006F445A" w:rsidP="006F445A">
      <w:pPr>
        <w:pStyle w:val="Variabelegegevens"/>
        <w:rPr>
          <w:rFonts w:ascii="Verdana" w:hAnsi="Verdana"/>
          <w:szCs w:val="20"/>
        </w:rPr>
      </w:pPr>
      <w:r w:rsidRPr="00B95CC8">
        <w:rPr>
          <w:rFonts w:ascii="Verdana" w:hAnsi="Verdana"/>
          <w:szCs w:val="20"/>
        </w:rPr>
        <w:t>van de gemiddelde jaaromzet, berekend over de laatste drie jaar. Conform de Regeling</w:t>
      </w:r>
    </w:p>
    <w:p w:rsidR="006F445A" w:rsidRPr="00B95CC8" w:rsidRDefault="006F445A" w:rsidP="006F445A">
      <w:pPr>
        <w:pStyle w:val="Variabelegegevens"/>
        <w:rPr>
          <w:rFonts w:ascii="Verdana" w:hAnsi="Verdana"/>
          <w:szCs w:val="20"/>
        </w:rPr>
      </w:pPr>
      <w:r w:rsidRPr="00B95CC8">
        <w:rPr>
          <w:rFonts w:ascii="Verdana" w:hAnsi="Verdana"/>
          <w:szCs w:val="20"/>
        </w:rPr>
        <w:t>agentschappen zal het surplus aan eigen vermogen ten gunste komen van de</w:t>
      </w:r>
    </w:p>
    <w:p w:rsidR="006F445A" w:rsidRPr="00B95CC8" w:rsidRDefault="006F445A" w:rsidP="006F445A">
      <w:pPr>
        <w:pStyle w:val="Variabelegegevens"/>
        <w:keepLines w:val="0"/>
        <w:spacing w:line="240" w:lineRule="auto"/>
        <w:rPr>
          <w:rFonts w:ascii="Verdana" w:hAnsi="Verdana"/>
          <w:szCs w:val="20"/>
        </w:rPr>
      </w:pPr>
      <w:r w:rsidRPr="00B95CC8">
        <w:rPr>
          <w:rFonts w:ascii="Verdana" w:hAnsi="Verdana"/>
          <w:szCs w:val="20"/>
        </w:rPr>
        <w:t xml:space="preserve">IenM begroting (€ 1,4 </w:t>
      </w:r>
      <w:r>
        <w:rPr>
          <w:rFonts w:ascii="Verdana" w:hAnsi="Verdana"/>
          <w:szCs w:val="20"/>
        </w:rPr>
        <w:t>miljoen</w:t>
      </w:r>
      <w:r w:rsidRPr="00B95CC8">
        <w:rPr>
          <w:rFonts w:ascii="Verdana" w:hAnsi="Verdana"/>
          <w:szCs w:val="20"/>
        </w:rPr>
        <w:t>).</w:t>
      </w:r>
      <w:r w:rsidRPr="006744FB">
        <w:rPr>
          <w:rFonts w:ascii="Verdana" w:hAnsi="Verdana"/>
          <w:iCs/>
          <w:szCs w:val="20"/>
          <w:lang w:eastAsia="nl-NL"/>
        </w:rPr>
        <w:t xml:space="preserve"> </w:t>
      </w:r>
      <w:r w:rsidRPr="0025081F">
        <w:rPr>
          <w:rFonts w:ascii="Verdana" w:hAnsi="Verdana"/>
          <w:iCs/>
          <w:szCs w:val="20"/>
          <w:lang w:eastAsia="nl-NL"/>
        </w:rPr>
        <w:t>Dit surplus is opgebouwd uit het surplus van IL</w:t>
      </w:r>
      <w:r>
        <w:rPr>
          <w:rFonts w:ascii="Verdana" w:hAnsi="Verdana"/>
          <w:iCs/>
          <w:szCs w:val="20"/>
          <w:lang w:eastAsia="nl-NL"/>
        </w:rPr>
        <w:t>T (</w:t>
      </w:r>
      <w:r w:rsidRPr="0025081F">
        <w:rPr>
          <w:rFonts w:ascii="Verdana" w:hAnsi="Verdana"/>
          <w:iCs/>
          <w:szCs w:val="20"/>
          <w:lang w:eastAsia="nl-NL"/>
        </w:rPr>
        <w:t>€ 0,5 mln) en NEa (€ 0,9 miljoen</w:t>
      </w:r>
      <w:r>
        <w:rPr>
          <w:rFonts w:ascii="Verdana" w:hAnsi="Verdana"/>
          <w:iCs/>
          <w:szCs w:val="20"/>
          <w:lang w:eastAsia="nl-NL"/>
        </w:rPr>
        <w:t>).</w:t>
      </w:r>
    </w:p>
    <w:p w:rsidR="006F445A" w:rsidRDefault="006F445A" w:rsidP="006F445A">
      <w:pPr>
        <w:pStyle w:val="Variabelegegevens"/>
        <w:keepLines w:val="0"/>
        <w:spacing w:line="240" w:lineRule="auto"/>
        <w:rPr>
          <w:rFonts w:ascii="Verdana" w:hAnsi="Verdana"/>
          <w:szCs w:val="20"/>
        </w:rPr>
      </w:pPr>
    </w:p>
    <w:p w:rsidR="006F445A" w:rsidRDefault="006F445A" w:rsidP="006F445A">
      <w:pPr>
        <w:pStyle w:val="Variabelegegevens"/>
        <w:keepLines w:val="0"/>
        <w:spacing w:line="240" w:lineRule="auto"/>
        <w:rPr>
          <w:rFonts w:ascii="Verdana" w:hAnsi="Verdana"/>
          <w:b/>
          <w:szCs w:val="20"/>
        </w:rPr>
      </w:pPr>
      <w:r w:rsidRPr="00B95CC8">
        <w:rPr>
          <w:rFonts w:ascii="Verdana" w:hAnsi="Verdana"/>
          <w:szCs w:val="20"/>
        </w:rPr>
        <w:br w:type="page"/>
      </w:r>
      <w:r w:rsidRPr="00B95CC8">
        <w:rPr>
          <w:rFonts w:ascii="Verdana" w:hAnsi="Verdana"/>
          <w:b/>
          <w:szCs w:val="20"/>
        </w:rPr>
        <w:lastRenderedPageBreak/>
        <w:t xml:space="preserve">2.4 </w:t>
      </w:r>
      <w:r>
        <w:rPr>
          <w:rFonts w:ascii="Verdana" w:hAnsi="Verdana"/>
          <w:b/>
          <w:szCs w:val="20"/>
        </w:rPr>
        <w:t>De a</w:t>
      </w:r>
      <w:r w:rsidRPr="00B95CC8">
        <w:rPr>
          <w:rFonts w:ascii="Verdana" w:hAnsi="Verdana"/>
          <w:b/>
          <w:szCs w:val="20"/>
        </w:rPr>
        <w:t>gentschappen</w:t>
      </w:r>
    </w:p>
    <w:p w:rsidR="006F445A" w:rsidRPr="00B95CC8" w:rsidRDefault="006F445A" w:rsidP="006F445A">
      <w:pPr>
        <w:pStyle w:val="Variabelegegevens"/>
        <w:keepLines w:val="0"/>
        <w:spacing w:line="240" w:lineRule="auto"/>
        <w:rPr>
          <w:rFonts w:ascii="Verdana" w:hAnsi="Verdana"/>
          <w:b/>
          <w:szCs w:val="20"/>
        </w:rPr>
      </w:pPr>
    </w:p>
    <w:p w:rsidR="006F445A" w:rsidRDefault="006F445A" w:rsidP="006F445A">
      <w:r>
        <w:t>Conform de Rijksbegrotingvoorschriften worden hieronder de exploitatie- en kasstroomoverzichten opgenomen van agentschappen waarbij sprake is van cumulatieve mutaties (in totaal) groter dan 5% van de oorspronkelijk vastgestelde begroting of cumulatieve mutaties (in totaal) groter dan € 20 mln. ten opzichte van de oorspronkelijk vastgestelde begroting.</w:t>
      </w: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r>
        <w:rPr>
          <w:rFonts w:ascii="Verdana" w:hAnsi="Verdana"/>
          <w:b/>
          <w:bCs/>
        </w:rPr>
        <w:t>Rijkswaterstaat</w:t>
      </w:r>
    </w:p>
    <w:p w:rsidR="006F445A" w:rsidRDefault="006F445A" w:rsidP="006F445A">
      <w:pPr>
        <w:pStyle w:val="Variabelegegevens"/>
        <w:spacing w:line="240" w:lineRule="auto"/>
        <w:rPr>
          <w:rFonts w:ascii="Verdana" w:hAnsi="Verdana"/>
          <w:b/>
          <w:bCs/>
        </w:rPr>
      </w:pPr>
    </w:p>
    <w:tbl>
      <w:tblPr>
        <w:tblW w:w="8680" w:type="dxa"/>
        <w:tblInd w:w="55" w:type="dxa"/>
        <w:tblCellMar>
          <w:left w:w="70" w:type="dxa"/>
          <w:right w:w="70" w:type="dxa"/>
        </w:tblCellMar>
        <w:tblLook w:val="04A0" w:firstRow="1" w:lastRow="0" w:firstColumn="1" w:lastColumn="0" w:noHBand="0" w:noVBand="1"/>
      </w:tblPr>
      <w:tblGrid>
        <w:gridCol w:w="3580"/>
        <w:gridCol w:w="1700"/>
        <w:gridCol w:w="1740"/>
        <w:gridCol w:w="1660"/>
      </w:tblGrid>
      <w:tr w:rsidR="006F445A" w:rsidRPr="004A49EF" w:rsidTr="007919F3">
        <w:trPr>
          <w:trHeight w:val="465"/>
        </w:trPr>
        <w:tc>
          <w:tcPr>
            <w:tcW w:w="3580" w:type="dxa"/>
            <w:tcBorders>
              <w:top w:val="single" w:sz="8" w:space="0" w:color="auto"/>
              <w:left w:val="single" w:sz="8" w:space="0" w:color="auto"/>
              <w:bottom w:val="nil"/>
              <w:right w:val="single" w:sz="8" w:space="0" w:color="auto"/>
            </w:tcBorders>
            <w:shd w:val="clear" w:color="000000" w:fill="C0C0C0"/>
            <w:hideMark/>
          </w:tcPr>
          <w:p w:rsidR="006F445A" w:rsidRPr="004A49EF" w:rsidRDefault="006F445A" w:rsidP="007919F3">
            <w:pP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Exploitatieoverzicht Baten-lastenagentschap  RWS</w:t>
            </w:r>
          </w:p>
        </w:tc>
        <w:tc>
          <w:tcPr>
            <w:tcW w:w="1700" w:type="dxa"/>
            <w:tcBorders>
              <w:top w:val="single" w:sz="8" w:space="0" w:color="auto"/>
              <w:left w:val="nil"/>
              <w:bottom w:val="nil"/>
              <w:right w:val="single" w:sz="8" w:space="0" w:color="auto"/>
            </w:tcBorders>
            <w:shd w:val="clear" w:color="000000" w:fill="C0C0C0"/>
            <w:noWrap/>
            <w:hideMark/>
          </w:tcPr>
          <w:p w:rsidR="006F445A" w:rsidRPr="004A49EF" w:rsidRDefault="006F445A" w:rsidP="007919F3">
            <w:pPr>
              <w:jc w:val="cente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1</w:t>
            </w:r>
          </w:p>
        </w:tc>
        <w:tc>
          <w:tcPr>
            <w:tcW w:w="1740" w:type="dxa"/>
            <w:tcBorders>
              <w:top w:val="single" w:sz="8" w:space="0" w:color="auto"/>
              <w:left w:val="nil"/>
              <w:bottom w:val="nil"/>
              <w:right w:val="single" w:sz="8" w:space="0" w:color="auto"/>
            </w:tcBorders>
            <w:shd w:val="clear" w:color="000000" w:fill="C0C0C0"/>
            <w:noWrap/>
            <w:hideMark/>
          </w:tcPr>
          <w:p w:rsidR="006F445A" w:rsidRPr="004A49EF" w:rsidRDefault="006F445A" w:rsidP="007919F3">
            <w:pPr>
              <w:jc w:val="cente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2</w:t>
            </w:r>
          </w:p>
        </w:tc>
        <w:tc>
          <w:tcPr>
            <w:tcW w:w="1660" w:type="dxa"/>
            <w:tcBorders>
              <w:top w:val="single" w:sz="8" w:space="0" w:color="auto"/>
              <w:left w:val="nil"/>
              <w:bottom w:val="nil"/>
              <w:right w:val="single" w:sz="8" w:space="0" w:color="auto"/>
            </w:tcBorders>
            <w:shd w:val="clear" w:color="000000" w:fill="C0C0C0"/>
            <w:noWrap/>
            <w:hideMark/>
          </w:tcPr>
          <w:p w:rsidR="006F445A" w:rsidRPr="004A49EF" w:rsidRDefault="006F445A" w:rsidP="007919F3">
            <w:pPr>
              <w:jc w:val="cente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3 = (1) +(2)</w:t>
            </w:r>
          </w:p>
        </w:tc>
      </w:tr>
      <w:tr w:rsidR="006F445A" w:rsidRPr="004A49EF" w:rsidTr="007919F3">
        <w:trPr>
          <w:trHeight w:val="900"/>
        </w:trPr>
        <w:tc>
          <w:tcPr>
            <w:tcW w:w="3580" w:type="dxa"/>
            <w:tcBorders>
              <w:top w:val="single" w:sz="8" w:space="0" w:color="auto"/>
              <w:left w:val="single" w:sz="8" w:space="0" w:color="auto"/>
              <w:bottom w:val="nil"/>
              <w:right w:val="single" w:sz="8" w:space="0" w:color="auto"/>
            </w:tcBorders>
            <w:shd w:val="clear" w:color="000000" w:fill="C0C0C0"/>
            <w:noWrap/>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Totaal</w:t>
            </w:r>
          </w:p>
        </w:tc>
        <w:tc>
          <w:tcPr>
            <w:tcW w:w="1700" w:type="dxa"/>
            <w:tcBorders>
              <w:top w:val="single" w:sz="8" w:space="0" w:color="auto"/>
              <w:left w:val="nil"/>
              <w:bottom w:val="nil"/>
              <w:right w:val="single" w:sz="8"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Oorspronkelijk vastgestelde begroting</w:t>
            </w:r>
          </w:p>
        </w:tc>
        <w:tc>
          <w:tcPr>
            <w:tcW w:w="1740" w:type="dxa"/>
            <w:tcBorders>
              <w:top w:val="single" w:sz="8" w:space="0" w:color="auto"/>
              <w:left w:val="nil"/>
              <w:bottom w:val="nil"/>
              <w:right w:val="single" w:sz="8"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Mutaties (+of-) 1e suppletoire begroting</w:t>
            </w:r>
          </w:p>
        </w:tc>
        <w:tc>
          <w:tcPr>
            <w:tcW w:w="1660" w:type="dxa"/>
            <w:tcBorders>
              <w:top w:val="single" w:sz="8" w:space="0" w:color="auto"/>
              <w:left w:val="nil"/>
              <w:bottom w:val="nil"/>
              <w:right w:val="single" w:sz="8"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stand 1e suppletoire begroting</w:t>
            </w:r>
          </w:p>
        </w:tc>
      </w:tr>
      <w:tr w:rsidR="006F445A" w:rsidRPr="004A49EF" w:rsidTr="007919F3">
        <w:trPr>
          <w:trHeight w:val="225"/>
        </w:trPr>
        <w:tc>
          <w:tcPr>
            <w:tcW w:w="35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Baten</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6F445A" w:rsidRPr="004A49EF" w:rsidRDefault="006F445A" w:rsidP="007919F3">
            <w:pP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 </w:t>
            </w:r>
          </w:p>
        </w:tc>
        <w:tc>
          <w:tcPr>
            <w:tcW w:w="1740" w:type="dxa"/>
            <w:tcBorders>
              <w:top w:val="single" w:sz="4" w:space="0" w:color="auto"/>
              <w:left w:val="nil"/>
              <w:bottom w:val="single" w:sz="4" w:space="0" w:color="auto"/>
              <w:right w:val="single" w:sz="4" w:space="0" w:color="auto"/>
            </w:tcBorders>
            <w:shd w:val="clear" w:color="000000" w:fill="FFFFFF"/>
            <w:noWrap/>
            <w:vAlign w:val="bottom"/>
            <w:hideMark/>
          </w:tcPr>
          <w:p w:rsidR="006F445A" w:rsidRPr="004A49EF" w:rsidRDefault="006F445A" w:rsidP="007919F3">
            <w:pP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 </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6F445A" w:rsidRPr="004A49EF" w:rsidRDefault="006F445A" w:rsidP="007919F3">
            <w:pP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Omzet IenM</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2.119.836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21.892-</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2.097.944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Omzet nutv werkzaamheden</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276.318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276.318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Omzet overige departementen</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29.718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29.718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Omzet derden</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136.886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136.886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Rentebaten</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800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800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Bijzondere baten</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10.000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10.000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Totaal baten</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 xml:space="preserve">         2.297.240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 xml:space="preserve">             254.426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 xml:space="preserve">         2.551.666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 </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Lasten</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Apparaatskosten</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965.478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11.666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977.144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-Personele kosten</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725.185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8.743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733.928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 waarvan eigen personeel</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673.243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8.743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681.986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 waarvan externe inhuur</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51.942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51.942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.-Materiële kosten</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240.293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2.923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243.216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 waarvan apparaat ICT</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45.000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45.000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 waarvan bijdrage aan SSO’s</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56.000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56.000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Onderhoud</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1.274.039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242.760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1.516.799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Rentelasten</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8.748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8.748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Afschrijvingskosten</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39.975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39.975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-materieel</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38.000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38.000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*waarvan apparaat ICT</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6.000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6.000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-immaterieel</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1.975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1.975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Overige lasten</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-dotatie voorziening</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   </w:t>
            </w:r>
          </w:p>
        </w:tc>
      </w:tr>
      <w:tr w:rsidR="006F445A" w:rsidRPr="004A49EF" w:rsidTr="007919F3">
        <w:trPr>
          <w:trHeight w:val="225"/>
        </w:trPr>
        <w:tc>
          <w:tcPr>
            <w:tcW w:w="3580" w:type="dxa"/>
            <w:tcBorders>
              <w:top w:val="nil"/>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-bijzondere lasten</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   </w:t>
            </w:r>
          </w:p>
        </w:tc>
      </w:tr>
      <w:tr w:rsidR="006F445A" w:rsidRPr="004A49EF" w:rsidTr="007919F3">
        <w:trPr>
          <w:trHeight w:val="240"/>
        </w:trPr>
        <w:tc>
          <w:tcPr>
            <w:tcW w:w="3580" w:type="dxa"/>
            <w:tcBorders>
              <w:top w:val="nil"/>
              <w:left w:val="single" w:sz="4" w:space="0" w:color="auto"/>
              <w:bottom w:val="single" w:sz="8"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Totaal lasten</w:t>
            </w:r>
          </w:p>
        </w:tc>
        <w:tc>
          <w:tcPr>
            <w:tcW w:w="1700" w:type="dxa"/>
            <w:tcBorders>
              <w:top w:val="nil"/>
              <w:left w:val="nil"/>
              <w:bottom w:val="single" w:sz="8"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w:t>
            </w:r>
            <w:r w:rsidRPr="004A49EF">
              <w:rPr>
                <w:rFonts w:ascii="Verdana" w:eastAsia="Times New Roman" w:hAnsi="Verdana" w:cs="Calibri"/>
                <w:color w:val="000000"/>
                <w:sz w:val="18"/>
                <w:szCs w:val="18"/>
              </w:rPr>
              <w:lastRenderedPageBreak/>
              <w:t xml:space="preserve">2.288.240 </w:t>
            </w:r>
          </w:p>
        </w:tc>
        <w:tc>
          <w:tcPr>
            <w:tcW w:w="1740" w:type="dxa"/>
            <w:tcBorders>
              <w:top w:val="nil"/>
              <w:left w:val="nil"/>
              <w:bottom w:val="single" w:sz="8"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lastRenderedPageBreak/>
              <w:t xml:space="preserve">             254.426 </w:t>
            </w:r>
          </w:p>
        </w:tc>
        <w:tc>
          <w:tcPr>
            <w:tcW w:w="1660" w:type="dxa"/>
            <w:tcBorders>
              <w:top w:val="nil"/>
              <w:left w:val="nil"/>
              <w:bottom w:val="single" w:sz="8"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2.542.666 </w:t>
            </w:r>
          </w:p>
        </w:tc>
      </w:tr>
      <w:tr w:rsidR="006F445A" w:rsidRPr="004A49EF" w:rsidTr="007919F3">
        <w:trPr>
          <w:trHeight w:val="240"/>
        </w:trPr>
        <w:tc>
          <w:tcPr>
            <w:tcW w:w="3580" w:type="dxa"/>
            <w:tcBorders>
              <w:top w:val="nil"/>
              <w:left w:val="single" w:sz="8" w:space="0" w:color="auto"/>
              <w:bottom w:val="single" w:sz="8" w:space="0" w:color="auto"/>
              <w:right w:val="single" w:sz="8" w:space="0" w:color="auto"/>
            </w:tcBorders>
            <w:shd w:val="clear" w:color="000000" w:fill="C0C0C0"/>
            <w:noWrap/>
            <w:vAlign w:val="bottom"/>
            <w:hideMark/>
          </w:tcPr>
          <w:p w:rsidR="006F445A" w:rsidRPr="004A49EF" w:rsidRDefault="006F445A" w:rsidP="007919F3">
            <w:pP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lastRenderedPageBreak/>
              <w:t>Saldo van baten en lasten</w:t>
            </w:r>
          </w:p>
        </w:tc>
        <w:tc>
          <w:tcPr>
            <w:tcW w:w="1700" w:type="dxa"/>
            <w:tcBorders>
              <w:top w:val="nil"/>
              <w:left w:val="nil"/>
              <w:bottom w:val="single" w:sz="8" w:space="0" w:color="auto"/>
              <w:right w:val="single" w:sz="8" w:space="0" w:color="auto"/>
            </w:tcBorders>
            <w:shd w:val="clear" w:color="000000" w:fill="FFFFFF"/>
            <w:noWrap/>
            <w:vAlign w:val="bottom"/>
            <w:hideMark/>
          </w:tcPr>
          <w:p w:rsidR="006F445A" w:rsidRPr="004A49EF" w:rsidRDefault="006F445A" w:rsidP="007919F3">
            <w:pP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 xml:space="preserve">               9.000 </w:t>
            </w:r>
          </w:p>
        </w:tc>
        <w:tc>
          <w:tcPr>
            <w:tcW w:w="1740" w:type="dxa"/>
            <w:tcBorders>
              <w:top w:val="nil"/>
              <w:left w:val="nil"/>
              <w:bottom w:val="single" w:sz="8" w:space="0" w:color="auto"/>
              <w:right w:val="single" w:sz="8"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 xml:space="preserve">                        0 </w:t>
            </w:r>
          </w:p>
        </w:tc>
        <w:tc>
          <w:tcPr>
            <w:tcW w:w="1660" w:type="dxa"/>
            <w:tcBorders>
              <w:top w:val="nil"/>
              <w:left w:val="nil"/>
              <w:bottom w:val="single" w:sz="8" w:space="0" w:color="auto"/>
              <w:right w:val="single" w:sz="8" w:space="0" w:color="auto"/>
            </w:tcBorders>
            <w:shd w:val="clear" w:color="000000" w:fill="FFFFFF"/>
            <w:noWrap/>
            <w:vAlign w:val="bottom"/>
            <w:hideMark/>
          </w:tcPr>
          <w:p w:rsidR="006F445A" w:rsidRPr="004A49EF" w:rsidRDefault="006F445A" w:rsidP="007919F3">
            <w:pP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 xml:space="preserve">               9.000 </w:t>
            </w:r>
          </w:p>
        </w:tc>
      </w:tr>
      <w:tr w:rsidR="006F445A" w:rsidRPr="004A49EF" w:rsidTr="007919F3">
        <w:trPr>
          <w:trHeight w:val="240"/>
        </w:trPr>
        <w:tc>
          <w:tcPr>
            <w:tcW w:w="3580" w:type="dxa"/>
            <w:tcBorders>
              <w:top w:val="nil"/>
              <w:left w:val="single" w:sz="4" w:space="0" w:color="auto"/>
              <w:bottom w:val="single" w:sz="8"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Dotatie aan reserve Rijksrederij</w:t>
            </w:r>
          </w:p>
        </w:tc>
        <w:tc>
          <w:tcPr>
            <w:tcW w:w="1700" w:type="dxa"/>
            <w:tcBorders>
              <w:top w:val="nil"/>
              <w:left w:val="nil"/>
              <w:bottom w:val="single" w:sz="8" w:space="0" w:color="auto"/>
              <w:right w:val="single" w:sz="4" w:space="0" w:color="auto"/>
            </w:tcBorders>
            <w:shd w:val="clear" w:color="auto" w:fill="auto"/>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9.000-</w:t>
            </w:r>
          </w:p>
        </w:tc>
        <w:tc>
          <w:tcPr>
            <w:tcW w:w="1740" w:type="dxa"/>
            <w:tcBorders>
              <w:top w:val="nil"/>
              <w:left w:val="nil"/>
              <w:bottom w:val="single" w:sz="8" w:space="0" w:color="auto"/>
              <w:right w:val="single" w:sz="4" w:space="0" w:color="auto"/>
            </w:tcBorders>
            <w:shd w:val="clear" w:color="auto" w:fill="auto"/>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8" w:space="0" w:color="auto"/>
              <w:right w:val="single" w:sz="4" w:space="0" w:color="auto"/>
            </w:tcBorders>
            <w:shd w:val="clear" w:color="auto" w:fill="auto"/>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9.000-</w:t>
            </w:r>
          </w:p>
        </w:tc>
      </w:tr>
      <w:tr w:rsidR="006F445A" w:rsidRPr="004A49EF" w:rsidTr="007919F3">
        <w:trPr>
          <w:trHeight w:val="240"/>
        </w:trPr>
        <w:tc>
          <w:tcPr>
            <w:tcW w:w="3580" w:type="dxa"/>
            <w:tcBorders>
              <w:top w:val="nil"/>
              <w:left w:val="single" w:sz="8" w:space="0" w:color="auto"/>
              <w:bottom w:val="single" w:sz="8" w:space="0" w:color="auto"/>
              <w:right w:val="single" w:sz="8"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Te verdelen resultaat</w:t>
            </w:r>
          </w:p>
        </w:tc>
        <w:tc>
          <w:tcPr>
            <w:tcW w:w="1700" w:type="dxa"/>
            <w:tcBorders>
              <w:top w:val="nil"/>
              <w:left w:val="nil"/>
              <w:bottom w:val="single" w:sz="8" w:space="0" w:color="auto"/>
              <w:right w:val="single" w:sz="8" w:space="0" w:color="auto"/>
            </w:tcBorders>
            <w:shd w:val="clear" w:color="auto" w:fill="auto"/>
            <w:noWrap/>
            <w:vAlign w:val="bottom"/>
            <w:hideMark/>
          </w:tcPr>
          <w:p w:rsidR="006F445A" w:rsidRDefault="006F445A" w:rsidP="007919F3">
            <w:pPr>
              <w:jc w:val="center"/>
              <w:rPr>
                <w:rFonts w:ascii="Verdana" w:eastAsia="Times New Roman" w:hAnsi="Verdana" w:cs="Calibri"/>
                <w:color w:val="000000"/>
                <w:sz w:val="18"/>
                <w:szCs w:val="18"/>
              </w:rPr>
            </w:pPr>
            <w:r>
              <w:rPr>
                <w:rFonts w:ascii="Verdana" w:eastAsia="Times New Roman" w:hAnsi="Verdana" w:cs="Calibri"/>
                <w:color w:val="000000"/>
                <w:sz w:val="18"/>
                <w:szCs w:val="18"/>
              </w:rPr>
              <w:t>0</w:t>
            </w:r>
          </w:p>
          <w:p w:rsidR="006F445A" w:rsidRPr="004A49EF" w:rsidRDefault="006F445A" w:rsidP="007919F3">
            <w:pPr>
              <w:jc w:val="center"/>
              <w:rPr>
                <w:rFonts w:ascii="Verdana" w:eastAsia="Times New Roman" w:hAnsi="Verdana" w:cs="Calibri"/>
                <w:color w:val="000000"/>
                <w:sz w:val="18"/>
                <w:szCs w:val="18"/>
              </w:rPr>
            </w:pPr>
          </w:p>
        </w:tc>
        <w:tc>
          <w:tcPr>
            <w:tcW w:w="1740" w:type="dxa"/>
            <w:tcBorders>
              <w:top w:val="nil"/>
              <w:left w:val="nil"/>
              <w:bottom w:val="single" w:sz="8" w:space="0" w:color="auto"/>
              <w:right w:val="single" w:sz="8" w:space="0" w:color="auto"/>
            </w:tcBorders>
            <w:shd w:val="clear" w:color="auto" w:fill="auto"/>
            <w:noWrap/>
            <w:vAlign w:val="bottom"/>
            <w:hideMark/>
          </w:tcPr>
          <w:p w:rsidR="006F445A" w:rsidRPr="004A49EF" w:rsidRDefault="006F445A" w:rsidP="007919F3">
            <w:pPr>
              <w:jc w:val="center"/>
              <w:rPr>
                <w:rFonts w:ascii="Verdana" w:eastAsia="Times New Roman" w:hAnsi="Verdana" w:cs="Calibri"/>
                <w:color w:val="000000"/>
                <w:sz w:val="18"/>
                <w:szCs w:val="18"/>
              </w:rPr>
            </w:pPr>
            <w:r w:rsidRPr="004A49EF">
              <w:rPr>
                <w:rFonts w:ascii="Verdana" w:eastAsia="Times New Roman" w:hAnsi="Verdana" w:cs="Calibri"/>
                <w:color w:val="000000"/>
                <w:sz w:val="18"/>
                <w:szCs w:val="18"/>
              </w:rPr>
              <w:t>0</w:t>
            </w:r>
          </w:p>
        </w:tc>
        <w:tc>
          <w:tcPr>
            <w:tcW w:w="1660" w:type="dxa"/>
            <w:tcBorders>
              <w:top w:val="nil"/>
              <w:left w:val="nil"/>
              <w:bottom w:val="single" w:sz="8" w:space="0" w:color="auto"/>
              <w:right w:val="single" w:sz="8" w:space="0" w:color="auto"/>
            </w:tcBorders>
            <w:shd w:val="clear" w:color="auto" w:fill="auto"/>
            <w:noWrap/>
            <w:vAlign w:val="bottom"/>
            <w:hideMark/>
          </w:tcPr>
          <w:p w:rsidR="006F445A" w:rsidRPr="004A49EF" w:rsidRDefault="006F445A" w:rsidP="007919F3">
            <w:pPr>
              <w:jc w:val="center"/>
              <w:rPr>
                <w:rFonts w:ascii="Verdana" w:eastAsia="Times New Roman" w:hAnsi="Verdana" w:cs="Calibri"/>
                <w:color w:val="000000"/>
                <w:sz w:val="18"/>
                <w:szCs w:val="18"/>
              </w:rPr>
            </w:pPr>
            <w:r w:rsidRPr="004A49EF">
              <w:rPr>
                <w:rFonts w:ascii="Verdana" w:eastAsia="Times New Roman" w:hAnsi="Verdana" w:cs="Calibri"/>
                <w:color w:val="000000"/>
                <w:sz w:val="18"/>
                <w:szCs w:val="18"/>
              </w:rPr>
              <w:t>0</w:t>
            </w:r>
          </w:p>
        </w:tc>
      </w:tr>
    </w:tbl>
    <w:p w:rsidR="006F445A" w:rsidRDefault="006F445A" w:rsidP="006F445A">
      <w:pPr>
        <w:pStyle w:val="Variabelegegevens"/>
        <w:spacing w:line="240" w:lineRule="auto"/>
        <w:rPr>
          <w:rFonts w:ascii="Verdana" w:hAnsi="Verdana"/>
          <w:b/>
          <w:bCs/>
        </w:rPr>
      </w:pPr>
      <w:r>
        <w:rPr>
          <w:rFonts w:ascii="Verdana" w:hAnsi="Verdana"/>
          <w:b/>
          <w:bCs/>
        </w:rPr>
        <w:t>Toelichting</w:t>
      </w: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r>
        <w:rPr>
          <w:rFonts w:ascii="Verdana" w:hAnsi="Verdana"/>
          <w:b/>
          <w:bCs/>
        </w:rPr>
        <w:t xml:space="preserve">Baten </w:t>
      </w:r>
    </w:p>
    <w:p w:rsidR="006F445A" w:rsidRDefault="006F445A" w:rsidP="006F445A">
      <w:pPr>
        <w:pStyle w:val="Variabelegegevens"/>
        <w:spacing w:line="240" w:lineRule="auto"/>
        <w:rPr>
          <w:rFonts w:ascii="Verdana" w:hAnsi="Verdana"/>
          <w:b/>
          <w:bCs/>
        </w:rPr>
      </w:pPr>
      <w:r>
        <w:rPr>
          <w:rFonts w:ascii="Verdana" w:hAnsi="Verdana"/>
          <w:i/>
          <w:iCs/>
        </w:rPr>
        <w:t xml:space="preserve">Omzet IenM en </w:t>
      </w:r>
      <w:r w:rsidRPr="00F32866">
        <w:rPr>
          <w:rFonts w:ascii="Verdana" w:hAnsi="Verdana"/>
          <w:i/>
          <w:szCs w:val="20"/>
        </w:rPr>
        <w:t xml:space="preserve">Omzet </w:t>
      </w:r>
      <w:r>
        <w:rPr>
          <w:rFonts w:ascii="Verdana" w:hAnsi="Verdana"/>
          <w:i/>
          <w:szCs w:val="20"/>
        </w:rPr>
        <w:t>nutv werkzaamheden</w:t>
      </w:r>
    </w:p>
    <w:p w:rsidR="006F445A" w:rsidRDefault="006F445A" w:rsidP="006F445A">
      <w:pPr>
        <w:pStyle w:val="Variabelegegevens"/>
        <w:spacing w:line="240" w:lineRule="auto"/>
        <w:rPr>
          <w:rFonts w:ascii="Verdana" w:hAnsi="Verdana"/>
          <w:bCs/>
        </w:rPr>
      </w:pPr>
      <w:r w:rsidRPr="004A49EF">
        <w:rPr>
          <w:rFonts w:ascii="Verdana" w:hAnsi="Verdana"/>
          <w:bCs/>
        </w:rPr>
        <w:t xml:space="preserve">Deze mutaties aan de baten-kant hangen samen met de mutaties die worden toegelicht onder </w:t>
      </w:r>
      <w:r>
        <w:rPr>
          <w:rFonts w:ascii="Verdana" w:hAnsi="Verdana"/>
          <w:bCs/>
        </w:rPr>
        <w:t xml:space="preserve">de </w:t>
      </w:r>
      <w:r w:rsidRPr="004A49EF">
        <w:rPr>
          <w:rFonts w:ascii="Verdana" w:hAnsi="Verdana"/>
          <w:bCs/>
        </w:rPr>
        <w:t xml:space="preserve">toelichtingen </w:t>
      </w:r>
      <w:r>
        <w:rPr>
          <w:rFonts w:ascii="Verdana" w:hAnsi="Verdana"/>
          <w:bCs/>
        </w:rPr>
        <w:t>bij de personele en materiële kosten en het onderhoud.</w:t>
      </w:r>
    </w:p>
    <w:p w:rsidR="006F445A" w:rsidRDefault="006F445A" w:rsidP="006F445A">
      <w:pPr>
        <w:pStyle w:val="Variabelegegevens"/>
        <w:spacing w:line="240" w:lineRule="auto"/>
        <w:rPr>
          <w:rFonts w:ascii="Verdana" w:hAnsi="Verdana"/>
          <w:bCs/>
        </w:rPr>
      </w:pPr>
    </w:p>
    <w:p w:rsidR="006F445A" w:rsidRDefault="006F445A" w:rsidP="006F445A">
      <w:pPr>
        <w:pStyle w:val="Variabelegegevens"/>
        <w:spacing w:line="240" w:lineRule="auto"/>
        <w:rPr>
          <w:rFonts w:ascii="Verdana" w:hAnsi="Verdana"/>
          <w:b/>
          <w:bCs/>
        </w:rPr>
      </w:pPr>
      <w:r w:rsidRPr="00306E53">
        <w:rPr>
          <w:rFonts w:ascii="Verdana" w:hAnsi="Verdana"/>
          <w:b/>
          <w:bCs/>
        </w:rPr>
        <w:t>Lasten</w:t>
      </w:r>
    </w:p>
    <w:p w:rsidR="006F445A" w:rsidRDefault="006F445A" w:rsidP="006F445A">
      <w:pPr>
        <w:pStyle w:val="Variabelegegevens"/>
        <w:spacing w:line="240" w:lineRule="auto"/>
        <w:rPr>
          <w:rFonts w:ascii="Verdana" w:hAnsi="Verdana"/>
          <w:i/>
          <w:iCs/>
        </w:rPr>
      </w:pPr>
      <w:r>
        <w:rPr>
          <w:rFonts w:ascii="Verdana" w:hAnsi="Verdana"/>
          <w:i/>
          <w:iCs/>
        </w:rPr>
        <w:t>Personele en materiële kosten</w:t>
      </w:r>
    </w:p>
    <w:p w:rsidR="006F445A" w:rsidRPr="004A49EF" w:rsidRDefault="006F445A" w:rsidP="006F445A">
      <w:pPr>
        <w:pStyle w:val="Variabelegegevens"/>
        <w:spacing w:line="240" w:lineRule="auto"/>
        <w:rPr>
          <w:rFonts w:ascii="Verdana" w:hAnsi="Verdana"/>
          <w:bCs/>
        </w:rPr>
      </w:pPr>
      <w:r w:rsidRPr="004A49EF">
        <w:rPr>
          <w:rFonts w:ascii="Verdana" w:hAnsi="Verdana"/>
          <w:bCs/>
        </w:rPr>
        <w:t>In belangrijke mate betreffen de extra personele uitgaven extra capaciteit ter beschikking wordt gesteld te behoeve van de uitvoering van de productie in 2015. Daarnaast betreft dit extra budget in verband met een van ILT overgekomen formatieplaats.</w:t>
      </w:r>
    </w:p>
    <w:p w:rsidR="006F445A" w:rsidRDefault="006F445A" w:rsidP="006F445A">
      <w:pPr>
        <w:pStyle w:val="Variabelegegevens"/>
        <w:spacing w:line="240" w:lineRule="auto"/>
        <w:rPr>
          <w:rFonts w:ascii="Verdana" w:hAnsi="Verdana"/>
          <w:bCs/>
          <w:i/>
        </w:rPr>
      </w:pPr>
    </w:p>
    <w:p w:rsidR="006F445A" w:rsidRPr="00306E53" w:rsidRDefault="006F445A" w:rsidP="006F445A">
      <w:pPr>
        <w:pStyle w:val="Variabelegegevens"/>
        <w:spacing w:line="240" w:lineRule="auto"/>
        <w:rPr>
          <w:rFonts w:ascii="Verdana" w:hAnsi="Verdana"/>
          <w:bCs/>
          <w:i/>
        </w:rPr>
      </w:pPr>
      <w:r w:rsidRPr="00306E53">
        <w:rPr>
          <w:rFonts w:ascii="Verdana" w:hAnsi="Verdana"/>
          <w:bCs/>
          <w:i/>
        </w:rPr>
        <w:t xml:space="preserve">Onderhoud </w:t>
      </w:r>
    </w:p>
    <w:p w:rsidR="006F445A" w:rsidRDefault="006F445A" w:rsidP="006F445A">
      <w:pPr>
        <w:pStyle w:val="Variabelegegevens"/>
        <w:spacing w:line="240" w:lineRule="auto"/>
        <w:rPr>
          <w:rFonts w:ascii="Verdana" w:hAnsi="Verdana"/>
          <w:b/>
          <w:bCs/>
        </w:rPr>
      </w:pPr>
      <w:r w:rsidRPr="004A49EF">
        <w:rPr>
          <w:rFonts w:ascii="Verdana" w:hAnsi="Verdana"/>
          <w:bCs/>
        </w:rPr>
        <w:t xml:space="preserve">Dit bedrag heeft hoofdzakelijk betrekking op de post Nog uit te voeren werkzaamheden 2014 ad € 276,4 mln. Deze werkzaamheden waren gepland in 2014 maar niet in uitvoering genomen. Deze werkzaamheden worden in 2015 uitgevoerd. </w:t>
      </w:r>
    </w:p>
    <w:p w:rsidR="006F445A" w:rsidRDefault="006F445A" w:rsidP="006F445A">
      <w:pPr>
        <w:pStyle w:val="Variabelegegevens"/>
        <w:spacing w:line="240" w:lineRule="auto"/>
        <w:rPr>
          <w:rFonts w:ascii="Verdana" w:hAnsi="Verdana"/>
          <w:b/>
          <w:bCs/>
        </w:rPr>
      </w:pPr>
    </w:p>
    <w:tbl>
      <w:tblPr>
        <w:tblW w:w="9722" w:type="dxa"/>
        <w:tblInd w:w="55" w:type="dxa"/>
        <w:tblCellMar>
          <w:left w:w="70" w:type="dxa"/>
          <w:right w:w="70" w:type="dxa"/>
        </w:tblCellMar>
        <w:tblLook w:val="04A0" w:firstRow="1" w:lastRow="0" w:firstColumn="1" w:lastColumn="0" w:noHBand="0" w:noVBand="1"/>
      </w:tblPr>
      <w:tblGrid>
        <w:gridCol w:w="582"/>
        <w:gridCol w:w="3580"/>
        <w:gridCol w:w="1700"/>
        <w:gridCol w:w="1740"/>
        <w:gridCol w:w="460"/>
        <w:gridCol w:w="1660"/>
      </w:tblGrid>
      <w:tr w:rsidR="006F445A" w:rsidRPr="004A49EF" w:rsidTr="007919F3">
        <w:trPr>
          <w:trHeight w:val="225"/>
        </w:trPr>
        <w:tc>
          <w:tcPr>
            <w:tcW w:w="58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3580" w:type="dxa"/>
            <w:tcBorders>
              <w:top w:val="single" w:sz="4" w:space="0" w:color="auto"/>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Kasstroomoverzicht</w:t>
            </w:r>
            <w:r>
              <w:rPr>
                <w:rFonts w:ascii="Verdana" w:eastAsia="Times New Roman" w:hAnsi="Verdana" w:cs="Calibri"/>
                <w:b/>
                <w:bCs/>
                <w:color w:val="000000"/>
                <w:sz w:val="18"/>
                <w:szCs w:val="18"/>
              </w:rPr>
              <w:t xml:space="preserve"> Rijkwaterstaat</w:t>
            </w:r>
          </w:p>
        </w:tc>
        <w:tc>
          <w:tcPr>
            <w:tcW w:w="1700" w:type="dxa"/>
            <w:tcBorders>
              <w:top w:val="single" w:sz="4" w:space="0" w:color="auto"/>
              <w:left w:val="nil"/>
              <w:bottom w:val="single" w:sz="4" w:space="0" w:color="auto"/>
              <w:right w:val="single" w:sz="4" w:space="0" w:color="auto"/>
            </w:tcBorders>
            <w:shd w:val="clear" w:color="000000" w:fill="C0C0C0"/>
            <w:noWrap/>
            <w:hideMark/>
          </w:tcPr>
          <w:p w:rsidR="006F445A" w:rsidRPr="004A49EF" w:rsidRDefault="006F445A" w:rsidP="007919F3">
            <w:pPr>
              <w:jc w:val="cente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1</w:t>
            </w:r>
          </w:p>
        </w:tc>
        <w:tc>
          <w:tcPr>
            <w:tcW w:w="1740" w:type="dxa"/>
            <w:tcBorders>
              <w:top w:val="single" w:sz="4" w:space="0" w:color="auto"/>
              <w:left w:val="nil"/>
              <w:bottom w:val="single" w:sz="4" w:space="0" w:color="auto"/>
              <w:right w:val="single" w:sz="4" w:space="0" w:color="auto"/>
            </w:tcBorders>
            <w:shd w:val="clear" w:color="000000" w:fill="C0C0C0"/>
            <w:noWrap/>
            <w:hideMark/>
          </w:tcPr>
          <w:p w:rsidR="006F445A" w:rsidRPr="004A49EF" w:rsidRDefault="006F445A" w:rsidP="007919F3">
            <w:pPr>
              <w:jc w:val="cente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2</w:t>
            </w:r>
          </w:p>
        </w:tc>
        <w:tc>
          <w:tcPr>
            <w:tcW w:w="460" w:type="dxa"/>
            <w:tcBorders>
              <w:top w:val="single" w:sz="4" w:space="0" w:color="auto"/>
              <w:left w:val="nil"/>
              <w:bottom w:val="single" w:sz="4" w:space="0" w:color="auto"/>
              <w:right w:val="single" w:sz="4" w:space="0" w:color="auto"/>
            </w:tcBorders>
            <w:shd w:val="clear" w:color="000000" w:fill="C0C0C0"/>
            <w:noWrap/>
            <w:hideMark/>
          </w:tcPr>
          <w:p w:rsidR="006F445A" w:rsidRPr="004A49EF" w:rsidRDefault="006F445A" w:rsidP="007919F3">
            <w:pPr>
              <w:jc w:val="cente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 </w:t>
            </w:r>
          </w:p>
        </w:tc>
        <w:tc>
          <w:tcPr>
            <w:tcW w:w="1660" w:type="dxa"/>
            <w:tcBorders>
              <w:top w:val="single" w:sz="4" w:space="0" w:color="auto"/>
              <w:left w:val="nil"/>
              <w:bottom w:val="single" w:sz="4" w:space="0" w:color="auto"/>
              <w:right w:val="single" w:sz="4" w:space="0" w:color="auto"/>
            </w:tcBorders>
            <w:shd w:val="clear" w:color="000000" w:fill="C0C0C0"/>
            <w:noWrap/>
            <w:hideMark/>
          </w:tcPr>
          <w:p w:rsidR="006F445A" w:rsidRPr="004A49EF" w:rsidRDefault="006F445A" w:rsidP="007919F3">
            <w:pPr>
              <w:jc w:val="center"/>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3 = (1) +(2)</w:t>
            </w:r>
          </w:p>
        </w:tc>
      </w:tr>
      <w:tr w:rsidR="006F445A" w:rsidRPr="004A49EF" w:rsidTr="007919F3">
        <w:trPr>
          <w:trHeight w:val="900"/>
        </w:trPr>
        <w:tc>
          <w:tcPr>
            <w:tcW w:w="582" w:type="dxa"/>
            <w:tcBorders>
              <w:top w:val="nil"/>
              <w:left w:val="single" w:sz="4" w:space="0" w:color="auto"/>
              <w:bottom w:val="single" w:sz="4" w:space="0" w:color="auto"/>
              <w:right w:val="single" w:sz="4" w:space="0" w:color="auto"/>
            </w:tcBorders>
            <w:shd w:val="clear" w:color="000000" w:fill="C0C0C0"/>
            <w:hideMark/>
          </w:tcPr>
          <w:p w:rsidR="006F445A" w:rsidRPr="004A49EF" w:rsidRDefault="006F445A" w:rsidP="007919F3">
            <w:pPr>
              <w:jc w:val="center"/>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3580" w:type="dxa"/>
            <w:tcBorders>
              <w:top w:val="nil"/>
              <w:left w:val="nil"/>
              <w:bottom w:val="single" w:sz="4" w:space="0" w:color="auto"/>
              <w:right w:val="single" w:sz="4" w:space="0" w:color="auto"/>
            </w:tcBorders>
            <w:shd w:val="clear" w:color="000000" w:fill="C0C0C0"/>
            <w:hideMark/>
          </w:tcPr>
          <w:p w:rsidR="006F445A"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Omschrijving</w:t>
            </w:r>
          </w:p>
        </w:tc>
        <w:tc>
          <w:tcPr>
            <w:tcW w:w="1700" w:type="dxa"/>
            <w:tcBorders>
              <w:top w:val="nil"/>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Oorspronkelijk vastgestelde begroting</w:t>
            </w:r>
          </w:p>
        </w:tc>
        <w:tc>
          <w:tcPr>
            <w:tcW w:w="1740" w:type="dxa"/>
            <w:tcBorders>
              <w:top w:val="nil"/>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Mutaties (+of-) 1e suppletoire begroting</w:t>
            </w:r>
          </w:p>
        </w:tc>
        <w:tc>
          <w:tcPr>
            <w:tcW w:w="460" w:type="dxa"/>
            <w:tcBorders>
              <w:top w:val="nil"/>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stand 1e suppletoire begroting</w:t>
            </w:r>
          </w:p>
        </w:tc>
      </w:tr>
      <w:tr w:rsidR="006F445A" w:rsidRPr="004A49EF" w:rsidTr="007919F3">
        <w:trPr>
          <w:trHeight w:val="450"/>
        </w:trPr>
        <w:tc>
          <w:tcPr>
            <w:tcW w:w="582" w:type="dxa"/>
            <w:tcBorders>
              <w:top w:val="nil"/>
              <w:left w:val="single" w:sz="4" w:space="0" w:color="auto"/>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1. </w:t>
            </w:r>
          </w:p>
        </w:tc>
        <w:tc>
          <w:tcPr>
            <w:tcW w:w="3580" w:type="dxa"/>
            <w:tcBorders>
              <w:top w:val="nil"/>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Rekening-courant RHB 1 januari 2015</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222.713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259.082 </w:t>
            </w:r>
          </w:p>
        </w:tc>
        <w:tc>
          <w:tcPr>
            <w:tcW w:w="4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1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481.795 </w:t>
            </w:r>
          </w:p>
        </w:tc>
      </w:tr>
      <w:tr w:rsidR="006F445A" w:rsidRPr="004A49EF" w:rsidTr="007919F3">
        <w:trPr>
          <w:trHeight w:val="225"/>
        </w:trPr>
        <w:tc>
          <w:tcPr>
            <w:tcW w:w="582" w:type="dxa"/>
            <w:tcBorders>
              <w:top w:val="nil"/>
              <w:left w:val="single" w:sz="4" w:space="0" w:color="auto"/>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2. </w:t>
            </w:r>
          </w:p>
        </w:tc>
        <w:tc>
          <w:tcPr>
            <w:tcW w:w="3580" w:type="dxa"/>
            <w:tcBorders>
              <w:top w:val="nil"/>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Totaal operationele kasstroom </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17.748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276.318-</w:t>
            </w:r>
          </w:p>
        </w:tc>
        <w:tc>
          <w:tcPr>
            <w:tcW w:w="4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2</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258.570-</w:t>
            </w:r>
          </w:p>
        </w:tc>
      </w:tr>
      <w:tr w:rsidR="006F445A" w:rsidRPr="004A49EF" w:rsidTr="007919F3">
        <w:trPr>
          <w:trHeight w:val="225"/>
        </w:trPr>
        <w:tc>
          <w:tcPr>
            <w:tcW w:w="582" w:type="dxa"/>
            <w:tcBorders>
              <w:top w:val="nil"/>
              <w:left w:val="single" w:sz="4" w:space="0" w:color="auto"/>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3a.</w:t>
            </w:r>
          </w:p>
        </w:tc>
        <w:tc>
          <w:tcPr>
            <w:tcW w:w="3580" w:type="dxa"/>
            <w:tcBorders>
              <w:top w:val="nil"/>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Totaal investeringen (–/–)</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50.500-</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2.700-</w:t>
            </w:r>
          </w:p>
        </w:tc>
        <w:tc>
          <w:tcPr>
            <w:tcW w:w="4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3</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53.200-</w:t>
            </w:r>
          </w:p>
        </w:tc>
      </w:tr>
      <w:tr w:rsidR="006F445A" w:rsidRPr="004A49EF" w:rsidTr="007919F3">
        <w:trPr>
          <w:trHeight w:val="450"/>
        </w:trPr>
        <w:tc>
          <w:tcPr>
            <w:tcW w:w="582" w:type="dxa"/>
            <w:tcBorders>
              <w:top w:val="nil"/>
              <w:left w:val="single" w:sz="4" w:space="0" w:color="auto"/>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3b.</w:t>
            </w:r>
          </w:p>
        </w:tc>
        <w:tc>
          <w:tcPr>
            <w:tcW w:w="3580" w:type="dxa"/>
            <w:tcBorders>
              <w:top w:val="nil"/>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Totaal boekwaarde desinvesteringen (+)</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   </w:t>
            </w:r>
          </w:p>
        </w:tc>
      </w:tr>
      <w:tr w:rsidR="006F445A" w:rsidRPr="004A49EF" w:rsidTr="007919F3">
        <w:trPr>
          <w:trHeight w:val="225"/>
        </w:trPr>
        <w:tc>
          <w:tcPr>
            <w:tcW w:w="582" w:type="dxa"/>
            <w:tcBorders>
              <w:top w:val="nil"/>
              <w:left w:val="single" w:sz="4" w:space="0" w:color="auto"/>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3. </w:t>
            </w:r>
          </w:p>
        </w:tc>
        <w:tc>
          <w:tcPr>
            <w:tcW w:w="3580" w:type="dxa"/>
            <w:tcBorders>
              <w:top w:val="nil"/>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Totaal investeringskasstroom </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50.500-</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2.700-</w:t>
            </w:r>
          </w:p>
        </w:tc>
        <w:tc>
          <w:tcPr>
            <w:tcW w:w="4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-53200</w:t>
            </w:r>
          </w:p>
        </w:tc>
      </w:tr>
      <w:tr w:rsidR="006F445A" w:rsidRPr="004A49EF" w:rsidTr="007919F3">
        <w:trPr>
          <w:trHeight w:val="450"/>
        </w:trPr>
        <w:tc>
          <w:tcPr>
            <w:tcW w:w="582" w:type="dxa"/>
            <w:tcBorders>
              <w:top w:val="nil"/>
              <w:left w:val="single" w:sz="4" w:space="0" w:color="auto"/>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4a.</w:t>
            </w:r>
          </w:p>
        </w:tc>
        <w:tc>
          <w:tcPr>
            <w:tcW w:w="3580" w:type="dxa"/>
            <w:tcBorders>
              <w:top w:val="nil"/>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Eenmalige uitkering aan moederdepartement (–/–)</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 xml:space="preserve">                      -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0</w:t>
            </w:r>
          </w:p>
        </w:tc>
      </w:tr>
      <w:tr w:rsidR="006F445A" w:rsidRPr="004A49EF" w:rsidTr="007919F3">
        <w:trPr>
          <w:trHeight w:val="450"/>
        </w:trPr>
        <w:tc>
          <w:tcPr>
            <w:tcW w:w="582" w:type="dxa"/>
            <w:tcBorders>
              <w:top w:val="nil"/>
              <w:left w:val="single" w:sz="4" w:space="0" w:color="auto"/>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4b.</w:t>
            </w:r>
          </w:p>
        </w:tc>
        <w:tc>
          <w:tcPr>
            <w:tcW w:w="3580" w:type="dxa"/>
            <w:tcBorders>
              <w:top w:val="nil"/>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Eenmalige storting door het moederdepartement (+)</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 xml:space="preserve">                7.300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7.300 </w:t>
            </w:r>
          </w:p>
        </w:tc>
      </w:tr>
      <w:tr w:rsidR="006F445A" w:rsidRPr="004A49EF" w:rsidTr="007919F3">
        <w:trPr>
          <w:trHeight w:val="225"/>
        </w:trPr>
        <w:tc>
          <w:tcPr>
            <w:tcW w:w="582" w:type="dxa"/>
            <w:tcBorders>
              <w:top w:val="nil"/>
              <w:left w:val="single" w:sz="4" w:space="0" w:color="auto"/>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4c.</w:t>
            </w:r>
          </w:p>
        </w:tc>
        <w:tc>
          <w:tcPr>
            <w:tcW w:w="3580" w:type="dxa"/>
            <w:tcBorders>
              <w:top w:val="nil"/>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Aflossingen op leningen (–/–)</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40.000-</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b/>
                <w:bCs/>
                <w:color w:val="000000"/>
                <w:sz w:val="18"/>
                <w:szCs w:val="18"/>
              </w:rPr>
            </w:pPr>
            <w:r w:rsidRPr="004A49EF">
              <w:rPr>
                <w:rFonts w:ascii="Verdana" w:eastAsia="Times New Roman" w:hAnsi="Verdana" w:cs="Calibri"/>
                <w:b/>
                <w:bCs/>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40.000-</w:t>
            </w:r>
          </w:p>
        </w:tc>
      </w:tr>
      <w:tr w:rsidR="006F445A" w:rsidRPr="004A49EF" w:rsidTr="007919F3">
        <w:trPr>
          <w:trHeight w:val="225"/>
        </w:trPr>
        <w:tc>
          <w:tcPr>
            <w:tcW w:w="582" w:type="dxa"/>
            <w:tcBorders>
              <w:top w:val="nil"/>
              <w:left w:val="single" w:sz="4" w:space="0" w:color="auto"/>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4d.</w:t>
            </w:r>
          </w:p>
        </w:tc>
        <w:tc>
          <w:tcPr>
            <w:tcW w:w="3580" w:type="dxa"/>
            <w:tcBorders>
              <w:top w:val="nil"/>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i/>
                <w:iCs/>
                <w:color w:val="000000"/>
                <w:sz w:val="18"/>
                <w:szCs w:val="18"/>
              </w:rPr>
            </w:pPr>
            <w:r w:rsidRPr="004A49EF">
              <w:rPr>
                <w:rFonts w:ascii="Verdana" w:eastAsia="Times New Roman" w:hAnsi="Verdana" w:cs="Calibri"/>
                <w:i/>
                <w:iCs/>
                <w:color w:val="000000"/>
                <w:sz w:val="18"/>
                <w:szCs w:val="18"/>
              </w:rPr>
              <w:t>Beroep op leenfaciliteit (+)</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50.500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2.700 </w:t>
            </w:r>
          </w:p>
        </w:tc>
        <w:tc>
          <w:tcPr>
            <w:tcW w:w="4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4</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53.200 </w:t>
            </w:r>
          </w:p>
        </w:tc>
      </w:tr>
      <w:tr w:rsidR="006F445A" w:rsidRPr="004A49EF" w:rsidTr="007919F3">
        <w:trPr>
          <w:trHeight w:val="225"/>
        </w:trPr>
        <w:tc>
          <w:tcPr>
            <w:tcW w:w="582" w:type="dxa"/>
            <w:tcBorders>
              <w:top w:val="nil"/>
              <w:left w:val="single" w:sz="4" w:space="0" w:color="auto"/>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4. </w:t>
            </w:r>
          </w:p>
        </w:tc>
        <w:tc>
          <w:tcPr>
            <w:tcW w:w="3580" w:type="dxa"/>
            <w:tcBorders>
              <w:top w:val="nil"/>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Totaal financieringskasstroom </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17.800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2.700 </w:t>
            </w:r>
          </w:p>
        </w:tc>
        <w:tc>
          <w:tcPr>
            <w:tcW w:w="4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20.500 </w:t>
            </w:r>
          </w:p>
        </w:tc>
      </w:tr>
      <w:tr w:rsidR="006F445A" w:rsidRPr="004A49EF" w:rsidTr="007919F3">
        <w:trPr>
          <w:trHeight w:val="450"/>
        </w:trPr>
        <w:tc>
          <w:tcPr>
            <w:tcW w:w="582" w:type="dxa"/>
            <w:tcBorders>
              <w:top w:val="nil"/>
              <w:left w:val="single" w:sz="4" w:space="0" w:color="auto"/>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5. </w:t>
            </w:r>
          </w:p>
        </w:tc>
        <w:tc>
          <w:tcPr>
            <w:tcW w:w="3580" w:type="dxa"/>
            <w:tcBorders>
              <w:top w:val="nil"/>
              <w:left w:val="nil"/>
              <w:bottom w:val="single" w:sz="4" w:space="0" w:color="auto"/>
              <w:right w:val="single" w:sz="4" w:space="0" w:color="auto"/>
            </w:tcBorders>
            <w:shd w:val="clear" w:color="000000" w:fill="C0C0C0"/>
            <w:hideMark/>
          </w:tcPr>
          <w:p w:rsidR="006F445A" w:rsidRPr="004A49EF" w:rsidRDefault="006F445A" w:rsidP="007919F3">
            <w:pPr>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Rekening-courant RHB 31 december 2015  (=1+2+3+4) </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207.761 </w:t>
            </w:r>
          </w:p>
        </w:tc>
        <w:tc>
          <w:tcPr>
            <w:tcW w:w="174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17.236-</w:t>
            </w:r>
          </w:p>
        </w:tc>
        <w:tc>
          <w:tcPr>
            <w:tcW w:w="4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F445A" w:rsidRPr="004A49EF" w:rsidRDefault="006F445A" w:rsidP="007919F3">
            <w:pPr>
              <w:jc w:val="right"/>
              <w:rPr>
                <w:rFonts w:ascii="Verdana" w:eastAsia="Times New Roman" w:hAnsi="Verdana" w:cs="Calibri"/>
                <w:color w:val="000000"/>
                <w:sz w:val="18"/>
                <w:szCs w:val="18"/>
              </w:rPr>
            </w:pPr>
            <w:r w:rsidRPr="004A49EF">
              <w:rPr>
                <w:rFonts w:ascii="Verdana" w:eastAsia="Times New Roman" w:hAnsi="Verdana" w:cs="Calibri"/>
                <w:color w:val="000000"/>
                <w:sz w:val="18"/>
                <w:szCs w:val="18"/>
              </w:rPr>
              <w:t xml:space="preserve">            190.525 </w:t>
            </w:r>
          </w:p>
        </w:tc>
      </w:tr>
    </w:tbl>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r>
        <w:rPr>
          <w:rFonts w:ascii="Verdana" w:hAnsi="Verdana"/>
          <w:b/>
          <w:bCs/>
        </w:rPr>
        <w:t>Toelichting</w:t>
      </w:r>
    </w:p>
    <w:p w:rsidR="006F445A" w:rsidRDefault="006F445A" w:rsidP="006F445A">
      <w:pPr>
        <w:pStyle w:val="Variabelegegevens"/>
        <w:spacing w:line="240" w:lineRule="auto"/>
        <w:rPr>
          <w:rFonts w:ascii="Verdana" w:hAnsi="Verdana"/>
          <w:b/>
          <w:bCs/>
        </w:rPr>
      </w:pPr>
    </w:p>
    <w:p w:rsidR="006F445A" w:rsidRPr="00306E53" w:rsidRDefault="006F445A" w:rsidP="006F445A">
      <w:pPr>
        <w:pStyle w:val="Variabelegegevens"/>
        <w:rPr>
          <w:rFonts w:ascii="Verdana" w:hAnsi="Verdana"/>
          <w:bCs/>
        </w:rPr>
      </w:pPr>
      <w:r w:rsidRPr="00306E53">
        <w:rPr>
          <w:rFonts w:ascii="Verdana" w:hAnsi="Verdana"/>
          <w:bCs/>
        </w:rPr>
        <w:t xml:space="preserve">1) De rekening-courant RHB per 1 januari 2015 is geactualiseerd op basis van de jaarrekening 2014.   </w:t>
      </w:r>
      <w:r w:rsidRPr="00306E53">
        <w:rPr>
          <w:rFonts w:ascii="Verdana" w:hAnsi="Verdana"/>
          <w:bCs/>
        </w:rPr>
        <w:tab/>
      </w:r>
      <w:r w:rsidRPr="00306E53">
        <w:rPr>
          <w:rFonts w:ascii="Verdana" w:hAnsi="Verdana"/>
          <w:bCs/>
        </w:rPr>
        <w:tab/>
      </w:r>
      <w:r w:rsidRPr="00306E53">
        <w:rPr>
          <w:rFonts w:ascii="Verdana" w:hAnsi="Verdana"/>
          <w:bCs/>
        </w:rPr>
        <w:tab/>
      </w:r>
      <w:r w:rsidRPr="00306E53">
        <w:rPr>
          <w:rFonts w:ascii="Verdana" w:hAnsi="Verdana"/>
          <w:bCs/>
        </w:rPr>
        <w:tab/>
      </w:r>
      <w:r w:rsidRPr="00306E53">
        <w:rPr>
          <w:rFonts w:ascii="Verdana" w:hAnsi="Verdana"/>
          <w:bCs/>
        </w:rPr>
        <w:tab/>
      </w:r>
      <w:r w:rsidRPr="00306E53">
        <w:rPr>
          <w:rFonts w:ascii="Verdana" w:hAnsi="Verdana"/>
          <w:bCs/>
        </w:rPr>
        <w:tab/>
      </w:r>
      <w:r w:rsidRPr="00306E53">
        <w:rPr>
          <w:rFonts w:ascii="Verdana" w:hAnsi="Verdana"/>
          <w:bCs/>
        </w:rPr>
        <w:tab/>
      </w:r>
      <w:r w:rsidRPr="00306E53">
        <w:rPr>
          <w:rFonts w:ascii="Verdana" w:hAnsi="Verdana"/>
          <w:bCs/>
        </w:rPr>
        <w:tab/>
      </w:r>
    </w:p>
    <w:p w:rsidR="006F445A" w:rsidRPr="00306E53" w:rsidRDefault="006F445A" w:rsidP="006F445A">
      <w:pPr>
        <w:pStyle w:val="Variabelegegevens"/>
        <w:rPr>
          <w:rFonts w:ascii="Verdana" w:hAnsi="Verdana"/>
          <w:bCs/>
        </w:rPr>
      </w:pPr>
      <w:r w:rsidRPr="00306E53">
        <w:rPr>
          <w:rFonts w:ascii="Verdana" w:hAnsi="Verdana"/>
          <w:bCs/>
        </w:rPr>
        <w:lastRenderedPageBreak/>
        <w:t xml:space="preserve">2) Deze mutatie betreft de post Nog uit te voeren werkzaamheden 2014. Zie mutatie 3 </w:t>
      </w:r>
      <w:r>
        <w:rPr>
          <w:rFonts w:ascii="Verdana" w:hAnsi="Verdana"/>
          <w:bCs/>
        </w:rPr>
        <w:t>in het exploitatieoverzicht.</w:t>
      </w:r>
      <w:r w:rsidRPr="00306E53">
        <w:rPr>
          <w:rFonts w:ascii="Verdana" w:hAnsi="Verdana"/>
          <w:bCs/>
        </w:rPr>
        <w:tab/>
      </w:r>
      <w:r w:rsidRPr="00306E53">
        <w:rPr>
          <w:rFonts w:ascii="Verdana" w:hAnsi="Verdana"/>
          <w:bCs/>
        </w:rPr>
        <w:tab/>
      </w:r>
      <w:r w:rsidRPr="00306E53">
        <w:rPr>
          <w:rFonts w:ascii="Verdana" w:hAnsi="Verdana"/>
          <w:bCs/>
        </w:rPr>
        <w:tab/>
      </w:r>
      <w:r w:rsidRPr="00306E53">
        <w:rPr>
          <w:rFonts w:ascii="Verdana" w:hAnsi="Verdana"/>
          <w:bCs/>
        </w:rPr>
        <w:tab/>
      </w:r>
      <w:r w:rsidRPr="00306E53">
        <w:rPr>
          <w:rFonts w:ascii="Verdana" w:hAnsi="Verdana"/>
          <w:bCs/>
        </w:rPr>
        <w:tab/>
      </w:r>
      <w:r w:rsidRPr="00306E53">
        <w:rPr>
          <w:rFonts w:ascii="Verdana" w:hAnsi="Verdana"/>
          <w:bCs/>
        </w:rPr>
        <w:tab/>
      </w:r>
    </w:p>
    <w:p w:rsidR="006F445A" w:rsidRPr="00306E53" w:rsidRDefault="006F445A" w:rsidP="006F445A">
      <w:pPr>
        <w:pStyle w:val="Variabelegegevens"/>
        <w:rPr>
          <w:rFonts w:ascii="Verdana" w:hAnsi="Verdana"/>
          <w:bCs/>
        </w:rPr>
      </w:pPr>
      <w:r w:rsidRPr="00306E53">
        <w:rPr>
          <w:rFonts w:ascii="Verdana" w:hAnsi="Verdana"/>
          <w:bCs/>
        </w:rPr>
        <w:t>3)  en 4)</w:t>
      </w:r>
      <w:r w:rsidRPr="00306E53">
        <w:rPr>
          <w:rFonts w:ascii="Verdana" w:hAnsi="Verdana"/>
          <w:bCs/>
        </w:rPr>
        <w:tab/>
        <w:t>Dit betreft de aansluiting op</w:t>
      </w:r>
      <w:r>
        <w:rPr>
          <w:rFonts w:ascii="Verdana" w:hAnsi="Verdana"/>
          <w:bCs/>
        </w:rPr>
        <w:t xml:space="preserve"> het</w:t>
      </w:r>
      <w:r w:rsidRPr="00306E53">
        <w:rPr>
          <w:rFonts w:ascii="Verdana" w:hAnsi="Verdana"/>
          <w:bCs/>
        </w:rPr>
        <w:t xml:space="preserve"> beroep op de leenfaciliteit 2015</w:t>
      </w:r>
      <w:r>
        <w:rPr>
          <w:rFonts w:ascii="Verdana" w:hAnsi="Verdana"/>
          <w:bCs/>
        </w:rPr>
        <w:t>.</w:t>
      </w:r>
      <w:r w:rsidRPr="00306E53">
        <w:rPr>
          <w:rFonts w:ascii="Verdana" w:hAnsi="Verdana"/>
          <w:bCs/>
        </w:rPr>
        <w:tab/>
      </w:r>
      <w:r w:rsidRPr="00306E53">
        <w:rPr>
          <w:rFonts w:ascii="Verdana" w:hAnsi="Verdana"/>
          <w:bCs/>
        </w:rPr>
        <w:tab/>
      </w:r>
      <w:r w:rsidRPr="00306E53">
        <w:rPr>
          <w:rFonts w:ascii="Verdana" w:hAnsi="Verdana"/>
          <w:bCs/>
        </w:rPr>
        <w:tab/>
      </w:r>
      <w:r w:rsidRPr="00306E53">
        <w:rPr>
          <w:rFonts w:ascii="Verdana" w:hAnsi="Verdana"/>
          <w:bCs/>
        </w:rPr>
        <w:tab/>
      </w:r>
      <w:r w:rsidRPr="00306E53">
        <w:rPr>
          <w:rFonts w:ascii="Verdana" w:hAnsi="Verdana"/>
          <w:bCs/>
        </w:rPr>
        <w:tab/>
      </w:r>
      <w:r w:rsidRPr="00306E53">
        <w:rPr>
          <w:rFonts w:ascii="Verdana" w:hAnsi="Verdana"/>
          <w:bCs/>
        </w:rPr>
        <w:tab/>
      </w:r>
      <w:r w:rsidRPr="00306E53">
        <w:rPr>
          <w:rFonts w:ascii="Verdana" w:hAnsi="Verdana"/>
          <w:bCs/>
        </w:rPr>
        <w:tab/>
      </w:r>
      <w:r w:rsidRPr="00306E53">
        <w:rPr>
          <w:rFonts w:ascii="Verdana" w:hAnsi="Verdana"/>
          <w:bCs/>
        </w:rPr>
        <w:tab/>
      </w:r>
    </w:p>
    <w:p w:rsidR="006F445A" w:rsidRDefault="006F445A" w:rsidP="006F445A">
      <w:pPr>
        <w:pStyle w:val="Variabelegegevens"/>
        <w:spacing w:line="240" w:lineRule="auto"/>
        <w:rPr>
          <w:rFonts w:ascii="Verdana" w:hAnsi="Verdana"/>
          <w:b/>
          <w:bCs/>
        </w:rPr>
      </w:pPr>
      <w:r w:rsidRPr="004A49EF">
        <w:rPr>
          <w:rFonts w:ascii="Verdana" w:hAnsi="Verdana"/>
          <w:b/>
          <w:bCs/>
        </w:rPr>
        <w:tab/>
      </w:r>
    </w:p>
    <w:p w:rsidR="006F445A" w:rsidRDefault="006F445A" w:rsidP="006F445A">
      <w:pPr>
        <w:pStyle w:val="Variabelegegevens"/>
        <w:spacing w:line="240" w:lineRule="auto"/>
        <w:rPr>
          <w:rFonts w:ascii="Verdana" w:hAnsi="Verdana"/>
          <w:b/>
          <w:bCs/>
        </w:rPr>
      </w:pPr>
      <w:r>
        <w:rPr>
          <w:rFonts w:ascii="Verdana" w:hAnsi="Verdana"/>
          <w:b/>
          <w:bCs/>
        </w:rPr>
        <w:t>Inspectie Leefomgeving en Transport</w:t>
      </w: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tbl>
      <w:tblPr>
        <w:tblW w:w="8520" w:type="dxa"/>
        <w:tblInd w:w="57" w:type="dxa"/>
        <w:tblCellMar>
          <w:left w:w="70" w:type="dxa"/>
          <w:right w:w="70" w:type="dxa"/>
        </w:tblCellMar>
        <w:tblLook w:val="04A0" w:firstRow="1" w:lastRow="0" w:firstColumn="1" w:lastColumn="0" w:noHBand="0" w:noVBand="1"/>
      </w:tblPr>
      <w:tblGrid>
        <w:gridCol w:w="3160"/>
        <w:gridCol w:w="1820"/>
        <w:gridCol w:w="1700"/>
        <w:gridCol w:w="1840"/>
      </w:tblGrid>
      <w:tr w:rsidR="006F445A" w:rsidRPr="00B72321" w:rsidTr="007919F3">
        <w:trPr>
          <w:trHeight w:val="315"/>
        </w:trPr>
        <w:tc>
          <w:tcPr>
            <w:tcW w:w="8520" w:type="dxa"/>
            <w:gridSpan w:val="4"/>
            <w:tcBorders>
              <w:top w:val="nil"/>
              <w:left w:val="nil"/>
              <w:bottom w:val="nil"/>
              <w:right w:val="nil"/>
            </w:tcBorders>
            <w:shd w:val="clear" w:color="auto" w:fill="auto"/>
            <w:noWrap/>
            <w:vAlign w:val="bottom"/>
            <w:hideMark/>
          </w:tcPr>
          <w:p w:rsidR="006F445A" w:rsidRPr="00B72321" w:rsidRDefault="006F445A" w:rsidP="007919F3">
            <w:pPr>
              <w:rPr>
                <w:rFonts w:ascii="Verdana" w:eastAsia="Times New Roman" w:hAnsi="Verdana" w:cs="Calibri"/>
                <w:b/>
                <w:bCs/>
                <w:color w:val="000000"/>
                <w:sz w:val="18"/>
                <w:szCs w:val="18"/>
              </w:rPr>
            </w:pPr>
          </w:p>
        </w:tc>
      </w:tr>
      <w:tr w:rsidR="006F445A" w:rsidRPr="00B72321" w:rsidTr="007919F3">
        <w:trPr>
          <w:trHeight w:val="315"/>
        </w:trPr>
        <w:tc>
          <w:tcPr>
            <w:tcW w:w="3160" w:type="dxa"/>
            <w:tcBorders>
              <w:top w:val="single" w:sz="4" w:space="0" w:color="auto"/>
              <w:left w:val="single" w:sz="4" w:space="0" w:color="auto"/>
              <w:bottom w:val="single" w:sz="4" w:space="0" w:color="auto"/>
              <w:right w:val="single" w:sz="4" w:space="0" w:color="auto"/>
            </w:tcBorders>
            <w:shd w:val="clear" w:color="000000" w:fill="D8D8D8"/>
            <w:hideMark/>
          </w:tcPr>
          <w:p w:rsidR="006F445A" w:rsidRPr="00B72321" w:rsidRDefault="006F445A" w:rsidP="007919F3">
            <w:pPr>
              <w:rPr>
                <w:rFonts w:ascii="Verdana" w:eastAsia="Times New Roman" w:hAnsi="Verdana" w:cs="Calibri"/>
                <w:b/>
                <w:bCs/>
                <w:color w:val="000000"/>
                <w:sz w:val="18"/>
                <w:szCs w:val="18"/>
              </w:rPr>
            </w:pPr>
            <w:r>
              <w:rPr>
                <w:rFonts w:ascii="Verdana" w:eastAsia="Times New Roman" w:hAnsi="Verdana" w:cs="Calibri"/>
                <w:b/>
                <w:bCs/>
                <w:color w:val="000000"/>
                <w:sz w:val="18"/>
                <w:szCs w:val="18"/>
              </w:rPr>
              <w:t>Exploitatieoverzicht Batenlastenagentschap ILT</w:t>
            </w:r>
          </w:p>
        </w:tc>
        <w:tc>
          <w:tcPr>
            <w:tcW w:w="1820" w:type="dxa"/>
            <w:tcBorders>
              <w:top w:val="single" w:sz="4" w:space="0" w:color="auto"/>
              <w:left w:val="nil"/>
              <w:bottom w:val="single" w:sz="4" w:space="0" w:color="auto"/>
              <w:right w:val="single" w:sz="4" w:space="0" w:color="auto"/>
            </w:tcBorders>
            <w:shd w:val="clear" w:color="000000" w:fill="D8D8D8"/>
            <w:noWrap/>
            <w:hideMark/>
          </w:tcPr>
          <w:p w:rsidR="006F445A" w:rsidRPr="00B72321" w:rsidRDefault="006F445A" w:rsidP="007919F3">
            <w:pPr>
              <w:jc w:val="center"/>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(1)</w:t>
            </w:r>
          </w:p>
        </w:tc>
        <w:tc>
          <w:tcPr>
            <w:tcW w:w="1700" w:type="dxa"/>
            <w:tcBorders>
              <w:top w:val="single" w:sz="4" w:space="0" w:color="auto"/>
              <w:left w:val="nil"/>
              <w:bottom w:val="single" w:sz="4" w:space="0" w:color="auto"/>
              <w:right w:val="single" w:sz="4" w:space="0" w:color="auto"/>
            </w:tcBorders>
            <w:shd w:val="clear" w:color="000000" w:fill="D8D8D8"/>
            <w:noWrap/>
            <w:hideMark/>
          </w:tcPr>
          <w:p w:rsidR="006F445A" w:rsidRPr="00B72321" w:rsidRDefault="006F445A" w:rsidP="007919F3">
            <w:pPr>
              <w:jc w:val="center"/>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(2)</w:t>
            </w:r>
          </w:p>
        </w:tc>
        <w:tc>
          <w:tcPr>
            <w:tcW w:w="1840" w:type="dxa"/>
            <w:tcBorders>
              <w:top w:val="single" w:sz="4" w:space="0" w:color="auto"/>
              <w:left w:val="nil"/>
              <w:bottom w:val="single" w:sz="4" w:space="0" w:color="auto"/>
              <w:right w:val="single" w:sz="4" w:space="0" w:color="auto"/>
            </w:tcBorders>
            <w:shd w:val="clear" w:color="000000" w:fill="D8D8D8"/>
            <w:noWrap/>
            <w:hideMark/>
          </w:tcPr>
          <w:p w:rsidR="006F445A" w:rsidRPr="00B72321" w:rsidRDefault="006F445A" w:rsidP="007919F3">
            <w:pPr>
              <w:jc w:val="center"/>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(3) = (1) +(2)</w:t>
            </w:r>
          </w:p>
        </w:tc>
      </w:tr>
      <w:tr w:rsidR="006F445A" w:rsidRPr="00B72321" w:rsidTr="007919F3">
        <w:trPr>
          <w:trHeight w:val="675"/>
        </w:trPr>
        <w:tc>
          <w:tcPr>
            <w:tcW w:w="3160" w:type="dxa"/>
            <w:tcBorders>
              <w:top w:val="nil"/>
              <w:left w:val="single" w:sz="4" w:space="0" w:color="auto"/>
              <w:bottom w:val="single" w:sz="4" w:space="0" w:color="auto"/>
              <w:right w:val="single" w:sz="4" w:space="0" w:color="auto"/>
            </w:tcBorders>
            <w:shd w:val="clear" w:color="000000" w:fill="D8D8D8"/>
            <w:noWrap/>
            <w:hideMark/>
          </w:tcPr>
          <w:p w:rsidR="006F445A" w:rsidRPr="00B72321" w:rsidRDefault="006F445A" w:rsidP="007919F3">
            <w:pPr>
              <w:rPr>
                <w:rFonts w:ascii="Verdana" w:eastAsia="Times New Roman" w:hAnsi="Verdana" w:cs="Calibri"/>
                <w:color w:val="000000"/>
                <w:sz w:val="18"/>
                <w:szCs w:val="18"/>
              </w:rPr>
            </w:pPr>
            <w:r>
              <w:rPr>
                <w:rFonts w:ascii="Verdana" w:eastAsia="Times New Roman" w:hAnsi="Verdana" w:cs="Calibri"/>
                <w:color w:val="000000"/>
                <w:sz w:val="18"/>
                <w:szCs w:val="18"/>
              </w:rPr>
              <w:t>Totaal</w:t>
            </w:r>
          </w:p>
        </w:tc>
        <w:tc>
          <w:tcPr>
            <w:tcW w:w="1820" w:type="dxa"/>
            <w:tcBorders>
              <w:top w:val="nil"/>
              <w:left w:val="nil"/>
              <w:bottom w:val="single" w:sz="4" w:space="0" w:color="auto"/>
              <w:right w:val="single" w:sz="4" w:space="0" w:color="auto"/>
            </w:tcBorders>
            <w:shd w:val="clear" w:color="000000" w:fill="D8D8D8"/>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Oorspronkelijk vastgestelde begroting</w:t>
            </w:r>
          </w:p>
        </w:tc>
        <w:tc>
          <w:tcPr>
            <w:tcW w:w="1700" w:type="dxa"/>
            <w:tcBorders>
              <w:top w:val="nil"/>
              <w:left w:val="nil"/>
              <w:bottom w:val="single" w:sz="4" w:space="0" w:color="auto"/>
              <w:right w:val="single" w:sz="4" w:space="0" w:color="auto"/>
            </w:tcBorders>
            <w:shd w:val="clear" w:color="000000" w:fill="D8D8D8"/>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Mutaties (+of-) 1e suppletoire begroting</w:t>
            </w:r>
          </w:p>
        </w:tc>
        <w:tc>
          <w:tcPr>
            <w:tcW w:w="1840" w:type="dxa"/>
            <w:tcBorders>
              <w:top w:val="nil"/>
              <w:left w:val="nil"/>
              <w:bottom w:val="single" w:sz="4" w:space="0" w:color="auto"/>
              <w:right w:val="single" w:sz="4" w:space="0" w:color="auto"/>
            </w:tcBorders>
            <w:shd w:val="clear" w:color="000000" w:fill="D8D8D8"/>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stand 1e suppletoire begroting</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Baten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rPr>
                <w:rFonts w:ascii="Verdana" w:eastAsia="Times New Roman" w:hAnsi="Verdana" w:cs="Calibri"/>
                <w:b/>
                <w:bCs/>
                <w:color w:val="000000"/>
                <w:sz w:val="18"/>
                <w:szCs w:val="18"/>
              </w:rPr>
            </w:pP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rPr>
                <w:rFonts w:ascii="Verdana" w:eastAsia="Times New Roman" w:hAnsi="Verdana" w:cs="Calibri"/>
                <w:b/>
                <w:bCs/>
                <w:color w:val="000000"/>
                <w:sz w:val="18"/>
                <w:szCs w:val="18"/>
              </w:rPr>
            </w:pP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rPr>
                <w:rFonts w:ascii="Verdana" w:eastAsia="Times New Roman" w:hAnsi="Verdana" w:cs="Calibri"/>
                <w:b/>
                <w:bCs/>
                <w:color w:val="000000"/>
                <w:sz w:val="18"/>
                <w:szCs w:val="18"/>
              </w:rPr>
            </w:pP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Omzet IenM</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126.047</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-2.933</w:t>
            </w: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123.114</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Omzet overige departementen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6.527</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-6.527</w:t>
            </w: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0</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Omzet derden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7.584</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7.584</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Rentebaten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50</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50</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Bijzondere baten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0</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Totaal baten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140.208</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-9.460</w:t>
            </w: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130.748</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 </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Lasten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rPr>
                <w:rFonts w:ascii="Verdana" w:eastAsia="Times New Roman" w:hAnsi="Verdana" w:cs="Calibri"/>
                <w:b/>
                <w:bCs/>
                <w:color w:val="000000"/>
                <w:sz w:val="18"/>
                <w:szCs w:val="18"/>
              </w:rPr>
            </w:pP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rPr>
                <w:rFonts w:ascii="Verdana" w:eastAsia="Times New Roman" w:hAnsi="Verdana" w:cs="Calibri"/>
                <w:b/>
                <w:bCs/>
                <w:color w:val="000000"/>
                <w:sz w:val="18"/>
                <w:szCs w:val="18"/>
              </w:rPr>
            </w:pP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Apparaatskosten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138.008</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-9.460</w:t>
            </w: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128.548</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 Personele kosten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111.241</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-5463</w:t>
            </w: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105.778</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hideMark/>
          </w:tcPr>
          <w:p w:rsidR="006F445A" w:rsidRPr="00B72321" w:rsidRDefault="006F445A" w:rsidP="007919F3">
            <w:pPr>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 waarvan eigen personeel</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108.541</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-5.463</w:t>
            </w: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103.078</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hideMark/>
          </w:tcPr>
          <w:p w:rsidR="006F445A" w:rsidRPr="00B72321" w:rsidRDefault="006F445A" w:rsidP="007919F3">
            <w:pPr>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 waarvan externe inhuur</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2.700</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 </w:t>
            </w: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2.700</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 Materiële kosten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26.767</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-3.997</w:t>
            </w: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22.770</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hideMark/>
          </w:tcPr>
          <w:p w:rsidR="006F445A" w:rsidRPr="00B72321" w:rsidRDefault="006F445A" w:rsidP="007919F3">
            <w:pPr>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 waarvan apparaat ICT</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5.000</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-750</w:t>
            </w: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4.250</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hideMark/>
          </w:tcPr>
          <w:p w:rsidR="006F445A" w:rsidRPr="00B72321" w:rsidRDefault="006F445A" w:rsidP="007919F3">
            <w:pPr>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 waarvan bijdrage aan SSO’s</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18.000</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-1.500</w:t>
            </w: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16.500</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Rentelasten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100</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100</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Afschrijvingskosten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2.100</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2.100</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 materieel</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2.100</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r w:rsidRPr="00B72321">
              <w:rPr>
                <w:rFonts w:ascii="Verdana" w:eastAsia="Times New Roman" w:hAnsi="Verdana" w:cs="Calibri"/>
                <w:color w:val="000000"/>
                <w:sz w:val="18"/>
                <w:szCs w:val="18"/>
              </w:rPr>
              <w:t>2.100</w:t>
            </w: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hideMark/>
          </w:tcPr>
          <w:p w:rsidR="006F445A" w:rsidRPr="00B72321" w:rsidRDefault="006F445A" w:rsidP="007919F3">
            <w:pPr>
              <w:rPr>
                <w:rFonts w:ascii="Verdana" w:eastAsia="Times New Roman" w:hAnsi="Verdana" w:cs="Calibri"/>
                <w:i/>
                <w:iCs/>
                <w:color w:val="000000"/>
                <w:sz w:val="18"/>
                <w:szCs w:val="18"/>
              </w:rPr>
            </w:pPr>
            <w:r w:rsidRPr="00B72321">
              <w:rPr>
                <w:rFonts w:ascii="Verdana" w:eastAsia="Times New Roman" w:hAnsi="Verdana" w:cs="Calibri"/>
                <w:i/>
                <w:iCs/>
                <w:color w:val="000000"/>
                <w:sz w:val="18"/>
                <w:szCs w:val="18"/>
              </w:rPr>
              <w:t>- waarvan apparaat ICT</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D91D70" w:rsidRDefault="006F445A" w:rsidP="007919F3">
            <w:pPr>
              <w:jc w:val="right"/>
              <w:rPr>
                <w:rFonts w:ascii="Verdana" w:eastAsia="Times New Roman" w:hAnsi="Verdana" w:cs="Calibri"/>
                <w:i/>
                <w:iCs/>
                <w:color w:val="000000"/>
                <w:sz w:val="18"/>
                <w:szCs w:val="18"/>
                <w:highlight w:val="yellow"/>
              </w:rPr>
            </w:pP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i/>
                <w:iCs/>
                <w:color w:val="000000"/>
                <w:sz w:val="18"/>
                <w:szCs w:val="18"/>
              </w:rPr>
            </w:pP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 immaterieel</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D91D70" w:rsidRDefault="006F445A" w:rsidP="007919F3">
            <w:pPr>
              <w:jc w:val="right"/>
              <w:rPr>
                <w:rFonts w:ascii="Verdana" w:eastAsia="Times New Roman" w:hAnsi="Verdana" w:cs="Calibri"/>
                <w:color w:val="000000"/>
                <w:sz w:val="18"/>
                <w:szCs w:val="18"/>
                <w:highlight w:val="yellow"/>
              </w:rPr>
            </w:pP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Overige lasten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rPr>
                <w:rFonts w:ascii="Verdana" w:eastAsia="Times New Roman" w:hAnsi="Verdana" w:cs="Calibri"/>
                <w:color w:val="000000"/>
                <w:sz w:val="18"/>
                <w:szCs w:val="18"/>
              </w:rPr>
            </w:pP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 dotatie voorziening</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rPr>
                <w:rFonts w:ascii="Verdana" w:eastAsia="Times New Roman" w:hAnsi="Verdana" w:cs="Calibri"/>
                <w:color w:val="000000"/>
                <w:sz w:val="18"/>
                <w:szCs w:val="18"/>
              </w:rPr>
            </w:pP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r>
      <w:tr w:rsidR="006F445A" w:rsidRPr="00B72321" w:rsidTr="007919F3">
        <w:trPr>
          <w:trHeight w:val="300"/>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color w:val="000000"/>
                <w:sz w:val="18"/>
                <w:szCs w:val="18"/>
              </w:rPr>
            </w:pPr>
            <w:r w:rsidRPr="00B72321">
              <w:rPr>
                <w:rFonts w:ascii="Verdana" w:eastAsia="Times New Roman" w:hAnsi="Verdana" w:cs="Calibri"/>
                <w:color w:val="000000"/>
                <w:sz w:val="18"/>
                <w:szCs w:val="18"/>
              </w:rPr>
              <w:t>- bijzondere lasten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rPr>
                <w:rFonts w:ascii="Verdana" w:eastAsia="Times New Roman" w:hAnsi="Verdana" w:cs="Calibri"/>
                <w:color w:val="000000"/>
                <w:sz w:val="18"/>
                <w:szCs w:val="18"/>
              </w:rPr>
            </w:pP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color w:val="000000"/>
                <w:sz w:val="18"/>
                <w:szCs w:val="18"/>
              </w:rPr>
            </w:pPr>
          </w:p>
        </w:tc>
      </w:tr>
      <w:tr w:rsidR="006F445A" w:rsidRPr="00B72321" w:rsidTr="007919F3">
        <w:trPr>
          <w:trHeight w:val="315"/>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Totaal lasten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140.208</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-9.460</w:t>
            </w: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130.748</w:t>
            </w:r>
          </w:p>
        </w:tc>
      </w:tr>
      <w:tr w:rsidR="006F445A" w:rsidRPr="00B72321" w:rsidTr="007919F3">
        <w:trPr>
          <w:trHeight w:val="315"/>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b/>
                <w:bCs/>
                <w:i/>
                <w:iCs/>
                <w:color w:val="000000"/>
                <w:sz w:val="18"/>
                <w:szCs w:val="18"/>
              </w:rPr>
            </w:pP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rPr>
                <w:rFonts w:ascii="Verdana" w:eastAsia="Times New Roman" w:hAnsi="Verdana" w:cs="Calibri"/>
                <w:b/>
                <w:bCs/>
                <w:color w:val="000000"/>
                <w:sz w:val="18"/>
                <w:szCs w:val="18"/>
              </w:rPr>
            </w:pP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rPr>
                <w:rFonts w:ascii="Verdana" w:eastAsia="Times New Roman" w:hAnsi="Verdana" w:cs="Calibri"/>
                <w:b/>
                <w:bCs/>
                <w:color w:val="000000"/>
                <w:sz w:val="18"/>
                <w:szCs w:val="18"/>
              </w:rPr>
            </w:pP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 </w:t>
            </w:r>
          </w:p>
        </w:tc>
      </w:tr>
      <w:tr w:rsidR="006F445A" w:rsidRPr="00B72321" w:rsidTr="007919F3">
        <w:trPr>
          <w:trHeight w:val="315"/>
        </w:trPr>
        <w:tc>
          <w:tcPr>
            <w:tcW w:w="3160" w:type="dxa"/>
            <w:tcBorders>
              <w:top w:val="nil"/>
              <w:left w:val="single" w:sz="4" w:space="0" w:color="auto"/>
              <w:bottom w:val="single" w:sz="4" w:space="0" w:color="auto"/>
              <w:right w:val="single" w:sz="4" w:space="0" w:color="auto"/>
            </w:tcBorders>
            <w:shd w:val="clear" w:color="000000" w:fill="D8D8D8"/>
            <w:noWrap/>
            <w:vAlign w:val="bottom"/>
            <w:hideMark/>
          </w:tcPr>
          <w:p w:rsidR="006F445A" w:rsidRPr="00B72321" w:rsidRDefault="006F445A" w:rsidP="007919F3">
            <w:pPr>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Saldo van baten en lasten</w:t>
            </w:r>
          </w:p>
        </w:tc>
        <w:tc>
          <w:tcPr>
            <w:tcW w:w="182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0</w:t>
            </w:r>
          </w:p>
        </w:tc>
        <w:tc>
          <w:tcPr>
            <w:tcW w:w="170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0</w:t>
            </w:r>
          </w:p>
        </w:tc>
        <w:tc>
          <w:tcPr>
            <w:tcW w:w="1840" w:type="dxa"/>
            <w:tcBorders>
              <w:top w:val="nil"/>
              <w:left w:val="nil"/>
              <w:bottom w:val="single" w:sz="4" w:space="0" w:color="auto"/>
              <w:right w:val="single" w:sz="4" w:space="0" w:color="auto"/>
            </w:tcBorders>
            <w:shd w:val="clear" w:color="000000" w:fill="FFFFFF"/>
            <w:noWrap/>
            <w:vAlign w:val="bottom"/>
            <w:hideMark/>
          </w:tcPr>
          <w:p w:rsidR="006F445A" w:rsidRPr="00B72321" w:rsidRDefault="006F445A" w:rsidP="007919F3">
            <w:pPr>
              <w:jc w:val="right"/>
              <w:rPr>
                <w:rFonts w:ascii="Verdana" w:eastAsia="Times New Roman" w:hAnsi="Verdana" w:cs="Calibri"/>
                <w:b/>
                <w:bCs/>
                <w:color w:val="000000"/>
                <w:sz w:val="18"/>
                <w:szCs w:val="18"/>
              </w:rPr>
            </w:pPr>
            <w:r w:rsidRPr="00B72321">
              <w:rPr>
                <w:rFonts w:ascii="Verdana" w:eastAsia="Times New Roman" w:hAnsi="Verdana" w:cs="Calibri"/>
                <w:b/>
                <w:bCs/>
                <w:color w:val="000000"/>
                <w:sz w:val="18"/>
                <w:szCs w:val="18"/>
              </w:rPr>
              <w:t>0</w:t>
            </w:r>
          </w:p>
        </w:tc>
      </w:tr>
    </w:tbl>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r>
        <w:rPr>
          <w:rFonts w:ascii="Verdana" w:hAnsi="Verdana"/>
          <w:b/>
          <w:bCs/>
        </w:rPr>
        <w:t>Toelichting</w:t>
      </w: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r>
        <w:rPr>
          <w:rFonts w:ascii="Verdana" w:hAnsi="Verdana"/>
          <w:b/>
          <w:bCs/>
        </w:rPr>
        <w:t>Baten</w:t>
      </w:r>
    </w:p>
    <w:p w:rsidR="006F445A" w:rsidRDefault="006F445A" w:rsidP="006F445A">
      <w:pPr>
        <w:pStyle w:val="Variabelegegevens"/>
        <w:spacing w:line="240" w:lineRule="auto"/>
        <w:rPr>
          <w:rFonts w:ascii="Verdana" w:hAnsi="Verdana"/>
          <w:b/>
          <w:bCs/>
        </w:rPr>
      </w:pPr>
    </w:p>
    <w:p w:rsidR="006F445A" w:rsidRPr="00B95CC8" w:rsidRDefault="006F445A" w:rsidP="006F445A">
      <w:pPr>
        <w:pStyle w:val="Variabelegegevens"/>
        <w:spacing w:line="240" w:lineRule="auto"/>
        <w:rPr>
          <w:rFonts w:ascii="Verdana" w:hAnsi="Verdana"/>
          <w:szCs w:val="20"/>
        </w:rPr>
      </w:pPr>
      <w:r>
        <w:rPr>
          <w:rFonts w:ascii="Verdana" w:hAnsi="Verdana"/>
          <w:i/>
          <w:iCs/>
        </w:rPr>
        <w:t xml:space="preserve">Omzet IenM en </w:t>
      </w:r>
      <w:r w:rsidRPr="00F32866">
        <w:rPr>
          <w:rFonts w:ascii="Verdana" w:hAnsi="Verdana"/>
          <w:i/>
          <w:szCs w:val="20"/>
        </w:rPr>
        <w:t>Omzet overige departementen</w:t>
      </w:r>
      <w:r>
        <w:rPr>
          <w:rFonts w:ascii="Verdana" w:hAnsi="Verdana"/>
          <w:szCs w:val="20"/>
        </w:rPr>
        <w:t xml:space="preserve"> </w:t>
      </w:r>
    </w:p>
    <w:p w:rsidR="006F445A" w:rsidRDefault="006F445A" w:rsidP="006F445A">
      <w:pPr>
        <w:pStyle w:val="Variabelegegevens"/>
        <w:spacing w:line="240" w:lineRule="auto"/>
        <w:rPr>
          <w:rFonts w:ascii="Verdana" w:hAnsi="Verdana"/>
          <w:szCs w:val="20"/>
        </w:rPr>
      </w:pPr>
      <w:r w:rsidRPr="00B95CC8">
        <w:rPr>
          <w:rFonts w:ascii="Verdana" w:hAnsi="Verdana"/>
          <w:szCs w:val="20"/>
        </w:rPr>
        <w:lastRenderedPageBreak/>
        <w:t xml:space="preserve">De </w:t>
      </w:r>
      <w:r>
        <w:rPr>
          <w:rFonts w:ascii="Verdana" w:hAnsi="Verdana"/>
          <w:szCs w:val="20"/>
        </w:rPr>
        <w:t xml:space="preserve">omzet IenM en omzet vanuit overige departementen (in casu het Ministerie van Economische Zaken) nemen </w:t>
      </w:r>
      <w:r w:rsidRPr="00B95CC8">
        <w:rPr>
          <w:rFonts w:ascii="Verdana" w:hAnsi="Verdana"/>
          <w:szCs w:val="20"/>
        </w:rPr>
        <w:t>af</w:t>
      </w:r>
      <w:r>
        <w:rPr>
          <w:rFonts w:ascii="Verdana" w:hAnsi="Verdana"/>
          <w:szCs w:val="20"/>
        </w:rPr>
        <w:t xml:space="preserve"> doordat de </w:t>
      </w:r>
      <w:r w:rsidRPr="00B95CC8">
        <w:rPr>
          <w:rFonts w:ascii="Verdana" w:hAnsi="Verdana"/>
          <w:szCs w:val="20"/>
        </w:rPr>
        <w:t xml:space="preserve">Kernfysische Dienst (KFD) </w:t>
      </w:r>
      <w:r>
        <w:rPr>
          <w:rFonts w:ascii="Verdana" w:hAnsi="Verdana"/>
          <w:szCs w:val="20"/>
        </w:rPr>
        <w:t xml:space="preserve">per 1 januari 2015 is overgedragen aan de </w:t>
      </w:r>
      <w:r w:rsidRPr="00B95CC8">
        <w:rPr>
          <w:rFonts w:ascii="Verdana" w:hAnsi="Verdana"/>
          <w:szCs w:val="20"/>
        </w:rPr>
        <w:t>Autoriteit Nucleaire Veiligheid en Stralingsbescherming (ANVS).</w:t>
      </w:r>
      <w:r>
        <w:rPr>
          <w:rFonts w:ascii="Verdana" w:hAnsi="Verdana"/>
          <w:szCs w:val="20"/>
        </w:rPr>
        <w:t xml:space="preserve"> </w:t>
      </w:r>
    </w:p>
    <w:p w:rsidR="006F445A" w:rsidRDefault="006F445A" w:rsidP="006F445A">
      <w:pPr>
        <w:pStyle w:val="Variabelegegevens"/>
        <w:spacing w:line="240" w:lineRule="auto"/>
        <w:rPr>
          <w:rFonts w:ascii="Verdana" w:hAnsi="Verdana"/>
          <w:szCs w:val="20"/>
        </w:rPr>
      </w:pPr>
    </w:p>
    <w:p w:rsidR="006F445A" w:rsidRDefault="006F445A" w:rsidP="006F445A">
      <w:pPr>
        <w:pStyle w:val="Variabelegegevens"/>
        <w:spacing w:line="240" w:lineRule="auto"/>
        <w:rPr>
          <w:rFonts w:ascii="Verdana" w:hAnsi="Verdana"/>
          <w:b/>
          <w:bCs/>
        </w:rPr>
      </w:pPr>
      <w:r>
        <w:rPr>
          <w:rFonts w:ascii="Verdana" w:hAnsi="Verdana"/>
          <w:b/>
          <w:bCs/>
        </w:rPr>
        <w:t>Lasten</w:t>
      </w: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i/>
          <w:iCs/>
        </w:rPr>
      </w:pPr>
      <w:r>
        <w:rPr>
          <w:rFonts w:ascii="Verdana" w:hAnsi="Verdana"/>
          <w:i/>
          <w:iCs/>
        </w:rPr>
        <w:t>Personele en materiële kosten</w:t>
      </w:r>
    </w:p>
    <w:p w:rsidR="006F445A" w:rsidRDefault="006F445A" w:rsidP="006F445A">
      <w:pPr>
        <w:pStyle w:val="Variabelegegevens"/>
        <w:spacing w:line="240" w:lineRule="auto"/>
        <w:rPr>
          <w:rFonts w:ascii="Verdana" w:hAnsi="Verdana"/>
        </w:rPr>
      </w:pPr>
      <w:r>
        <w:rPr>
          <w:rFonts w:ascii="Verdana" w:hAnsi="Verdana"/>
        </w:rPr>
        <w:t>De personele en materiële kosten nemen evenredig met de omzet</w:t>
      </w:r>
      <w:r w:rsidRPr="00C01D07">
        <w:rPr>
          <w:rFonts w:ascii="Verdana" w:hAnsi="Verdana"/>
        </w:rPr>
        <w:t xml:space="preserve"> </w:t>
      </w:r>
      <w:r>
        <w:rPr>
          <w:rFonts w:ascii="Verdana" w:hAnsi="Verdana"/>
        </w:rPr>
        <w:t>af als gevolg van het opgaan van de KFD in ANVS.</w:t>
      </w:r>
    </w:p>
    <w:p w:rsidR="006F445A" w:rsidRDefault="006F445A" w:rsidP="006F445A">
      <w:pPr>
        <w:pStyle w:val="Variabelegegevens"/>
        <w:spacing w:line="240" w:lineRule="auto"/>
        <w:rPr>
          <w:rFonts w:ascii="Verdana" w:hAnsi="Verdana"/>
          <w:b/>
          <w:bCs/>
        </w:rPr>
      </w:pPr>
    </w:p>
    <w:tbl>
      <w:tblPr>
        <w:tblW w:w="8518" w:type="dxa"/>
        <w:tblInd w:w="57" w:type="dxa"/>
        <w:tblCellMar>
          <w:left w:w="70" w:type="dxa"/>
          <w:right w:w="70" w:type="dxa"/>
        </w:tblCellMar>
        <w:tblLook w:val="04A0" w:firstRow="1" w:lastRow="0" w:firstColumn="1" w:lastColumn="0" w:noHBand="0" w:noVBand="1"/>
      </w:tblPr>
      <w:tblGrid>
        <w:gridCol w:w="500"/>
        <w:gridCol w:w="3040"/>
        <w:gridCol w:w="1500"/>
        <w:gridCol w:w="1620"/>
        <w:gridCol w:w="1858"/>
      </w:tblGrid>
      <w:tr w:rsidR="006F445A" w:rsidRPr="00773E06" w:rsidTr="007919F3">
        <w:trPr>
          <w:trHeight w:val="300"/>
        </w:trPr>
        <w:tc>
          <w:tcPr>
            <w:tcW w:w="8518" w:type="dxa"/>
            <w:gridSpan w:val="5"/>
            <w:tcBorders>
              <w:top w:val="nil"/>
              <w:left w:val="nil"/>
              <w:bottom w:val="nil"/>
              <w:right w:val="nil"/>
            </w:tcBorders>
            <w:shd w:val="clear" w:color="auto" w:fill="auto"/>
            <w:noWrap/>
            <w:vAlign w:val="bottom"/>
            <w:hideMark/>
          </w:tcPr>
          <w:p w:rsidR="006F445A" w:rsidRPr="00773E06" w:rsidRDefault="006F445A" w:rsidP="007919F3">
            <w:pPr>
              <w:rPr>
                <w:rFonts w:ascii="Verdana" w:eastAsia="Times New Roman" w:hAnsi="Verdana" w:cs="Calibri"/>
                <w:b/>
                <w:bCs/>
                <w:color w:val="000000"/>
                <w:sz w:val="18"/>
                <w:szCs w:val="18"/>
              </w:rPr>
            </w:pPr>
          </w:p>
        </w:tc>
      </w:tr>
      <w:tr w:rsidR="006F445A" w:rsidRPr="00773E06" w:rsidTr="007919F3">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 </w:t>
            </w:r>
          </w:p>
        </w:tc>
        <w:tc>
          <w:tcPr>
            <w:tcW w:w="3040" w:type="dxa"/>
            <w:tcBorders>
              <w:top w:val="single" w:sz="4" w:space="0" w:color="auto"/>
              <w:left w:val="nil"/>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b/>
                <w:bCs/>
                <w:color w:val="000000"/>
                <w:sz w:val="18"/>
                <w:szCs w:val="18"/>
              </w:rPr>
            </w:pPr>
            <w:r>
              <w:rPr>
                <w:rFonts w:ascii="Verdana" w:eastAsia="Times New Roman" w:hAnsi="Verdana" w:cs="Calibri"/>
                <w:b/>
                <w:bCs/>
                <w:color w:val="000000"/>
                <w:sz w:val="18"/>
                <w:szCs w:val="18"/>
              </w:rPr>
              <w:t>Kasstroomoverzicht ILT</w:t>
            </w:r>
          </w:p>
        </w:tc>
        <w:tc>
          <w:tcPr>
            <w:tcW w:w="1500" w:type="dxa"/>
            <w:tcBorders>
              <w:top w:val="single" w:sz="4" w:space="0" w:color="auto"/>
              <w:left w:val="nil"/>
              <w:bottom w:val="single" w:sz="4" w:space="0" w:color="auto"/>
              <w:right w:val="single" w:sz="4" w:space="0" w:color="auto"/>
            </w:tcBorders>
            <w:shd w:val="clear" w:color="000000" w:fill="D8D8D8"/>
            <w:noWrap/>
            <w:hideMark/>
          </w:tcPr>
          <w:p w:rsidR="006F445A" w:rsidRPr="00773E06" w:rsidRDefault="006F445A" w:rsidP="007919F3">
            <w:pPr>
              <w:jc w:val="center"/>
              <w:rPr>
                <w:rFonts w:ascii="Verdana" w:eastAsia="Times New Roman" w:hAnsi="Verdana" w:cs="Calibri"/>
                <w:b/>
                <w:bCs/>
                <w:color w:val="000000"/>
                <w:sz w:val="18"/>
                <w:szCs w:val="18"/>
              </w:rPr>
            </w:pPr>
            <w:r w:rsidRPr="00773E06">
              <w:rPr>
                <w:rFonts w:ascii="Verdana" w:eastAsia="Times New Roman" w:hAnsi="Verdana" w:cs="Calibri"/>
                <w:b/>
                <w:bCs/>
                <w:color w:val="000000"/>
                <w:sz w:val="18"/>
                <w:szCs w:val="18"/>
              </w:rPr>
              <w:t>(1)</w:t>
            </w:r>
          </w:p>
        </w:tc>
        <w:tc>
          <w:tcPr>
            <w:tcW w:w="1620" w:type="dxa"/>
            <w:tcBorders>
              <w:top w:val="single" w:sz="4" w:space="0" w:color="auto"/>
              <w:left w:val="nil"/>
              <w:bottom w:val="single" w:sz="4" w:space="0" w:color="auto"/>
              <w:right w:val="single" w:sz="4" w:space="0" w:color="auto"/>
            </w:tcBorders>
            <w:shd w:val="clear" w:color="000000" w:fill="D8D8D8"/>
            <w:noWrap/>
            <w:hideMark/>
          </w:tcPr>
          <w:p w:rsidR="006F445A" w:rsidRPr="00773E06" w:rsidRDefault="006F445A" w:rsidP="007919F3">
            <w:pPr>
              <w:jc w:val="center"/>
              <w:rPr>
                <w:rFonts w:ascii="Verdana" w:eastAsia="Times New Roman" w:hAnsi="Verdana" w:cs="Calibri"/>
                <w:b/>
                <w:bCs/>
                <w:color w:val="000000"/>
                <w:sz w:val="18"/>
                <w:szCs w:val="18"/>
              </w:rPr>
            </w:pPr>
            <w:r w:rsidRPr="00773E06">
              <w:rPr>
                <w:rFonts w:ascii="Verdana" w:eastAsia="Times New Roman" w:hAnsi="Verdana" w:cs="Calibri"/>
                <w:b/>
                <w:bCs/>
                <w:color w:val="000000"/>
                <w:sz w:val="18"/>
                <w:szCs w:val="18"/>
              </w:rPr>
              <w:t>(2)</w:t>
            </w:r>
          </w:p>
        </w:tc>
        <w:tc>
          <w:tcPr>
            <w:tcW w:w="1858" w:type="dxa"/>
            <w:tcBorders>
              <w:top w:val="single" w:sz="4" w:space="0" w:color="auto"/>
              <w:left w:val="nil"/>
              <w:bottom w:val="single" w:sz="4" w:space="0" w:color="auto"/>
              <w:right w:val="single" w:sz="4" w:space="0" w:color="auto"/>
            </w:tcBorders>
            <w:shd w:val="clear" w:color="000000" w:fill="D8D8D8"/>
            <w:noWrap/>
            <w:hideMark/>
          </w:tcPr>
          <w:p w:rsidR="006F445A" w:rsidRPr="00773E06" w:rsidRDefault="006F445A" w:rsidP="007919F3">
            <w:pPr>
              <w:jc w:val="center"/>
              <w:rPr>
                <w:rFonts w:ascii="Verdana" w:eastAsia="Times New Roman" w:hAnsi="Verdana" w:cs="Calibri"/>
                <w:b/>
                <w:bCs/>
                <w:color w:val="000000"/>
                <w:sz w:val="18"/>
                <w:szCs w:val="18"/>
              </w:rPr>
            </w:pPr>
            <w:r w:rsidRPr="00773E06">
              <w:rPr>
                <w:rFonts w:ascii="Verdana" w:eastAsia="Times New Roman" w:hAnsi="Verdana" w:cs="Calibri"/>
                <w:b/>
                <w:bCs/>
                <w:color w:val="000000"/>
                <w:sz w:val="18"/>
                <w:szCs w:val="18"/>
              </w:rPr>
              <w:t>(3) = (1) +(2)</w:t>
            </w:r>
          </w:p>
        </w:tc>
      </w:tr>
      <w:tr w:rsidR="006F445A" w:rsidRPr="00773E06" w:rsidTr="007919F3">
        <w:trPr>
          <w:trHeight w:val="900"/>
        </w:trPr>
        <w:tc>
          <w:tcPr>
            <w:tcW w:w="500" w:type="dxa"/>
            <w:tcBorders>
              <w:top w:val="nil"/>
              <w:left w:val="single" w:sz="4" w:space="0" w:color="auto"/>
              <w:bottom w:val="single" w:sz="4" w:space="0" w:color="auto"/>
              <w:right w:val="single" w:sz="4" w:space="0" w:color="auto"/>
            </w:tcBorders>
            <w:shd w:val="clear" w:color="000000" w:fill="D8D8D8"/>
            <w:hideMark/>
          </w:tcPr>
          <w:p w:rsidR="006F445A" w:rsidRPr="00773E06" w:rsidRDefault="006F445A" w:rsidP="007919F3">
            <w:pPr>
              <w:jc w:val="center"/>
              <w:rPr>
                <w:rFonts w:ascii="Verdana" w:eastAsia="Times New Roman" w:hAnsi="Verdana" w:cs="Calibri"/>
                <w:color w:val="000000"/>
                <w:sz w:val="18"/>
                <w:szCs w:val="18"/>
              </w:rPr>
            </w:pPr>
            <w:r w:rsidRPr="00773E06">
              <w:rPr>
                <w:rFonts w:ascii="Verdana" w:eastAsia="Times New Roman" w:hAnsi="Verdana" w:cs="Calibri"/>
                <w:color w:val="000000"/>
                <w:sz w:val="18"/>
                <w:szCs w:val="18"/>
              </w:rPr>
              <w:t> </w:t>
            </w:r>
          </w:p>
        </w:tc>
        <w:tc>
          <w:tcPr>
            <w:tcW w:w="3040" w:type="dxa"/>
            <w:tcBorders>
              <w:top w:val="nil"/>
              <w:left w:val="nil"/>
              <w:bottom w:val="single" w:sz="4" w:space="0" w:color="auto"/>
              <w:right w:val="single" w:sz="4" w:space="0" w:color="auto"/>
            </w:tcBorders>
            <w:shd w:val="clear" w:color="000000" w:fill="D8D8D8"/>
            <w:hideMark/>
          </w:tcPr>
          <w:p w:rsidR="006F445A" w:rsidRDefault="006F445A" w:rsidP="007919F3">
            <w:pPr>
              <w:rPr>
                <w:rFonts w:ascii="Verdana" w:eastAsia="Times New Roman" w:hAnsi="Verdana" w:cs="Calibri"/>
                <w:color w:val="000000"/>
                <w:sz w:val="18"/>
                <w:szCs w:val="18"/>
              </w:rPr>
            </w:pPr>
            <w:r w:rsidRPr="00F6374D">
              <w:rPr>
                <w:rFonts w:ascii="Verdana" w:eastAsia="Times New Roman" w:hAnsi="Verdana" w:cs="Calibri"/>
                <w:bCs/>
                <w:color w:val="000000"/>
                <w:sz w:val="18"/>
                <w:szCs w:val="18"/>
              </w:rPr>
              <w:t>Omschrijving</w:t>
            </w:r>
            <w:r w:rsidRPr="00664302">
              <w:rPr>
                <w:rFonts w:ascii="Verdana" w:eastAsia="Times New Roman" w:hAnsi="Verdana" w:cs="Calibri"/>
                <w:color w:val="000000"/>
                <w:sz w:val="18"/>
                <w:szCs w:val="18"/>
              </w:rPr>
              <w:t> </w:t>
            </w:r>
          </w:p>
        </w:tc>
        <w:tc>
          <w:tcPr>
            <w:tcW w:w="1500" w:type="dxa"/>
            <w:tcBorders>
              <w:top w:val="nil"/>
              <w:left w:val="nil"/>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Oorspronkelijk vastgestelde begroting</w:t>
            </w:r>
          </w:p>
        </w:tc>
        <w:tc>
          <w:tcPr>
            <w:tcW w:w="1620" w:type="dxa"/>
            <w:tcBorders>
              <w:top w:val="nil"/>
              <w:left w:val="nil"/>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Mutaties (+of-) 1e suppletoire begroting</w:t>
            </w:r>
          </w:p>
        </w:tc>
        <w:tc>
          <w:tcPr>
            <w:tcW w:w="1858" w:type="dxa"/>
            <w:tcBorders>
              <w:top w:val="nil"/>
              <w:left w:val="nil"/>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stand 1e suppletoire begroting</w:t>
            </w:r>
          </w:p>
        </w:tc>
      </w:tr>
      <w:tr w:rsidR="006F445A" w:rsidRPr="00773E06" w:rsidTr="007919F3">
        <w:trPr>
          <w:trHeight w:val="450"/>
        </w:trPr>
        <w:tc>
          <w:tcPr>
            <w:tcW w:w="500" w:type="dxa"/>
            <w:tcBorders>
              <w:top w:val="nil"/>
              <w:left w:val="single" w:sz="4" w:space="0" w:color="auto"/>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 xml:space="preserve">1. </w:t>
            </w:r>
          </w:p>
        </w:tc>
        <w:tc>
          <w:tcPr>
            <w:tcW w:w="3040" w:type="dxa"/>
            <w:tcBorders>
              <w:top w:val="nil"/>
              <w:left w:val="nil"/>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Rekening-courant RHB 1 januari 2015</w:t>
            </w:r>
          </w:p>
        </w:tc>
        <w:tc>
          <w:tcPr>
            <w:tcW w:w="150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39.301</w:t>
            </w:r>
          </w:p>
        </w:tc>
        <w:tc>
          <w:tcPr>
            <w:tcW w:w="162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448</w:t>
            </w:r>
          </w:p>
        </w:tc>
        <w:tc>
          <w:tcPr>
            <w:tcW w:w="1858"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39.749</w:t>
            </w:r>
          </w:p>
        </w:tc>
      </w:tr>
      <w:tr w:rsidR="006F445A" w:rsidRPr="00773E06" w:rsidTr="007919F3">
        <w:trPr>
          <w:trHeight w:val="450"/>
        </w:trPr>
        <w:tc>
          <w:tcPr>
            <w:tcW w:w="500" w:type="dxa"/>
            <w:tcBorders>
              <w:top w:val="nil"/>
              <w:left w:val="single" w:sz="4" w:space="0" w:color="auto"/>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 xml:space="preserve">2. </w:t>
            </w:r>
          </w:p>
        </w:tc>
        <w:tc>
          <w:tcPr>
            <w:tcW w:w="3040" w:type="dxa"/>
            <w:tcBorders>
              <w:top w:val="nil"/>
              <w:left w:val="nil"/>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 xml:space="preserve">Totaal operationele kasstroom </w:t>
            </w:r>
          </w:p>
        </w:tc>
        <w:tc>
          <w:tcPr>
            <w:tcW w:w="150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-6.000</w:t>
            </w:r>
          </w:p>
        </w:tc>
        <w:tc>
          <w:tcPr>
            <w:tcW w:w="162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0</w:t>
            </w:r>
          </w:p>
        </w:tc>
        <w:tc>
          <w:tcPr>
            <w:tcW w:w="1858"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-6.000</w:t>
            </w:r>
          </w:p>
        </w:tc>
      </w:tr>
      <w:tr w:rsidR="006F445A" w:rsidRPr="00773E06" w:rsidTr="007919F3">
        <w:trPr>
          <w:trHeight w:val="300"/>
        </w:trPr>
        <w:tc>
          <w:tcPr>
            <w:tcW w:w="500" w:type="dxa"/>
            <w:tcBorders>
              <w:top w:val="nil"/>
              <w:left w:val="single" w:sz="4" w:space="0" w:color="auto"/>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3a.</w:t>
            </w:r>
          </w:p>
        </w:tc>
        <w:tc>
          <w:tcPr>
            <w:tcW w:w="3040" w:type="dxa"/>
            <w:tcBorders>
              <w:top w:val="nil"/>
              <w:left w:val="nil"/>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i/>
                <w:iCs/>
                <w:color w:val="000000"/>
                <w:sz w:val="18"/>
                <w:szCs w:val="18"/>
              </w:rPr>
            </w:pPr>
            <w:r w:rsidRPr="00773E06">
              <w:rPr>
                <w:rFonts w:ascii="Verdana" w:eastAsia="Times New Roman" w:hAnsi="Verdana" w:cs="Calibri"/>
                <w:i/>
                <w:iCs/>
                <w:color w:val="000000"/>
                <w:sz w:val="18"/>
                <w:szCs w:val="18"/>
              </w:rPr>
              <w:t>Totaal investeringen (–/–)</w:t>
            </w:r>
          </w:p>
        </w:tc>
        <w:tc>
          <w:tcPr>
            <w:tcW w:w="150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-2.000</w:t>
            </w:r>
          </w:p>
        </w:tc>
        <w:tc>
          <w:tcPr>
            <w:tcW w:w="162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0</w:t>
            </w:r>
          </w:p>
        </w:tc>
        <w:tc>
          <w:tcPr>
            <w:tcW w:w="1858"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-2.000</w:t>
            </w:r>
          </w:p>
        </w:tc>
      </w:tr>
      <w:tr w:rsidR="006F445A" w:rsidRPr="00773E06" w:rsidTr="007919F3">
        <w:trPr>
          <w:trHeight w:val="450"/>
        </w:trPr>
        <w:tc>
          <w:tcPr>
            <w:tcW w:w="500" w:type="dxa"/>
            <w:tcBorders>
              <w:top w:val="nil"/>
              <w:left w:val="single" w:sz="4" w:space="0" w:color="auto"/>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3b.</w:t>
            </w:r>
          </w:p>
        </w:tc>
        <w:tc>
          <w:tcPr>
            <w:tcW w:w="3040" w:type="dxa"/>
            <w:tcBorders>
              <w:top w:val="nil"/>
              <w:left w:val="nil"/>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i/>
                <w:iCs/>
                <w:color w:val="000000"/>
                <w:sz w:val="18"/>
                <w:szCs w:val="18"/>
              </w:rPr>
            </w:pPr>
            <w:r w:rsidRPr="00773E06">
              <w:rPr>
                <w:rFonts w:ascii="Verdana" w:eastAsia="Times New Roman" w:hAnsi="Verdana" w:cs="Calibri"/>
                <w:i/>
                <w:iCs/>
                <w:color w:val="000000"/>
                <w:sz w:val="18"/>
                <w:szCs w:val="18"/>
              </w:rPr>
              <w:t>Totaal boekwaarde desinvesteringen (+)</w:t>
            </w:r>
          </w:p>
        </w:tc>
        <w:tc>
          <w:tcPr>
            <w:tcW w:w="150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 </w:t>
            </w:r>
          </w:p>
        </w:tc>
        <w:tc>
          <w:tcPr>
            <w:tcW w:w="1858"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 </w:t>
            </w:r>
          </w:p>
        </w:tc>
      </w:tr>
      <w:tr w:rsidR="006F445A" w:rsidRPr="00773E06" w:rsidTr="007919F3">
        <w:trPr>
          <w:trHeight w:val="300"/>
        </w:trPr>
        <w:tc>
          <w:tcPr>
            <w:tcW w:w="500" w:type="dxa"/>
            <w:tcBorders>
              <w:top w:val="nil"/>
              <w:left w:val="single" w:sz="4" w:space="0" w:color="auto"/>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 xml:space="preserve">3. </w:t>
            </w:r>
          </w:p>
        </w:tc>
        <w:tc>
          <w:tcPr>
            <w:tcW w:w="3040" w:type="dxa"/>
            <w:tcBorders>
              <w:top w:val="nil"/>
              <w:left w:val="nil"/>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 xml:space="preserve">Totaal investeringskasstroom </w:t>
            </w:r>
          </w:p>
        </w:tc>
        <w:tc>
          <w:tcPr>
            <w:tcW w:w="150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-2.000</w:t>
            </w:r>
          </w:p>
        </w:tc>
        <w:tc>
          <w:tcPr>
            <w:tcW w:w="162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0</w:t>
            </w:r>
          </w:p>
        </w:tc>
        <w:tc>
          <w:tcPr>
            <w:tcW w:w="1858"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-2.000</w:t>
            </w:r>
          </w:p>
        </w:tc>
      </w:tr>
      <w:tr w:rsidR="006F445A" w:rsidRPr="00773E06" w:rsidTr="007919F3">
        <w:trPr>
          <w:trHeight w:val="450"/>
        </w:trPr>
        <w:tc>
          <w:tcPr>
            <w:tcW w:w="500" w:type="dxa"/>
            <w:tcBorders>
              <w:top w:val="nil"/>
              <w:left w:val="single" w:sz="4" w:space="0" w:color="auto"/>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4a.</w:t>
            </w:r>
          </w:p>
        </w:tc>
        <w:tc>
          <w:tcPr>
            <w:tcW w:w="3040" w:type="dxa"/>
            <w:tcBorders>
              <w:top w:val="nil"/>
              <w:left w:val="nil"/>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i/>
                <w:iCs/>
                <w:color w:val="000000"/>
                <w:sz w:val="18"/>
                <w:szCs w:val="18"/>
              </w:rPr>
            </w:pPr>
            <w:r w:rsidRPr="00773E06">
              <w:rPr>
                <w:rFonts w:ascii="Verdana" w:eastAsia="Times New Roman" w:hAnsi="Verdana" w:cs="Calibri"/>
                <w:i/>
                <w:iCs/>
                <w:color w:val="000000"/>
                <w:sz w:val="18"/>
                <w:szCs w:val="18"/>
              </w:rPr>
              <w:t>Eenmalige uitkering aan moederdepartement (–/–)</w:t>
            </w:r>
          </w:p>
        </w:tc>
        <w:tc>
          <w:tcPr>
            <w:tcW w:w="150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i/>
                <w:iCs/>
                <w:color w:val="000000"/>
                <w:sz w:val="18"/>
                <w:szCs w:val="18"/>
              </w:rPr>
            </w:pPr>
            <w:r w:rsidRPr="00773E06">
              <w:rPr>
                <w:rFonts w:ascii="Verdana" w:eastAsia="Times New Roman" w:hAnsi="Verdana" w:cs="Calibri"/>
                <w:i/>
                <w:iCs/>
                <w:color w:val="000000"/>
                <w:sz w:val="18"/>
                <w:szCs w:val="18"/>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i/>
                <w:iCs/>
                <w:color w:val="000000"/>
                <w:sz w:val="18"/>
                <w:szCs w:val="18"/>
              </w:rPr>
            </w:pPr>
            <w:r>
              <w:rPr>
                <w:rFonts w:ascii="Verdana" w:eastAsia="Times New Roman" w:hAnsi="Verdana" w:cs="Calibri"/>
                <w:i/>
                <w:iCs/>
                <w:color w:val="000000"/>
                <w:sz w:val="18"/>
                <w:szCs w:val="18"/>
              </w:rPr>
              <w:t>-491</w:t>
            </w:r>
            <w:r w:rsidRPr="00773E06">
              <w:rPr>
                <w:rFonts w:ascii="Verdana" w:eastAsia="Times New Roman" w:hAnsi="Verdana" w:cs="Calibri"/>
                <w:i/>
                <w:iCs/>
                <w:color w:val="000000"/>
                <w:sz w:val="18"/>
                <w:szCs w:val="18"/>
              </w:rPr>
              <w:t> </w:t>
            </w:r>
          </w:p>
        </w:tc>
        <w:tc>
          <w:tcPr>
            <w:tcW w:w="1858"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i/>
                <w:iCs/>
                <w:color w:val="000000"/>
                <w:sz w:val="18"/>
                <w:szCs w:val="18"/>
              </w:rPr>
            </w:pPr>
            <w:r>
              <w:rPr>
                <w:rFonts w:ascii="Verdana" w:eastAsia="Times New Roman" w:hAnsi="Verdana" w:cs="Calibri"/>
                <w:i/>
                <w:iCs/>
                <w:color w:val="000000"/>
                <w:sz w:val="18"/>
                <w:szCs w:val="18"/>
              </w:rPr>
              <w:t>-491</w:t>
            </w:r>
            <w:r w:rsidRPr="00773E06">
              <w:rPr>
                <w:rFonts w:ascii="Verdana" w:eastAsia="Times New Roman" w:hAnsi="Verdana" w:cs="Calibri"/>
                <w:i/>
                <w:iCs/>
                <w:color w:val="000000"/>
                <w:sz w:val="18"/>
                <w:szCs w:val="18"/>
              </w:rPr>
              <w:t> </w:t>
            </w:r>
          </w:p>
        </w:tc>
      </w:tr>
      <w:tr w:rsidR="006F445A" w:rsidRPr="00773E06" w:rsidTr="007919F3">
        <w:trPr>
          <w:trHeight w:val="450"/>
        </w:trPr>
        <w:tc>
          <w:tcPr>
            <w:tcW w:w="500" w:type="dxa"/>
            <w:tcBorders>
              <w:top w:val="nil"/>
              <w:left w:val="single" w:sz="4" w:space="0" w:color="auto"/>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4b.</w:t>
            </w:r>
          </w:p>
        </w:tc>
        <w:tc>
          <w:tcPr>
            <w:tcW w:w="3040" w:type="dxa"/>
            <w:tcBorders>
              <w:top w:val="nil"/>
              <w:left w:val="nil"/>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i/>
                <w:iCs/>
                <w:color w:val="000000"/>
                <w:sz w:val="18"/>
                <w:szCs w:val="18"/>
              </w:rPr>
            </w:pPr>
            <w:r w:rsidRPr="00773E06">
              <w:rPr>
                <w:rFonts w:ascii="Verdana" w:eastAsia="Times New Roman" w:hAnsi="Verdana" w:cs="Calibri"/>
                <w:i/>
                <w:iCs/>
                <w:color w:val="000000"/>
                <w:sz w:val="18"/>
                <w:szCs w:val="18"/>
              </w:rPr>
              <w:t>Eenmalige storting door het moederdepartement (+)</w:t>
            </w:r>
          </w:p>
        </w:tc>
        <w:tc>
          <w:tcPr>
            <w:tcW w:w="150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i/>
                <w:iCs/>
                <w:color w:val="000000"/>
                <w:sz w:val="18"/>
                <w:szCs w:val="18"/>
              </w:rPr>
            </w:pPr>
            <w:r w:rsidRPr="00773E06">
              <w:rPr>
                <w:rFonts w:ascii="Verdana" w:eastAsia="Times New Roman" w:hAnsi="Verdana" w:cs="Calibri"/>
                <w:i/>
                <w:iCs/>
                <w:color w:val="000000"/>
                <w:sz w:val="18"/>
                <w:szCs w:val="18"/>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i/>
                <w:iCs/>
                <w:color w:val="000000"/>
                <w:sz w:val="18"/>
                <w:szCs w:val="18"/>
              </w:rPr>
            </w:pPr>
            <w:r w:rsidRPr="00773E06">
              <w:rPr>
                <w:rFonts w:ascii="Verdana" w:eastAsia="Times New Roman" w:hAnsi="Verdana" w:cs="Calibri"/>
                <w:i/>
                <w:iCs/>
                <w:color w:val="000000"/>
                <w:sz w:val="18"/>
                <w:szCs w:val="18"/>
              </w:rPr>
              <w:t> </w:t>
            </w:r>
          </w:p>
        </w:tc>
        <w:tc>
          <w:tcPr>
            <w:tcW w:w="1858"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i/>
                <w:iCs/>
                <w:color w:val="000000"/>
                <w:sz w:val="18"/>
                <w:szCs w:val="18"/>
              </w:rPr>
            </w:pPr>
            <w:r w:rsidRPr="00773E06">
              <w:rPr>
                <w:rFonts w:ascii="Verdana" w:eastAsia="Times New Roman" w:hAnsi="Verdana" w:cs="Calibri"/>
                <w:i/>
                <w:iCs/>
                <w:color w:val="000000"/>
                <w:sz w:val="18"/>
                <w:szCs w:val="18"/>
              </w:rPr>
              <w:t> </w:t>
            </w:r>
          </w:p>
        </w:tc>
      </w:tr>
      <w:tr w:rsidR="006F445A" w:rsidRPr="00773E06" w:rsidTr="007919F3">
        <w:trPr>
          <w:trHeight w:val="300"/>
        </w:trPr>
        <w:tc>
          <w:tcPr>
            <w:tcW w:w="500" w:type="dxa"/>
            <w:tcBorders>
              <w:top w:val="nil"/>
              <w:left w:val="single" w:sz="4" w:space="0" w:color="auto"/>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4c.</w:t>
            </w:r>
          </w:p>
        </w:tc>
        <w:tc>
          <w:tcPr>
            <w:tcW w:w="3040" w:type="dxa"/>
            <w:tcBorders>
              <w:top w:val="nil"/>
              <w:left w:val="nil"/>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i/>
                <w:iCs/>
                <w:color w:val="000000"/>
                <w:sz w:val="18"/>
                <w:szCs w:val="18"/>
              </w:rPr>
            </w:pPr>
            <w:r w:rsidRPr="00773E06">
              <w:rPr>
                <w:rFonts w:ascii="Verdana" w:eastAsia="Times New Roman" w:hAnsi="Verdana" w:cs="Calibri"/>
                <w:i/>
                <w:iCs/>
                <w:color w:val="000000"/>
                <w:sz w:val="18"/>
                <w:szCs w:val="18"/>
              </w:rPr>
              <w:t>Aflossingen op leningen (–/–)</w:t>
            </w:r>
          </w:p>
        </w:tc>
        <w:tc>
          <w:tcPr>
            <w:tcW w:w="150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rPr>
                <w:rFonts w:ascii="Verdana" w:eastAsia="Times New Roman" w:hAnsi="Verdana" w:cs="Calibri"/>
                <w:b/>
                <w:bCs/>
                <w:color w:val="000000"/>
                <w:sz w:val="18"/>
                <w:szCs w:val="18"/>
              </w:rPr>
            </w:pPr>
            <w:r w:rsidRPr="00773E06">
              <w:rPr>
                <w:rFonts w:ascii="Verdana" w:eastAsia="Times New Roman" w:hAnsi="Verdana" w:cs="Calibri"/>
                <w:b/>
                <w:bCs/>
                <w:color w:val="000000"/>
                <w:sz w:val="18"/>
                <w:szCs w:val="18"/>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rPr>
                <w:rFonts w:ascii="Verdana" w:eastAsia="Times New Roman" w:hAnsi="Verdana" w:cs="Calibri"/>
                <w:b/>
                <w:bCs/>
                <w:color w:val="000000"/>
                <w:sz w:val="18"/>
                <w:szCs w:val="18"/>
              </w:rPr>
            </w:pPr>
            <w:r w:rsidRPr="00773E06">
              <w:rPr>
                <w:rFonts w:ascii="Verdana" w:eastAsia="Times New Roman" w:hAnsi="Verdana" w:cs="Calibri"/>
                <w:b/>
                <w:bCs/>
                <w:color w:val="000000"/>
                <w:sz w:val="18"/>
                <w:szCs w:val="18"/>
              </w:rPr>
              <w:t> </w:t>
            </w:r>
          </w:p>
        </w:tc>
        <w:tc>
          <w:tcPr>
            <w:tcW w:w="1858"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rPr>
                <w:rFonts w:ascii="Verdana" w:eastAsia="Times New Roman" w:hAnsi="Verdana" w:cs="Calibri"/>
                <w:b/>
                <w:bCs/>
                <w:color w:val="000000"/>
                <w:sz w:val="18"/>
                <w:szCs w:val="18"/>
              </w:rPr>
            </w:pPr>
            <w:r w:rsidRPr="00773E06">
              <w:rPr>
                <w:rFonts w:ascii="Verdana" w:eastAsia="Times New Roman" w:hAnsi="Verdana" w:cs="Calibri"/>
                <w:b/>
                <w:bCs/>
                <w:color w:val="000000"/>
                <w:sz w:val="18"/>
                <w:szCs w:val="18"/>
              </w:rPr>
              <w:t> </w:t>
            </w:r>
          </w:p>
        </w:tc>
      </w:tr>
      <w:tr w:rsidR="006F445A" w:rsidRPr="00773E06" w:rsidTr="007919F3">
        <w:trPr>
          <w:trHeight w:val="300"/>
        </w:trPr>
        <w:tc>
          <w:tcPr>
            <w:tcW w:w="500" w:type="dxa"/>
            <w:tcBorders>
              <w:top w:val="nil"/>
              <w:left w:val="single" w:sz="4" w:space="0" w:color="auto"/>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4d.</w:t>
            </w:r>
          </w:p>
        </w:tc>
        <w:tc>
          <w:tcPr>
            <w:tcW w:w="3040" w:type="dxa"/>
            <w:tcBorders>
              <w:top w:val="nil"/>
              <w:left w:val="nil"/>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i/>
                <w:iCs/>
                <w:color w:val="000000"/>
                <w:sz w:val="18"/>
                <w:szCs w:val="18"/>
              </w:rPr>
            </w:pPr>
            <w:r w:rsidRPr="00773E06">
              <w:rPr>
                <w:rFonts w:ascii="Verdana" w:eastAsia="Times New Roman" w:hAnsi="Verdana" w:cs="Calibri"/>
                <w:i/>
                <w:iCs/>
                <w:color w:val="000000"/>
                <w:sz w:val="18"/>
                <w:szCs w:val="18"/>
              </w:rPr>
              <w:t>Beroep op leenfaciliteit (+)</w:t>
            </w:r>
          </w:p>
        </w:tc>
        <w:tc>
          <w:tcPr>
            <w:tcW w:w="150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 </w:t>
            </w:r>
          </w:p>
        </w:tc>
        <w:tc>
          <w:tcPr>
            <w:tcW w:w="1858"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 </w:t>
            </w:r>
          </w:p>
        </w:tc>
      </w:tr>
      <w:tr w:rsidR="006F445A" w:rsidRPr="00773E06" w:rsidTr="007919F3">
        <w:trPr>
          <w:trHeight w:val="300"/>
        </w:trPr>
        <w:tc>
          <w:tcPr>
            <w:tcW w:w="500" w:type="dxa"/>
            <w:tcBorders>
              <w:top w:val="nil"/>
              <w:left w:val="single" w:sz="4" w:space="0" w:color="auto"/>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 xml:space="preserve">4. </w:t>
            </w:r>
          </w:p>
        </w:tc>
        <w:tc>
          <w:tcPr>
            <w:tcW w:w="3040" w:type="dxa"/>
            <w:tcBorders>
              <w:top w:val="nil"/>
              <w:left w:val="nil"/>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 xml:space="preserve">Totaal financieringskasstroom </w:t>
            </w:r>
          </w:p>
        </w:tc>
        <w:tc>
          <w:tcPr>
            <w:tcW w:w="150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 </w:t>
            </w:r>
          </w:p>
        </w:tc>
        <w:tc>
          <w:tcPr>
            <w:tcW w:w="1858"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sidRPr="00773E06">
              <w:rPr>
                <w:rFonts w:ascii="Verdana" w:eastAsia="Times New Roman" w:hAnsi="Verdana" w:cs="Calibri"/>
                <w:color w:val="000000"/>
                <w:sz w:val="18"/>
                <w:szCs w:val="18"/>
              </w:rPr>
              <w:t> </w:t>
            </w:r>
          </w:p>
        </w:tc>
      </w:tr>
      <w:tr w:rsidR="006F445A" w:rsidRPr="00773E06" w:rsidTr="007919F3">
        <w:trPr>
          <w:trHeight w:val="675"/>
        </w:trPr>
        <w:tc>
          <w:tcPr>
            <w:tcW w:w="500" w:type="dxa"/>
            <w:tcBorders>
              <w:top w:val="nil"/>
              <w:left w:val="single" w:sz="4" w:space="0" w:color="auto"/>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 xml:space="preserve">5. </w:t>
            </w:r>
          </w:p>
        </w:tc>
        <w:tc>
          <w:tcPr>
            <w:tcW w:w="3040" w:type="dxa"/>
            <w:tcBorders>
              <w:top w:val="nil"/>
              <w:left w:val="nil"/>
              <w:bottom w:val="single" w:sz="4" w:space="0" w:color="auto"/>
              <w:right w:val="single" w:sz="4" w:space="0" w:color="auto"/>
            </w:tcBorders>
            <w:shd w:val="clear" w:color="000000" w:fill="D8D8D8"/>
            <w:hideMark/>
          </w:tcPr>
          <w:p w:rsidR="006F445A" w:rsidRPr="00773E06" w:rsidRDefault="006F445A" w:rsidP="007919F3">
            <w:pPr>
              <w:rPr>
                <w:rFonts w:ascii="Verdana" w:eastAsia="Times New Roman" w:hAnsi="Verdana" w:cs="Calibri"/>
                <w:color w:val="000000"/>
                <w:sz w:val="18"/>
                <w:szCs w:val="18"/>
              </w:rPr>
            </w:pPr>
            <w:r w:rsidRPr="00773E06">
              <w:rPr>
                <w:rFonts w:ascii="Verdana" w:eastAsia="Times New Roman" w:hAnsi="Verdana" w:cs="Calibri"/>
                <w:color w:val="000000"/>
                <w:sz w:val="18"/>
                <w:szCs w:val="18"/>
              </w:rPr>
              <w:t xml:space="preserve">Rekening-courant RHB 31 december 2015  (=1+2+3+4) </w:t>
            </w:r>
          </w:p>
        </w:tc>
        <w:tc>
          <w:tcPr>
            <w:tcW w:w="150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Pr>
                <w:rFonts w:ascii="Verdana" w:eastAsia="Times New Roman" w:hAnsi="Verdana" w:cs="Calibri"/>
                <w:color w:val="000000"/>
                <w:sz w:val="18"/>
                <w:szCs w:val="18"/>
              </w:rPr>
              <w:t>31.301*</w:t>
            </w:r>
          </w:p>
        </w:tc>
        <w:tc>
          <w:tcPr>
            <w:tcW w:w="1620"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Pr>
                <w:rFonts w:ascii="Verdana" w:eastAsia="Times New Roman" w:hAnsi="Verdana" w:cs="Calibri"/>
                <w:color w:val="000000"/>
                <w:sz w:val="18"/>
                <w:szCs w:val="18"/>
              </w:rPr>
              <w:t>-43</w:t>
            </w:r>
          </w:p>
        </w:tc>
        <w:tc>
          <w:tcPr>
            <w:tcW w:w="1858" w:type="dxa"/>
            <w:tcBorders>
              <w:top w:val="nil"/>
              <w:left w:val="nil"/>
              <w:bottom w:val="single" w:sz="4" w:space="0" w:color="auto"/>
              <w:right w:val="single" w:sz="4" w:space="0" w:color="auto"/>
            </w:tcBorders>
            <w:shd w:val="clear" w:color="000000" w:fill="FFFFFF"/>
            <w:noWrap/>
            <w:vAlign w:val="bottom"/>
            <w:hideMark/>
          </w:tcPr>
          <w:p w:rsidR="006F445A" w:rsidRPr="00773E06" w:rsidRDefault="006F445A" w:rsidP="007919F3">
            <w:pPr>
              <w:jc w:val="right"/>
              <w:rPr>
                <w:rFonts w:ascii="Verdana" w:eastAsia="Times New Roman" w:hAnsi="Verdana" w:cs="Calibri"/>
                <w:color w:val="000000"/>
                <w:sz w:val="18"/>
                <w:szCs w:val="18"/>
              </w:rPr>
            </w:pPr>
            <w:r>
              <w:rPr>
                <w:rFonts w:ascii="Verdana" w:eastAsia="Times New Roman" w:hAnsi="Verdana" w:cs="Calibri"/>
                <w:color w:val="000000"/>
                <w:sz w:val="18"/>
                <w:szCs w:val="18"/>
              </w:rPr>
              <w:t>31.258</w:t>
            </w:r>
          </w:p>
        </w:tc>
      </w:tr>
    </w:tbl>
    <w:p w:rsidR="006F445A" w:rsidRPr="003176CE" w:rsidRDefault="006F445A" w:rsidP="006F445A">
      <w:pPr>
        <w:pStyle w:val="Variabelegegevens"/>
        <w:spacing w:line="240" w:lineRule="auto"/>
        <w:rPr>
          <w:rFonts w:ascii="Verdana" w:hAnsi="Verdana"/>
          <w:bCs/>
          <w:sz w:val="16"/>
          <w:szCs w:val="16"/>
        </w:rPr>
      </w:pPr>
      <w:r w:rsidRPr="00842E1F">
        <w:rPr>
          <w:rFonts w:ascii="Verdana" w:hAnsi="Verdana"/>
          <w:bCs/>
          <w:sz w:val="16"/>
          <w:szCs w:val="16"/>
        </w:rPr>
        <w:t xml:space="preserve">* In OB 2015 stond </w:t>
      </w:r>
      <w:r>
        <w:rPr>
          <w:rFonts w:ascii="Verdana" w:hAnsi="Verdana"/>
          <w:bCs/>
          <w:sz w:val="16"/>
          <w:szCs w:val="16"/>
        </w:rPr>
        <w:t>een foutieve optelling.</w:t>
      </w:r>
    </w:p>
    <w:p w:rsidR="006F445A" w:rsidRDefault="006F445A" w:rsidP="006F445A">
      <w:pPr>
        <w:pStyle w:val="Variabelegegevens"/>
        <w:spacing w:line="240" w:lineRule="auto"/>
        <w:rPr>
          <w:rFonts w:ascii="Verdana" w:hAnsi="Verdana"/>
          <w:b/>
          <w:bCs/>
        </w:rPr>
      </w:pPr>
    </w:p>
    <w:p w:rsidR="006F445A" w:rsidRPr="00862C5D" w:rsidRDefault="006F445A" w:rsidP="006F445A">
      <w:pPr>
        <w:pStyle w:val="Variabelegegevens"/>
        <w:spacing w:line="240" w:lineRule="auto"/>
        <w:rPr>
          <w:rFonts w:ascii="Verdana" w:hAnsi="Verdana"/>
          <w:b/>
          <w:bCs/>
        </w:rPr>
      </w:pPr>
      <w:r w:rsidRPr="00862C5D">
        <w:rPr>
          <w:rFonts w:ascii="Verdana" w:hAnsi="Verdana"/>
          <w:b/>
          <w:bCs/>
        </w:rPr>
        <w:t>Toelichting</w:t>
      </w:r>
    </w:p>
    <w:p w:rsidR="006F445A" w:rsidRPr="00862C5D" w:rsidRDefault="006F445A" w:rsidP="006F445A">
      <w:pPr>
        <w:pStyle w:val="Variabelegegevens"/>
        <w:spacing w:line="240" w:lineRule="auto"/>
        <w:rPr>
          <w:rFonts w:ascii="Verdana" w:hAnsi="Verdana"/>
        </w:rPr>
      </w:pPr>
      <w:r w:rsidRPr="00862C5D">
        <w:rPr>
          <w:rFonts w:ascii="Verdana" w:hAnsi="Verdana"/>
        </w:rPr>
        <w:t>De rekening-courant RHB per 1 januari 2015 is geactualiseerd op basis van de jaarrekening 2014.</w:t>
      </w:r>
      <w:r>
        <w:rPr>
          <w:rFonts w:ascii="Verdana" w:hAnsi="Verdana"/>
        </w:rPr>
        <w:t xml:space="preserve">  </w:t>
      </w:r>
      <w:r w:rsidRPr="00862C5D">
        <w:rPr>
          <w:rFonts w:ascii="Verdana" w:hAnsi="Verdana"/>
        </w:rPr>
        <w:t xml:space="preserve"> </w:t>
      </w: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p w:rsidR="006F445A" w:rsidRDefault="006F445A" w:rsidP="006F445A">
      <w:pPr>
        <w:pStyle w:val="Variabelegegevens"/>
        <w:spacing w:line="240" w:lineRule="auto"/>
        <w:rPr>
          <w:rFonts w:ascii="Verdana" w:hAnsi="Verdana"/>
          <w:b/>
          <w:bCs/>
        </w:rPr>
      </w:pPr>
    </w:p>
    <w:p w:rsidR="006F445A" w:rsidRPr="00F22CDC" w:rsidRDefault="006F445A" w:rsidP="006F445A">
      <w:pPr>
        <w:rPr>
          <w:rFonts w:ascii="Verdana" w:hAnsi="Verdana"/>
          <w:sz w:val="18"/>
          <w:szCs w:val="18"/>
        </w:rPr>
      </w:pPr>
    </w:p>
    <w:p w:rsidR="006F445A" w:rsidRPr="00B95CC8" w:rsidRDefault="006F445A" w:rsidP="006F445A">
      <w:pPr>
        <w:pStyle w:val="Variabelegegevens"/>
        <w:keepLines w:val="0"/>
        <w:spacing w:line="240" w:lineRule="auto"/>
        <w:rPr>
          <w:rFonts w:ascii="Verdana" w:hAnsi="Verdana"/>
          <w:szCs w:val="20"/>
        </w:rPr>
      </w:pPr>
    </w:p>
    <w:p w:rsidR="009E7070" w:rsidRDefault="009E7070">
      <w:bookmarkStart w:id="0" w:name="_GoBack"/>
      <w:bookmarkEnd w:id="0"/>
    </w:p>
    <w:sectPr w:rsidR="009E7070" w:rsidSect="006F445A">
      <w:pgSz w:w="11907" w:h="16840" w:code="9"/>
      <w:pgMar w:top="1417" w:right="1275" w:bottom="1417" w:left="1417" w:header="709" w:footer="709"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amp;W Syntax (Adobe)">
    <w:altName w:val="Segoe UI"/>
    <w:charset w:val="00"/>
    <w:family w:val="swiss"/>
    <w:pitch w:val="variable"/>
    <w:sig w:usb0="A0000007" w:usb1="00000000" w:usb2="00000000" w:usb3="00000000" w:csb0="00000111"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D21"/>
    <w:multiLevelType w:val="hybridMultilevel"/>
    <w:tmpl w:val="1D3002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F36158"/>
    <w:multiLevelType w:val="hybridMultilevel"/>
    <w:tmpl w:val="6136C998"/>
    <w:lvl w:ilvl="0" w:tplc="D5A00C2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B7E1708"/>
    <w:multiLevelType w:val="hybridMultilevel"/>
    <w:tmpl w:val="ABE4F8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E7B4165"/>
    <w:multiLevelType w:val="hybridMultilevel"/>
    <w:tmpl w:val="550C3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94065CD"/>
    <w:multiLevelType w:val="hybridMultilevel"/>
    <w:tmpl w:val="A2A070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981271E"/>
    <w:multiLevelType w:val="hybridMultilevel"/>
    <w:tmpl w:val="AA1C8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F2B8C"/>
    <w:multiLevelType w:val="hybridMultilevel"/>
    <w:tmpl w:val="A7340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E5D5737"/>
    <w:multiLevelType w:val="hybridMultilevel"/>
    <w:tmpl w:val="FC3AF2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57F13D2"/>
    <w:multiLevelType w:val="hybridMultilevel"/>
    <w:tmpl w:val="24EA80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35803072"/>
    <w:multiLevelType w:val="multilevel"/>
    <w:tmpl w:val="A4B678C0"/>
    <w:lvl w:ilvl="0">
      <w:start w:val="13"/>
      <w:numFmt w:val="decimal"/>
      <w:lvlText w:val="%1"/>
      <w:lvlJc w:val="left"/>
      <w:pPr>
        <w:ind w:left="615" w:hanging="615"/>
      </w:pPr>
      <w:rPr>
        <w:rFonts w:hint="default"/>
        <w:b/>
        <w:i w:val="0"/>
        <w:u w:val="none"/>
      </w:rPr>
    </w:lvl>
    <w:lvl w:ilvl="1">
      <w:start w:val="5"/>
      <w:numFmt w:val="decimalZero"/>
      <w:lvlText w:val="%1.%2"/>
      <w:lvlJc w:val="left"/>
      <w:pPr>
        <w:ind w:left="720" w:hanging="720"/>
      </w:pPr>
      <w:rPr>
        <w:rFonts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1080" w:hanging="1080"/>
      </w:pPr>
      <w:rPr>
        <w:rFonts w:hint="default"/>
        <w:b/>
        <w:i w:val="0"/>
        <w:u w:val="none"/>
      </w:rPr>
    </w:lvl>
    <w:lvl w:ilvl="4">
      <w:start w:val="1"/>
      <w:numFmt w:val="decimal"/>
      <w:lvlText w:val="%1.%2.%3.%4.%5"/>
      <w:lvlJc w:val="left"/>
      <w:pPr>
        <w:ind w:left="1440" w:hanging="1440"/>
      </w:pPr>
      <w:rPr>
        <w:rFonts w:hint="default"/>
        <w:b/>
        <w:i w:val="0"/>
        <w:u w:val="none"/>
      </w:rPr>
    </w:lvl>
    <w:lvl w:ilvl="5">
      <w:start w:val="1"/>
      <w:numFmt w:val="decimal"/>
      <w:lvlText w:val="%1.%2.%3.%4.%5.%6"/>
      <w:lvlJc w:val="left"/>
      <w:pPr>
        <w:ind w:left="1440" w:hanging="1440"/>
      </w:pPr>
      <w:rPr>
        <w:rFonts w:hint="default"/>
        <w:b/>
        <w:i w:val="0"/>
        <w:u w:val="none"/>
      </w:rPr>
    </w:lvl>
    <w:lvl w:ilvl="6">
      <w:start w:val="1"/>
      <w:numFmt w:val="decimal"/>
      <w:lvlText w:val="%1.%2.%3.%4.%5.%6.%7"/>
      <w:lvlJc w:val="left"/>
      <w:pPr>
        <w:ind w:left="1800" w:hanging="1800"/>
      </w:pPr>
      <w:rPr>
        <w:rFonts w:hint="default"/>
        <w:b/>
        <w:i w:val="0"/>
        <w:u w:val="none"/>
      </w:rPr>
    </w:lvl>
    <w:lvl w:ilvl="7">
      <w:start w:val="1"/>
      <w:numFmt w:val="decimal"/>
      <w:lvlText w:val="%1.%2.%3.%4.%5.%6.%7.%8"/>
      <w:lvlJc w:val="left"/>
      <w:pPr>
        <w:ind w:left="2160" w:hanging="2160"/>
      </w:pPr>
      <w:rPr>
        <w:rFonts w:hint="default"/>
        <w:b/>
        <w:i w:val="0"/>
        <w:u w:val="none"/>
      </w:rPr>
    </w:lvl>
    <w:lvl w:ilvl="8">
      <w:start w:val="1"/>
      <w:numFmt w:val="decimal"/>
      <w:lvlText w:val="%1.%2.%3.%4.%5.%6.%7.%8.%9"/>
      <w:lvlJc w:val="left"/>
      <w:pPr>
        <w:ind w:left="2160" w:hanging="2160"/>
      </w:pPr>
      <w:rPr>
        <w:rFonts w:hint="default"/>
        <w:b/>
        <w:i w:val="0"/>
        <w:u w:val="none"/>
      </w:rPr>
    </w:lvl>
  </w:abstractNum>
  <w:abstractNum w:abstractNumId="10">
    <w:nsid w:val="37EB718A"/>
    <w:multiLevelType w:val="hybridMultilevel"/>
    <w:tmpl w:val="0A5831D2"/>
    <w:lvl w:ilvl="0" w:tplc="04130001">
      <w:start w:val="1"/>
      <w:numFmt w:val="bullet"/>
      <w:lvlText w:val=""/>
      <w:lvlJc w:val="left"/>
      <w:pPr>
        <w:ind w:left="720" w:hanging="360"/>
      </w:pPr>
      <w:rPr>
        <w:rFonts w:ascii="Symbol" w:hAnsi="Symbol" w:hint="default"/>
      </w:rPr>
    </w:lvl>
    <w:lvl w:ilvl="1" w:tplc="1984352C">
      <w:numFmt w:val="bullet"/>
      <w:lvlText w:val="-"/>
      <w:lvlJc w:val="left"/>
      <w:pPr>
        <w:ind w:left="1440" w:hanging="360"/>
      </w:pPr>
      <w:rPr>
        <w:rFonts w:ascii="Verdana" w:eastAsia="MS Mincho"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250F85"/>
    <w:multiLevelType w:val="hybridMultilevel"/>
    <w:tmpl w:val="1B0AA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A6A38D4"/>
    <w:multiLevelType w:val="hybridMultilevel"/>
    <w:tmpl w:val="93EC4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0A3662B"/>
    <w:multiLevelType w:val="hybridMultilevel"/>
    <w:tmpl w:val="27F89A60"/>
    <w:lvl w:ilvl="0" w:tplc="04130001">
      <w:start w:val="1"/>
      <w:numFmt w:val="bullet"/>
      <w:lvlText w:val=""/>
      <w:lvlJc w:val="left"/>
      <w:pPr>
        <w:ind w:left="1260" w:hanging="360"/>
      </w:pPr>
      <w:rPr>
        <w:rFonts w:ascii="Symbol" w:hAnsi="Symbol" w:hint="default"/>
      </w:rPr>
    </w:lvl>
    <w:lvl w:ilvl="1" w:tplc="04130003" w:tentative="1">
      <w:start w:val="1"/>
      <w:numFmt w:val="bullet"/>
      <w:lvlText w:val="o"/>
      <w:lvlJc w:val="left"/>
      <w:pPr>
        <w:ind w:left="1980" w:hanging="360"/>
      </w:pPr>
      <w:rPr>
        <w:rFonts w:ascii="Courier New" w:hAnsi="Courier New" w:cs="Courier New" w:hint="default"/>
      </w:rPr>
    </w:lvl>
    <w:lvl w:ilvl="2" w:tplc="04130005" w:tentative="1">
      <w:start w:val="1"/>
      <w:numFmt w:val="bullet"/>
      <w:lvlText w:val=""/>
      <w:lvlJc w:val="left"/>
      <w:pPr>
        <w:ind w:left="2700" w:hanging="360"/>
      </w:pPr>
      <w:rPr>
        <w:rFonts w:ascii="Wingdings" w:hAnsi="Wingdings" w:hint="default"/>
      </w:rPr>
    </w:lvl>
    <w:lvl w:ilvl="3" w:tplc="04130001" w:tentative="1">
      <w:start w:val="1"/>
      <w:numFmt w:val="bullet"/>
      <w:lvlText w:val=""/>
      <w:lvlJc w:val="left"/>
      <w:pPr>
        <w:ind w:left="3420" w:hanging="360"/>
      </w:pPr>
      <w:rPr>
        <w:rFonts w:ascii="Symbol" w:hAnsi="Symbol" w:hint="default"/>
      </w:rPr>
    </w:lvl>
    <w:lvl w:ilvl="4" w:tplc="04130003" w:tentative="1">
      <w:start w:val="1"/>
      <w:numFmt w:val="bullet"/>
      <w:lvlText w:val="o"/>
      <w:lvlJc w:val="left"/>
      <w:pPr>
        <w:ind w:left="4140" w:hanging="360"/>
      </w:pPr>
      <w:rPr>
        <w:rFonts w:ascii="Courier New" w:hAnsi="Courier New" w:cs="Courier New" w:hint="default"/>
      </w:rPr>
    </w:lvl>
    <w:lvl w:ilvl="5" w:tplc="04130005" w:tentative="1">
      <w:start w:val="1"/>
      <w:numFmt w:val="bullet"/>
      <w:lvlText w:val=""/>
      <w:lvlJc w:val="left"/>
      <w:pPr>
        <w:ind w:left="4860" w:hanging="360"/>
      </w:pPr>
      <w:rPr>
        <w:rFonts w:ascii="Wingdings" w:hAnsi="Wingdings" w:hint="default"/>
      </w:rPr>
    </w:lvl>
    <w:lvl w:ilvl="6" w:tplc="04130001" w:tentative="1">
      <w:start w:val="1"/>
      <w:numFmt w:val="bullet"/>
      <w:lvlText w:val=""/>
      <w:lvlJc w:val="left"/>
      <w:pPr>
        <w:ind w:left="5580" w:hanging="360"/>
      </w:pPr>
      <w:rPr>
        <w:rFonts w:ascii="Symbol" w:hAnsi="Symbol" w:hint="default"/>
      </w:rPr>
    </w:lvl>
    <w:lvl w:ilvl="7" w:tplc="04130003" w:tentative="1">
      <w:start w:val="1"/>
      <w:numFmt w:val="bullet"/>
      <w:lvlText w:val="o"/>
      <w:lvlJc w:val="left"/>
      <w:pPr>
        <w:ind w:left="6300" w:hanging="360"/>
      </w:pPr>
      <w:rPr>
        <w:rFonts w:ascii="Courier New" w:hAnsi="Courier New" w:cs="Courier New" w:hint="default"/>
      </w:rPr>
    </w:lvl>
    <w:lvl w:ilvl="8" w:tplc="04130005" w:tentative="1">
      <w:start w:val="1"/>
      <w:numFmt w:val="bullet"/>
      <w:lvlText w:val=""/>
      <w:lvlJc w:val="left"/>
      <w:pPr>
        <w:ind w:left="7020" w:hanging="360"/>
      </w:pPr>
      <w:rPr>
        <w:rFonts w:ascii="Wingdings" w:hAnsi="Wingdings" w:hint="default"/>
      </w:rPr>
    </w:lvl>
  </w:abstractNum>
  <w:abstractNum w:abstractNumId="14">
    <w:nsid w:val="457D1BFB"/>
    <w:multiLevelType w:val="hybridMultilevel"/>
    <w:tmpl w:val="5A18B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CC5DE1"/>
    <w:multiLevelType w:val="hybridMultilevel"/>
    <w:tmpl w:val="1292BF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6480B5C"/>
    <w:multiLevelType w:val="hybridMultilevel"/>
    <w:tmpl w:val="3C784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6C47E49"/>
    <w:multiLevelType w:val="hybridMultilevel"/>
    <w:tmpl w:val="94146B36"/>
    <w:lvl w:ilvl="0" w:tplc="04130001">
      <w:start w:val="1"/>
      <w:numFmt w:val="bullet"/>
      <w:lvlText w:val=""/>
      <w:lvlJc w:val="left"/>
      <w:pPr>
        <w:ind w:left="720" w:hanging="360"/>
      </w:pPr>
      <w:rPr>
        <w:rFonts w:ascii="Symbol" w:hAnsi="Symbol" w:hint="default"/>
      </w:rPr>
    </w:lvl>
    <w:lvl w:ilvl="1" w:tplc="0400E67E">
      <w:numFmt w:val="bullet"/>
      <w:lvlText w:val="-"/>
      <w:lvlJc w:val="left"/>
      <w:pPr>
        <w:ind w:left="1440" w:hanging="360"/>
      </w:pPr>
      <w:rPr>
        <w:rFonts w:ascii="Verdana" w:eastAsia="MS Mincho"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147691"/>
    <w:multiLevelType w:val="hybridMultilevel"/>
    <w:tmpl w:val="5A20DA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E282A29"/>
    <w:multiLevelType w:val="hybridMultilevel"/>
    <w:tmpl w:val="33A820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F91223C"/>
    <w:multiLevelType w:val="hybridMultilevel"/>
    <w:tmpl w:val="70E220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0A87F65"/>
    <w:multiLevelType w:val="hybridMultilevel"/>
    <w:tmpl w:val="6CEABE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11B51D1"/>
    <w:multiLevelType w:val="hybridMultilevel"/>
    <w:tmpl w:val="E8D24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13656F3"/>
    <w:multiLevelType w:val="hybridMultilevel"/>
    <w:tmpl w:val="608AF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22A4A"/>
    <w:multiLevelType w:val="hybridMultilevel"/>
    <w:tmpl w:val="1452F68A"/>
    <w:lvl w:ilvl="0" w:tplc="D5A00C2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2776944"/>
    <w:multiLevelType w:val="multilevel"/>
    <w:tmpl w:val="3800BF9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26">
    <w:nsid w:val="539C5718"/>
    <w:multiLevelType w:val="hybridMultilevel"/>
    <w:tmpl w:val="0F2A1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3EC4531"/>
    <w:multiLevelType w:val="hybridMultilevel"/>
    <w:tmpl w:val="65584F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C167F25"/>
    <w:multiLevelType w:val="hybridMultilevel"/>
    <w:tmpl w:val="7BBC72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F8247DA"/>
    <w:multiLevelType w:val="hybridMultilevel"/>
    <w:tmpl w:val="9084A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2B62D4C"/>
    <w:multiLevelType w:val="hybridMultilevel"/>
    <w:tmpl w:val="083C32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32F3D24"/>
    <w:multiLevelType w:val="hybridMultilevel"/>
    <w:tmpl w:val="B7BC4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3894592"/>
    <w:multiLevelType w:val="multilevel"/>
    <w:tmpl w:val="4C4A4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8CA4A73"/>
    <w:multiLevelType w:val="hybridMultilevel"/>
    <w:tmpl w:val="F22C13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A7F49D2"/>
    <w:multiLevelType w:val="multilevel"/>
    <w:tmpl w:val="9972402E"/>
    <w:lvl w:ilvl="0">
      <w:start w:val="13"/>
      <w:numFmt w:val="decimal"/>
      <w:lvlText w:val="%1"/>
      <w:lvlJc w:val="left"/>
      <w:pPr>
        <w:ind w:left="615" w:hanging="615"/>
      </w:pPr>
      <w:rPr>
        <w:rFonts w:hint="default"/>
        <w:b/>
        <w:i w:val="0"/>
        <w:u w:val="none"/>
      </w:rPr>
    </w:lvl>
    <w:lvl w:ilvl="1">
      <w:start w:val="9"/>
      <w:numFmt w:val="decimalZero"/>
      <w:lvlText w:val="%1.%2"/>
      <w:lvlJc w:val="left"/>
      <w:pPr>
        <w:ind w:left="720" w:hanging="720"/>
      </w:pPr>
      <w:rPr>
        <w:rFonts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1080" w:hanging="1080"/>
      </w:pPr>
      <w:rPr>
        <w:rFonts w:hint="default"/>
        <w:b/>
        <w:i w:val="0"/>
        <w:u w:val="none"/>
      </w:rPr>
    </w:lvl>
    <w:lvl w:ilvl="4">
      <w:start w:val="1"/>
      <w:numFmt w:val="decimal"/>
      <w:lvlText w:val="%1.%2.%3.%4.%5"/>
      <w:lvlJc w:val="left"/>
      <w:pPr>
        <w:ind w:left="1440" w:hanging="1440"/>
      </w:pPr>
      <w:rPr>
        <w:rFonts w:hint="default"/>
        <w:b/>
        <w:i w:val="0"/>
        <w:u w:val="none"/>
      </w:rPr>
    </w:lvl>
    <w:lvl w:ilvl="5">
      <w:start w:val="1"/>
      <w:numFmt w:val="decimal"/>
      <w:lvlText w:val="%1.%2.%3.%4.%5.%6"/>
      <w:lvlJc w:val="left"/>
      <w:pPr>
        <w:ind w:left="1440" w:hanging="1440"/>
      </w:pPr>
      <w:rPr>
        <w:rFonts w:hint="default"/>
        <w:b/>
        <w:i w:val="0"/>
        <w:u w:val="none"/>
      </w:rPr>
    </w:lvl>
    <w:lvl w:ilvl="6">
      <w:start w:val="1"/>
      <w:numFmt w:val="decimal"/>
      <w:lvlText w:val="%1.%2.%3.%4.%5.%6.%7"/>
      <w:lvlJc w:val="left"/>
      <w:pPr>
        <w:ind w:left="1800" w:hanging="1800"/>
      </w:pPr>
      <w:rPr>
        <w:rFonts w:hint="default"/>
        <w:b/>
        <w:i w:val="0"/>
        <w:u w:val="none"/>
      </w:rPr>
    </w:lvl>
    <w:lvl w:ilvl="7">
      <w:start w:val="1"/>
      <w:numFmt w:val="decimal"/>
      <w:lvlText w:val="%1.%2.%3.%4.%5.%6.%7.%8"/>
      <w:lvlJc w:val="left"/>
      <w:pPr>
        <w:ind w:left="2160" w:hanging="2160"/>
      </w:pPr>
      <w:rPr>
        <w:rFonts w:hint="default"/>
        <w:b/>
        <w:i w:val="0"/>
        <w:u w:val="none"/>
      </w:rPr>
    </w:lvl>
    <w:lvl w:ilvl="8">
      <w:start w:val="1"/>
      <w:numFmt w:val="decimal"/>
      <w:lvlText w:val="%1.%2.%3.%4.%5.%6.%7.%8.%9"/>
      <w:lvlJc w:val="left"/>
      <w:pPr>
        <w:ind w:left="2160" w:hanging="2160"/>
      </w:pPr>
      <w:rPr>
        <w:rFonts w:hint="default"/>
        <w:b/>
        <w:i w:val="0"/>
        <w:u w:val="none"/>
      </w:rPr>
    </w:lvl>
  </w:abstractNum>
  <w:abstractNum w:abstractNumId="35">
    <w:nsid w:val="6E934B48"/>
    <w:multiLevelType w:val="multilevel"/>
    <w:tmpl w:val="B36480CA"/>
    <w:lvl w:ilvl="0">
      <w:start w:val="13"/>
      <w:numFmt w:val="decimal"/>
      <w:lvlText w:val="%1"/>
      <w:lvlJc w:val="left"/>
      <w:pPr>
        <w:ind w:left="615" w:hanging="615"/>
      </w:pPr>
      <w:rPr>
        <w:rFonts w:hint="default"/>
        <w:b/>
      </w:rPr>
    </w:lvl>
    <w:lvl w:ilvl="1">
      <w:start w:val="4"/>
      <w:numFmt w:val="decimalZero"/>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36">
    <w:nsid w:val="6FA31A25"/>
    <w:multiLevelType w:val="hybridMultilevel"/>
    <w:tmpl w:val="9EBC0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7D5032B"/>
    <w:multiLevelType w:val="hybridMultilevel"/>
    <w:tmpl w:val="294492F6"/>
    <w:lvl w:ilvl="0" w:tplc="77C0A75A">
      <w:start w:val="1"/>
      <w:numFmt w:val="decimal"/>
      <w:lvlText w:val="%1."/>
      <w:lvlJc w:val="left"/>
      <w:pPr>
        <w:ind w:left="720" w:hanging="360"/>
      </w:pPr>
      <w:rPr>
        <w:rFonts w:hint="default"/>
        <w:color w:val="000000" w:themeColor="text1"/>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7D6970A1"/>
    <w:multiLevelType w:val="hybridMultilevel"/>
    <w:tmpl w:val="2DD0EF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EE90D43"/>
    <w:multiLevelType w:val="hybridMultilevel"/>
    <w:tmpl w:val="58CE404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0">
    <w:nsid w:val="7EEE34D6"/>
    <w:multiLevelType w:val="hybridMultilevel"/>
    <w:tmpl w:val="97506546"/>
    <w:lvl w:ilvl="0" w:tplc="04130001">
      <w:start w:val="1"/>
      <w:numFmt w:val="bullet"/>
      <w:lvlText w:val=""/>
      <w:lvlJc w:val="left"/>
      <w:pPr>
        <w:ind w:left="720" w:hanging="360"/>
      </w:pPr>
      <w:rPr>
        <w:rFonts w:ascii="Symbol" w:hAnsi="Symbol" w:hint="default"/>
      </w:rPr>
    </w:lvl>
    <w:lvl w:ilvl="1" w:tplc="147C550E">
      <w:numFmt w:val="bullet"/>
      <w:lvlText w:val="-"/>
      <w:lvlJc w:val="left"/>
      <w:pPr>
        <w:ind w:left="1440" w:hanging="360"/>
      </w:pPr>
      <w:rPr>
        <w:rFonts w:ascii="Verdana" w:eastAsia="Calibri"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6"/>
  </w:num>
  <w:num w:numId="4">
    <w:abstractNumId w:val="3"/>
  </w:num>
  <w:num w:numId="5">
    <w:abstractNumId w:val="11"/>
  </w:num>
  <w:num w:numId="6">
    <w:abstractNumId w:val="17"/>
  </w:num>
  <w:num w:numId="7">
    <w:abstractNumId w:val="40"/>
  </w:num>
  <w:num w:numId="8">
    <w:abstractNumId w:val="10"/>
  </w:num>
  <w:num w:numId="9">
    <w:abstractNumId w:val="39"/>
  </w:num>
  <w:num w:numId="10">
    <w:abstractNumId w:val="23"/>
  </w:num>
  <w:num w:numId="11">
    <w:abstractNumId w:val="19"/>
  </w:num>
  <w:num w:numId="12">
    <w:abstractNumId w:val="31"/>
  </w:num>
  <w:num w:numId="13">
    <w:abstractNumId w:val="25"/>
  </w:num>
  <w:num w:numId="14">
    <w:abstractNumId w:val="18"/>
  </w:num>
  <w:num w:numId="15">
    <w:abstractNumId w:val="0"/>
  </w:num>
  <w:num w:numId="16">
    <w:abstractNumId w:val="6"/>
  </w:num>
  <w:num w:numId="17">
    <w:abstractNumId w:val="15"/>
  </w:num>
  <w:num w:numId="18">
    <w:abstractNumId w:val="2"/>
  </w:num>
  <w:num w:numId="19">
    <w:abstractNumId w:val="20"/>
  </w:num>
  <w:num w:numId="20">
    <w:abstractNumId w:val="4"/>
  </w:num>
  <w:num w:numId="21">
    <w:abstractNumId w:val="27"/>
  </w:num>
  <w:num w:numId="22">
    <w:abstractNumId w:val="36"/>
  </w:num>
  <w:num w:numId="23">
    <w:abstractNumId w:val="28"/>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1"/>
  </w:num>
  <w:num w:numId="28">
    <w:abstractNumId w:val="7"/>
  </w:num>
  <w:num w:numId="29">
    <w:abstractNumId w:val="33"/>
  </w:num>
  <w:num w:numId="30">
    <w:abstractNumId w:val="8"/>
  </w:num>
  <w:num w:numId="31">
    <w:abstractNumId w:val="12"/>
  </w:num>
  <w:num w:numId="32">
    <w:abstractNumId w:val="26"/>
  </w:num>
  <w:num w:numId="33">
    <w:abstractNumId w:val="24"/>
  </w:num>
  <w:num w:numId="34">
    <w:abstractNumId w:val="1"/>
  </w:num>
  <w:num w:numId="35">
    <w:abstractNumId w:val="35"/>
  </w:num>
  <w:num w:numId="36">
    <w:abstractNumId w:val="9"/>
  </w:num>
  <w:num w:numId="37">
    <w:abstractNumId w:val="34"/>
  </w:num>
  <w:num w:numId="38">
    <w:abstractNumId w:val="38"/>
  </w:num>
  <w:num w:numId="39">
    <w:abstractNumId w:val="30"/>
  </w:num>
  <w:num w:numId="40">
    <w:abstractNumId w:val="13"/>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5A"/>
    <w:rsid w:val="00485333"/>
    <w:rsid w:val="004F79F1"/>
    <w:rsid w:val="006F445A"/>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F445A"/>
    <w:rPr>
      <w:rFonts w:ascii="Arial" w:eastAsia="MS Mincho" w:hAnsi="Arial"/>
    </w:rPr>
  </w:style>
  <w:style w:type="paragraph" w:styleId="Kop1">
    <w:name w:val="heading 1"/>
    <w:basedOn w:val="Standaard"/>
    <w:next w:val="Standaard"/>
    <w:link w:val="Kop1Char"/>
    <w:qFormat/>
    <w:rsid w:val="006F445A"/>
    <w:pPr>
      <w:keepNext/>
      <w:widowControl w:val="0"/>
      <w:autoSpaceDE w:val="0"/>
      <w:autoSpaceDN w:val="0"/>
      <w:adjustRightInd w:val="0"/>
      <w:outlineLvl w:val="0"/>
    </w:pPr>
    <w:rPr>
      <w:rFonts w:cs="Arial"/>
      <w:b/>
      <w:bCs/>
    </w:rPr>
  </w:style>
  <w:style w:type="paragraph" w:styleId="Kop2">
    <w:name w:val="heading 2"/>
    <w:basedOn w:val="Standaard"/>
    <w:next w:val="Standaard"/>
    <w:link w:val="Kop2Char"/>
    <w:qFormat/>
    <w:rsid w:val="006F445A"/>
    <w:pPr>
      <w:keepNext/>
      <w:outlineLvl w:val="1"/>
    </w:pPr>
    <w:rPr>
      <w:rFonts w:cs="Arial"/>
      <w:b/>
      <w:bCs/>
      <w:color w:val="0000FF"/>
      <w:sz w:val="18"/>
      <w:szCs w:val="18"/>
    </w:rPr>
  </w:style>
  <w:style w:type="paragraph" w:styleId="Kop3">
    <w:name w:val="heading 3"/>
    <w:basedOn w:val="Standaard"/>
    <w:link w:val="Kop3Char"/>
    <w:qFormat/>
    <w:rsid w:val="006F445A"/>
    <w:pPr>
      <w:outlineLvl w:val="2"/>
    </w:pPr>
    <w:rPr>
      <w:rFonts w:ascii="Arial Unicode MS" w:eastAsia="Arial Unicode MS" w:hAnsi="Arial Unicode MS" w:cs="Arial Unicode MS"/>
      <w:b/>
      <w:bCs/>
      <w:sz w:val="24"/>
      <w:szCs w:val="24"/>
    </w:rPr>
  </w:style>
  <w:style w:type="paragraph" w:styleId="Kop4">
    <w:name w:val="heading 4"/>
    <w:basedOn w:val="Standaard"/>
    <w:next w:val="Standaard"/>
    <w:link w:val="Kop4Char"/>
    <w:qFormat/>
    <w:rsid w:val="006F445A"/>
    <w:pPr>
      <w:keepNext/>
      <w:widowControl w:val="0"/>
      <w:autoSpaceDE w:val="0"/>
      <w:autoSpaceDN w:val="0"/>
      <w:adjustRightInd w:val="0"/>
      <w:outlineLvl w:val="3"/>
    </w:pPr>
    <w:rPr>
      <w:rFonts w:cs="Arial"/>
      <w:b/>
      <w:bCs/>
      <w:color w:val="111744"/>
      <w:sz w:val="18"/>
      <w:szCs w:val="18"/>
    </w:rPr>
  </w:style>
  <w:style w:type="paragraph" w:styleId="Kop5">
    <w:name w:val="heading 5"/>
    <w:basedOn w:val="Standaard"/>
    <w:next w:val="Standaard"/>
    <w:link w:val="Kop5Char"/>
    <w:qFormat/>
    <w:rsid w:val="006F445A"/>
    <w:pPr>
      <w:keepNext/>
      <w:jc w:val="right"/>
      <w:outlineLvl w:val="4"/>
    </w:pPr>
    <w:rPr>
      <w:b/>
      <w:bCs/>
      <w:lang w:val="en-GB"/>
    </w:rPr>
  </w:style>
  <w:style w:type="paragraph" w:styleId="Kop6">
    <w:name w:val="heading 6"/>
    <w:basedOn w:val="Standaard"/>
    <w:next w:val="Standaard"/>
    <w:link w:val="Kop6Char"/>
    <w:qFormat/>
    <w:rsid w:val="006F445A"/>
    <w:pPr>
      <w:keepNext/>
      <w:ind w:left="900"/>
      <w:outlineLvl w:val="5"/>
    </w:pPr>
    <w:rPr>
      <w:rFonts w:ascii="Verdana" w:hAnsi="Verdana"/>
      <w:i/>
      <w:iCs/>
    </w:rPr>
  </w:style>
  <w:style w:type="paragraph" w:styleId="Kop7">
    <w:name w:val="heading 7"/>
    <w:basedOn w:val="Standaard"/>
    <w:next w:val="Standaard"/>
    <w:link w:val="Kop7Char"/>
    <w:qFormat/>
    <w:rsid w:val="006F445A"/>
    <w:pPr>
      <w:keepNext/>
      <w:ind w:left="1440"/>
      <w:outlineLvl w:val="6"/>
    </w:pPr>
    <w:rPr>
      <w:rFonts w:ascii="Verdana" w:hAnsi="Verdana"/>
      <w:b/>
      <w:bCs/>
    </w:rPr>
  </w:style>
  <w:style w:type="paragraph" w:styleId="Kop8">
    <w:name w:val="heading 8"/>
    <w:basedOn w:val="Standaard"/>
    <w:next w:val="Standaard"/>
    <w:link w:val="Kop8Char"/>
    <w:qFormat/>
    <w:rsid w:val="006F445A"/>
    <w:pPr>
      <w:keepNext/>
      <w:overflowPunct w:val="0"/>
      <w:autoSpaceDE w:val="0"/>
      <w:autoSpaceDN w:val="0"/>
      <w:adjustRightInd w:val="0"/>
      <w:textAlignment w:val="baseline"/>
      <w:outlineLvl w:val="7"/>
    </w:pPr>
    <w:rPr>
      <w:rFonts w:ascii="V&amp;W Syntax (Adobe)" w:hAnsi="V&amp;W Syntax (Adobe)" w:cs="Arial"/>
      <w:b/>
      <w:bCs/>
      <w:color w:val="FF0000"/>
      <w:szCs w:val="18"/>
    </w:rPr>
  </w:style>
  <w:style w:type="paragraph" w:styleId="Kop9">
    <w:name w:val="heading 9"/>
    <w:basedOn w:val="Standaard"/>
    <w:next w:val="Standaard"/>
    <w:link w:val="Kop9Char"/>
    <w:qFormat/>
    <w:rsid w:val="006F445A"/>
    <w:pPr>
      <w:keepNext/>
      <w:outlineLvl w:val="8"/>
    </w:pPr>
    <w:rPr>
      <w:rFonts w:ascii="Verdana" w:hAnsi="Verdana"/>
      <w:b/>
      <w:bCs/>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F445A"/>
    <w:rPr>
      <w:rFonts w:ascii="Arial" w:eastAsia="MS Mincho" w:hAnsi="Arial" w:cs="Arial"/>
      <w:b/>
      <w:bCs/>
    </w:rPr>
  </w:style>
  <w:style w:type="character" w:customStyle="1" w:styleId="Kop2Char">
    <w:name w:val="Kop 2 Char"/>
    <w:basedOn w:val="Standaardalinea-lettertype"/>
    <w:link w:val="Kop2"/>
    <w:rsid w:val="006F445A"/>
    <w:rPr>
      <w:rFonts w:ascii="Arial" w:eastAsia="MS Mincho" w:hAnsi="Arial" w:cs="Arial"/>
      <w:b/>
      <w:bCs/>
      <w:color w:val="0000FF"/>
      <w:sz w:val="18"/>
      <w:szCs w:val="18"/>
    </w:rPr>
  </w:style>
  <w:style w:type="character" w:customStyle="1" w:styleId="Kop3Char">
    <w:name w:val="Kop 3 Char"/>
    <w:basedOn w:val="Standaardalinea-lettertype"/>
    <w:link w:val="Kop3"/>
    <w:rsid w:val="006F445A"/>
    <w:rPr>
      <w:rFonts w:ascii="Arial Unicode MS" w:eastAsia="Arial Unicode MS" w:hAnsi="Arial Unicode MS" w:cs="Arial Unicode MS"/>
      <w:b/>
      <w:bCs/>
      <w:sz w:val="24"/>
      <w:szCs w:val="24"/>
    </w:rPr>
  </w:style>
  <w:style w:type="character" w:customStyle="1" w:styleId="Kop4Char">
    <w:name w:val="Kop 4 Char"/>
    <w:basedOn w:val="Standaardalinea-lettertype"/>
    <w:link w:val="Kop4"/>
    <w:rsid w:val="006F445A"/>
    <w:rPr>
      <w:rFonts w:ascii="Arial" w:eastAsia="MS Mincho" w:hAnsi="Arial" w:cs="Arial"/>
      <w:b/>
      <w:bCs/>
      <w:color w:val="111744"/>
      <w:sz w:val="18"/>
      <w:szCs w:val="18"/>
    </w:rPr>
  </w:style>
  <w:style w:type="character" w:customStyle="1" w:styleId="Kop5Char">
    <w:name w:val="Kop 5 Char"/>
    <w:basedOn w:val="Standaardalinea-lettertype"/>
    <w:link w:val="Kop5"/>
    <w:rsid w:val="006F445A"/>
    <w:rPr>
      <w:rFonts w:ascii="Arial" w:eastAsia="MS Mincho" w:hAnsi="Arial"/>
      <w:b/>
      <w:bCs/>
      <w:lang w:val="en-GB"/>
    </w:rPr>
  </w:style>
  <w:style w:type="character" w:customStyle="1" w:styleId="Kop6Char">
    <w:name w:val="Kop 6 Char"/>
    <w:basedOn w:val="Standaardalinea-lettertype"/>
    <w:link w:val="Kop6"/>
    <w:rsid w:val="006F445A"/>
    <w:rPr>
      <w:rFonts w:ascii="Verdana" w:eastAsia="MS Mincho" w:hAnsi="Verdana"/>
      <w:i/>
      <w:iCs/>
    </w:rPr>
  </w:style>
  <w:style w:type="character" w:customStyle="1" w:styleId="Kop7Char">
    <w:name w:val="Kop 7 Char"/>
    <w:basedOn w:val="Standaardalinea-lettertype"/>
    <w:link w:val="Kop7"/>
    <w:rsid w:val="006F445A"/>
    <w:rPr>
      <w:rFonts w:ascii="Verdana" w:eastAsia="MS Mincho" w:hAnsi="Verdana"/>
      <w:b/>
      <w:bCs/>
    </w:rPr>
  </w:style>
  <w:style w:type="character" w:customStyle="1" w:styleId="Kop8Char">
    <w:name w:val="Kop 8 Char"/>
    <w:basedOn w:val="Standaardalinea-lettertype"/>
    <w:link w:val="Kop8"/>
    <w:rsid w:val="006F445A"/>
    <w:rPr>
      <w:rFonts w:ascii="V&amp;W Syntax (Adobe)" w:eastAsia="MS Mincho" w:hAnsi="V&amp;W Syntax (Adobe)" w:cs="Arial"/>
      <w:b/>
      <w:bCs/>
      <w:color w:val="FF0000"/>
      <w:szCs w:val="18"/>
    </w:rPr>
  </w:style>
  <w:style w:type="character" w:customStyle="1" w:styleId="Kop9Char">
    <w:name w:val="Kop 9 Char"/>
    <w:basedOn w:val="Standaardalinea-lettertype"/>
    <w:link w:val="Kop9"/>
    <w:rsid w:val="006F445A"/>
    <w:rPr>
      <w:rFonts w:ascii="Verdana" w:eastAsia="MS Mincho" w:hAnsi="Verdana"/>
      <w:b/>
      <w:bCs/>
      <w:color w:val="000000"/>
      <w:sz w:val="18"/>
    </w:rPr>
  </w:style>
  <w:style w:type="character" w:styleId="Hyperlink">
    <w:name w:val="Hyperlink"/>
    <w:basedOn w:val="Standaardalinea-lettertype"/>
    <w:uiPriority w:val="99"/>
    <w:rsid w:val="006F445A"/>
    <w:rPr>
      <w:color w:val="0000FF"/>
      <w:u w:val="single"/>
    </w:rPr>
  </w:style>
  <w:style w:type="character" w:styleId="GevolgdeHyperlink">
    <w:name w:val="FollowedHyperlink"/>
    <w:basedOn w:val="Standaardalinea-lettertype"/>
    <w:uiPriority w:val="99"/>
    <w:rsid w:val="006F445A"/>
    <w:rPr>
      <w:color w:val="800080"/>
      <w:u w:val="single"/>
    </w:rPr>
  </w:style>
  <w:style w:type="paragraph" w:styleId="Voettekst">
    <w:name w:val="footer"/>
    <w:basedOn w:val="Standaard"/>
    <w:link w:val="VoettekstChar"/>
    <w:uiPriority w:val="99"/>
    <w:rsid w:val="006F445A"/>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6F445A"/>
    <w:rPr>
      <w:rFonts w:eastAsia="MS Mincho"/>
      <w:sz w:val="24"/>
      <w:szCs w:val="24"/>
    </w:rPr>
  </w:style>
  <w:style w:type="character" w:styleId="Paginanummer">
    <w:name w:val="page number"/>
    <w:basedOn w:val="Standaardalinea-lettertype"/>
    <w:rsid w:val="006F445A"/>
  </w:style>
  <w:style w:type="paragraph" w:customStyle="1" w:styleId="blok-alinea">
    <w:name w:val="blok-alinea"/>
    <w:basedOn w:val="Standaard"/>
    <w:rsid w:val="006F445A"/>
    <w:rPr>
      <w:rFonts w:ascii="Arial Unicode MS" w:eastAsia="Arial Unicode MS" w:hAnsi="Arial Unicode MS" w:cs="Arial Unicode MS"/>
      <w:sz w:val="24"/>
      <w:szCs w:val="24"/>
    </w:rPr>
  </w:style>
  <w:style w:type="paragraph" w:styleId="Normaalweb">
    <w:name w:val="Normal (Web)"/>
    <w:basedOn w:val="Standaard"/>
    <w:uiPriority w:val="99"/>
    <w:rsid w:val="006F445A"/>
    <w:rPr>
      <w:rFonts w:ascii="Arial Unicode MS" w:eastAsia="Arial Unicode MS" w:hAnsi="Arial Unicode MS" w:cs="Arial Unicode MS"/>
      <w:sz w:val="24"/>
      <w:szCs w:val="24"/>
    </w:rPr>
  </w:style>
  <w:style w:type="paragraph" w:styleId="Plattetekst">
    <w:name w:val="Body Text"/>
    <w:basedOn w:val="Standaard"/>
    <w:link w:val="PlattetekstChar"/>
    <w:rsid w:val="006F445A"/>
    <w:pPr>
      <w:widowControl w:val="0"/>
      <w:autoSpaceDE w:val="0"/>
      <w:autoSpaceDN w:val="0"/>
      <w:adjustRightInd w:val="0"/>
    </w:pPr>
    <w:rPr>
      <w:rFonts w:cs="Arial"/>
      <w:color w:val="0000FF"/>
      <w:sz w:val="18"/>
      <w:szCs w:val="18"/>
    </w:rPr>
  </w:style>
  <w:style w:type="character" w:customStyle="1" w:styleId="PlattetekstChar">
    <w:name w:val="Platte tekst Char"/>
    <w:basedOn w:val="Standaardalinea-lettertype"/>
    <w:link w:val="Plattetekst"/>
    <w:rsid w:val="006F445A"/>
    <w:rPr>
      <w:rFonts w:ascii="Arial" w:eastAsia="MS Mincho" w:hAnsi="Arial" w:cs="Arial"/>
      <w:color w:val="0000FF"/>
      <w:sz w:val="18"/>
      <w:szCs w:val="18"/>
    </w:rPr>
  </w:style>
  <w:style w:type="paragraph" w:styleId="Plattetekst2">
    <w:name w:val="Body Text 2"/>
    <w:basedOn w:val="Standaard"/>
    <w:link w:val="Plattetekst2Char"/>
    <w:rsid w:val="006F445A"/>
    <w:rPr>
      <w:color w:val="0000FF"/>
    </w:rPr>
  </w:style>
  <w:style w:type="character" w:customStyle="1" w:styleId="Plattetekst2Char">
    <w:name w:val="Platte tekst 2 Char"/>
    <w:basedOn w:val="Standaardalinea-lettertype"/>
    <w:link w:val="Plattetekst2"/>
    <w:rsid w:val="006F445A"/>
    <w:rPr>
      <w:rFonts w:ascii="Arial" w:eastAsia="MS Mincho" w:hAnsi="Arial"/>
      <w:color w:val="0000FF"/>
    </w:rPr>
  </w:style>
  <w:style w:type="paragraph" w:customStyle="1" w:styleId="Variabelegegevens">
    <w:name w:val="Variabele gegevens"/>
    <w:basedOn w:val="Standaard"/>
    <w:rsid w:val="006F445A"/>
    <w:pPr>
      <w:keepLines/>
      <w:spacing w:line="260" w:lineRule="exact"/>
    </w:pPr>
    <w:rPr>
      <w:rFonts w:ascii="V&amp;W Syntax (Adobe)" w:hAnsi="V&amp;W Syntax (Adobe)"/>
      <w:szCs w:val="24"/>
      <w:lang w:eastAsia="en-US"/>
    </w:rPr>
  </w:style>
  <w:style w:type="paragraph" w:styleId="Koptekst">
    <w:name w:val="header"/>
    <w:basedOn w:val="Standaard"/>
    <w:link w:val="KoptekstChar"/>
    <w:rsid w:val="006F445A"/>
    <w:pPr>
      <w:tabs>
        <w:tab w:val="center" w:pos="4153"/>
        <w:tab w:val="right" w:pos="8306"/>
      </w:tabs>
    </w:pPr>
  </w:style>
  <w:style w:type="character" w:customStyle="1" w:styleId="KoptekstChar">
    <w:name w:val="Koptekst Char"/>
    <w:basedOn w:val="Standaardalinea-lettertype"/>
    <w:link w:val="Koptekst"/>
    <w:rsid w:val="006F445A"/>
    <w:rPr>
      <w:rFonts w:ascii="Arial" w:eastAsia="MS Mincho" w:hAnsi="Arial"/>
    </w:rPr>
  </w:style>
  <w:style w:type="paragraph" w:customStyle="1" w:styleId="StandaardAfw">
    <w:name w:val="StandaardAfw"/>
    <w:basedOn w:val="Standaard"/>
    <w:rsid w:val="006F445A"/>
    <w:pPr>
      <w:tabs>
        <w:tab w:val="left" w:pos="2268"/>
      </w:tabs>
      <w:spacing w:after="120"/>
      <w:ind w:left="2268"/>
    </w:pPr>
  </w:style>
  <w:style w:type="paragraph" w:styleId="Plattetekstinspringen3">
    <w:name w:val="Body Text Indent 3"/>
    <w:basedOn w:val="Standaard"/>
    <w:link w:val="Plattetekstinspringen3Char"/>
    <w:rsid w:val="006F445A"/>
    <w:pPr>
      <w:overflowPunct w:val="0"/>
      <w:autoSpaceDE w:val="0"/>
      <w:autoSpaceDN w:val="0"/>
      <w:adjustRightInd w:val="0"/>
      <w:ind w:left="680" w:hanging="680"/>
      <w:textAlignment w:val="baseline"/>
    </w:pPr>
    <w:rPr>
      <w:rFonts w:ascii="Verdana" w:hAnsi="Verdana"/>
      <w:b/>
      <w:bCs/>
      <w:lang w:val="nl"/>
    </w:rPr>
  </w:style>
  <w:style w:type="character" w:customStyle="1" w:styleId="Plattetekstinspringen3Char">
    <w:name w:val="Platte tekst inspringen 3 Char"/>
    <w:basedOn w:val="Standaardalinea-lettertype"/>
    <w:link w:val="Plattetekstinspringen3"/>
    <w:rsid w:val="006F445A"/>
    <w:rPr>
      <w:rFonts w:ascii="Verdana" w:eastAsia="MS Mincho" w:hAnsi="Verdana"/>
      <w:b/>
      <w:bCs/>
      <w:lang w:val="nl"/>
    </w:rPr>
  </w:style>
  <w:style w:type="paragraph" w:styleId="Plattetekst3">
    <w:name w:val="Body Text 3"/>
    <w:basedOn w:val="Standaard"/>
    <w:link w:val="Plattetekst3Char"/>
    <w:rsid w:val="006F445A"/>
    <w:rPr>
      <w:rFonts w:ascii="Verdana" w:hAnsi="Verdana"/>
      <w:b/>
      <w:bCs/>
      <w:sz w:val="24"/>
    </w:rPr>
  </w:style>
  <w:style w:type="character" w:customStyle="1" w:styleId="Plattetekst3Char">
    <w:name w:val="Platte tekst 3 Char"/>
    <w:basedOn w:val="Standaardalinea-lettertype"/>
    <w:link w:val="Plattetekst3"/>
    <w:rsid w:val="006F445A"/>
    <w:rPr>
      <w:rFonts w:ascii="Verdana" w:eastAsia="MS Mincho" w:hAnsi="Verdana"/>
      <w:b/>
      <w:bCs/>
      <w:sz w:val="24"/>
    </w:rPr>
  </w:style>
  <w:style w:type="paragraph" w:styleId="Plattetekstinspringen">
    <w:name w:val="Body Text Indent"/>
    <w:basedOn w:val="Standaard"/>
    <w:link w:val="PlattetekstinspringenChar"/>
    <w:rsid w:val="006F445A"/>
    <w:pPr>
      <w:ind w:left="900"/>
    </w:pPr>
    <w:rPr>
      <w:rFonts w:ascii="Verdana" w:hAnsi="Verdana"/>
      <w:b/>
      <w:bCs/>
    </w:rPr>
  </w:style>
  <w:style w:type="character" w:customStyle="1" w:styleId="PlattetekstinspringenChar">
    <w:name w:val="Platte tekst inspringen Char"/>
    <w:basedOn w:val="Standaardalinea-lettertype"/>
    <w:link w:val="Plattetekstinspringen"/>
    <w:rsid w:val="006F445A"/>
    <w:rPr>
      <w:rFonts w:ascii="Verdana" w:eastAsia="MS Mincho" w:hAnsi="Verdana"/>
      <w:b/>
      <w:bCs/>
    </w:rPr>
  </w:style>
  <w:style w:type="paragraph" w:styleId="Plattetekstinspringen2">
    <w:name w:val="Body Text Indent 2"/>
    <w:basedOn w:val="Standaard"/>
    <w:link w:val="Plattetekstinspringen2Char"/>
    <w:rsid w:val="006F445A"/>
    <w:pPr>
      <w:spacing w:line="360" w:lineRule="auto"/>
      <w:ind w:left="900"/>
    </w:pPr>
    <w:rPr>
      <w:rFonts w:ascii="Verdana" w:hAnsi="Verdana"/>
    </w:rPr>
  </w:style>
  <w:style w:type="character" w:customStyle="1" w:styleId="Plattetekstinspringen2Char">
    <w:name w:val="Platte tekst inspringen 2 Char"/>
    <w:basedOn w:val="Standaardalinea-lettertype"/>
    <w:link w:val="Plattetekstinspringen2"/>
    <w:rsid w:val="006F445A"/>
    <w:rPr>
      <w:rFonts w:ascii="Verdana" w:eastAsia="MS Mincho" w:hAnsi="Verdana"/>
    </w:rPr>
  </w:style>
  <w:style w:type="paragraph" w:customStyle="1" w:styleId="xl25">
    <w:name w:val="xl25"/>
    <w:basedOn w:val="Standaard"/>
    <w:rsid w:val="006F445A"/>
    <w:pPr>
      <w:pBdr>
        <w:top w:val="single" w:sz="4" w:space="0" w:color="0000FF"/>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26">
    <w:name w:val="xl26"/>
    <w:basedOn w:val="Standaard"/>
    <w:rsid w:val="006F445A"/>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27">
    <w:name w:val="xl27"/>
    <w:basedOn w:val="Standaard"/>
    <w:rsid w:val="006F445A"/>
    <w:pPr>
      <w:pBdr>
        <w:top w:val="single" w:sz="4" w:space="0" w:color="0000FF"/>
        <w:bottom w:val="single" w:sz="4" w:space="0" w:color="0000FF"/>
      </w:pBdr>
      <w:spacing w:before="100" w:beforeAutospacing="1" w:after="100" w:afterAutospacing="1"/>
      <w:jc w:val="right"/>
    </w:pPr>
    <w:rPr>
      <w:rFonts w:eastAsia="Arial Unicode MS" w:cs="Arial"/>
      <w:b/>
      <w:bCs/>
      <w:sz w:val="16"/>
      <w:szCs w:val="16"/>
    </w:rPr>
  </w:style>
  <w:style w:type="paragraph" w:customStyle="1" w:styleId="xl28">
    <w:name w:val="xl28"/>
    <w:basedOn w:val="Standaard"/>
    <w:rsid w:val="006F445A"/>
    <w:pPr>
      <w:pBdr>
        <w:top w:val="single" w:sz="4" w:space="0" w:color="0000FF"/>
        <w:bottom w:val="single" w:sz="4" w:space="0" w:color="0000FF"/>
        <w:right w:val="single" w:sz="4" w:space="0" w:color="0000FF"/>
      </w:pBdr>
      <w:spacing w:before="100" w:beforeAutospacing="1" w:after="100" w:afterAutospacing="1"/>
      <w:jc w:val="right"/>
    </w:pPr>
    <w:rPr>
      <w:rFonts w:eastAsia="Arial Unicode MS" w:cs="Arial"/>
      <w:b/>
      <w:bCs/>
      <w:sz w:val="16"/>
      <w:szCs w:val="16"/>
    </w:rPr>
  </w:style>
  <w:style w:type="paragraph" w:customStyle="1" w:styleId="xl29">
    <w:name w:val="xl29"/>
    <w:basedOn w:val="Standaard"/>
    <w:rsid w:val="006F445A"/>
    <w:pPr>
      <w:pBdr>
        <w:left w:val="single" w:sz="4" w:space="0" w:color="0000FF"/>
      </w:pBdr>
      <w:spacing w:before="100" w:beforeAutospacing="1" w:after="100" w:afterAutospacing="1"/>
    </w:pPr>
    <w:rPr>
      <w:rFonts w:eastAsia="Arial Unicode MS" w:cs="Arial"/>
      <w:sz w:val="16"/>
      <w:szCs w:val="16"/>
    </w:rPr>
  </w:style>
  <w:style w:type="paragraph" w:customStyle="1" w:styleId="xl30">
    <w:name w:val="xl30"/>
    <w:basedOn w:val="Standaard"/>
    <w:rsid w:val="006F445A"/>
    <w:pPr>
      <w:spacing w:before="100" w:beforeAutospacing="1" w:after="100" w:afterAutospacing="1"/>
    </w:pPr>
    <w:rPr>
      <w:rFonts w:eastAsia="Arial Unicode MS" w:cs="Arial"/>
      <w:sz w:val="16"/>
      <w:szCs w:val="16"/>
    </w:rPr>
  </w:style>
  <w:style w:type="paragraph" w:customStyle="1" w:styleId="xl31">
    <w:name w:val="xl31"/>
    <w:basedOn w:val="Standaard"/>
    <w:rsid w:val="006F445A"/>
    <w:pPr>
      <w:spacing w:before="100" w:beforeAutospacing="1" w:after="100" w:afterAutospacing="1"/>
    </w:pPr>
    <w:rPr>
      <w:rFonts w:eastAsia="Arial Unicode MS" w:cs="Arial"/>
      <w:sz w:val="16"/>
      <w:szCs w:val="16"/>
    </w:rPr>
  </w:style>
  <w:style w:type="paragraph" w:customStyle="1" w:styleId="xl32">
    <w:name w:val="xl32"/>
    <w:basedOn w:val="Standaard"/>
    <w:rsid w:val="006F445A"/>
    <w:pPr>
      <w:pBdr>
        <w:right w:val="single" w:sz="4" w:space="0" w:color="0000FF"/>
      </w:pBdr>
      <w:spacing w:before="100" w:beforeAutospacing="1" w:after="100" w:afterAutospacing="1"/>
    </w:pPr>
    <w:rPr>
      <w:rFonts w:eastAsia="Arial Unicode MS" w:cs="Arial"/>
      <w:sz w:val="16"/>
      <w:szCs w:val="16"/>
    </w:rPr>
  </w:style>
  <w:style w:type="paragraph" w:customStyle="1" w:styleId="xl33">
    <w:name w:val="xl33"/>
    <w:basedOn w:val="Standaard"/>
    <w:rsid w:val="006F445A"/>
    <w:pPr>
      <w:pBdr>
        <w:left w:val="single" w:sz="4" w:space="0" w:color="0000FF"/>
      </w:pBdr>
      <w:spacing w:before="100" w:beforeAutospacing="1" w:after="100" w:afterAutospacing="1"/>
    </w:pPr>
    <w:rPr>
      <w:rFonts w:eastAsia="Arial Unicode MS" w:cs="Arial"/>
      <w:sz w:val="16"/>
      <w:szCs w:val="16"/>
    </w:rPr>
  </w:style>
  <w:style w:type="paragraph" w:customStyle="1" w:styleId="xl34">
    <w:name w:val="xl34"/>
    <w:basedOn w:val="Standaard"/>
    <w:rsid w:val="006F445A"/>
    <w:pPr>
      <w:spacing w:before="100" w:beforeAutospacing="1" w:after="100" w:afterAutospacing="1"/>
    </w:pPr>
    <w:rPr>
      <w:rFonts w:eastAsia="Arial Unicode MS" w:cs="Arial"/>
      <w:sz w:val="16"/>
      <w:szCs w:val="16"/>
    </w:rPr>
  </w:style>
  <w:style w:type="paragraph" w:customStyle="1" w:styleId="xl35">
    <w:name w:val="xl35"/>
    <w:basedOn w:val="Standaard"/>
    <w:rsid w:val="006F445A"/>
    <w:pPr>
      <w:spacing w:before="100" w:beforeAutospacing="1" w:after="100" w:afterAutospacing="1"/>
    </w:pPr>
    <w:rPr>
      <w:rFonts w:eastAsia="Arial Unicode MS" w:cs="Arial"/>
      <w:sz w:val="16"/>
      <w:szCs w:val="16"/>
    </w:rPr>
  </w:style>
  <w:style w:type="paragraph" w:customStyle="1" w:styleId="xl36">
    <w:name w:val="xl36"/>
    <w:basedOn w:val="Standaard"/>
    <w:rsid w:val="006F445A"/>
    <w:pPr>
      <w:pBdr>
        <w:right w:val="single" w:sz="4" w:space="0" w:color="0000FF"/>
      </w:pBdr>
      <w:spacing w:before="100" w:beforeAutospacing="1" w:after="100" w:afterAutospacing="1"/>
    </w:pPr>
    <w:rPr>
      <w:rFonts w:eastAsia="Arial Unicode MS" w:cs="Arial"/>
      <w:sz w:val="16"/>
      <w:szCs w:val="16"/>
    </w:rPr>
  </w:style>
  <w:style w:type="paragraph" w:customStyle="1" w:styleId="xl37">
    <w:name w:val="xl37"/>
    <w:basedOn w:val="Standaard"/>
    <w:rsid w:val="006F445A"/>
    <w:pPr>
      <w:pBdr>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38">
    <w:name w:val="xl38"/>
    <w:basedOn w:val="Standaard"/>
    <w:rsid w:val="006F445A"/>
    <w:pPr>
      <w:pBdr>
        <w:bottom w:val="single" w:sz="4" w:space="0" w:color="0000FF"/>
      </w:pBdr>
      <w:spacing w:before="100" w:beforeAutospacing="1" w:after="100" w:afterAutospacing="1"/>
    </w:pPr>
    <w:rPr>
      <w:rFonts w:eastAsia="Arial Unicode MS" w:cs="Arial"/>
      <w:sz w:val="16"/>
      <w:szCs w:val="16"/>
    </w:rPr>
  </w:style>
  <w:style w:type="paragraph" w:customStyle="1" w:styleId="xl39">
    <w:name w:val="xl39"/>
    <w:basedOn w:val="Standaard"/>
    <w:rsid w:val="006F445A"/>
    <w:pPr>
      <w:pBdr>
        <w:bottom w:val="single" w:sz="4" w:space="0" w:color="0000FF"/>
      </w:pBdr>
      <w:spacing w:before="100" w:beforeAutospacing="1" w:after="100" w:afterAutospacing="1"/>
    </w:pPr>
    <w:rPr>
      <w:rFonts w:eastAsia="Arial Unicode MS" w:cs="Arial"/>
      <w:sz w:val="16"/>
      <w:szCs w:val="16"/>
    </w:rPr>
  </w:style>
  <w:style w:type="paragraph" w:customStyle="1" w:styleId="xl40">
    <w:name w:val="xl40"/>
    <w:basedOn w:val="Standaard"/>
    <w:rsid w:val="006F445A"/>
    <w:pPr>
      <w:pBdr>
        <w:left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1">
    <w:name w:val="xl41"/>
    <w:basedOn w:val="Standaard"/>
    <w:rsid w:val="006F445A"/>
    <w:pPr>
      <w:pBdr>
        <w:bottom w:val="single" w:sz="4" w:space="0" w:color="0000FF"/>
      </w:pBdr>
      <w:spacing w:before="100" w:beforeAutospacing="1" w:after="100" w:afterAutospacing="1"/>
    </w:pPr>
    <w:rPr>
      <w:rFonts w:eastAsia="Arial Unicode MS" w:cs="Arial"/>
      <w:b/>
      <w:bCs/>
      <w:sz w:val="16"/>
      <w:szCs w:val="16"/>
    </w:rPr>
  </w:style>
  <w:style w:type="paragraph" w:customStyle="1" w:styleId="xl42">
    <w:name w:val="xl42"/>
    <w:basedOn w:val="Standaard"/>
    <w:rsid w:val="006F445A"/>
    <w:pPr>
      <w:pBdr>
        <w:bottom w:val="single" w:sz="4" w:space="0" w:color="0000FF"/>
      </w:pBdr>
      <w:spacing w:before="100" w:beforeAutospacing="1" w:after="100" w:afterAutospacing="1"/>
    </w:pPr>
    <w:rPr>
      <w:rFonts w:eastAsia="Arial Unicode MS" w:cs="Arial"/>
      <w:b/>
      <w:bCs/>
      <w:sz w:val="16"/>
      <w:szCs w:val="16"/>
    </w:rPr>
  </w:style>
  <w:style w:type="paragraph" w:customStyle="1" w:styleId="xl43">
    <w:name w:val="xl43"/>
    <w:basedOn w:val="Standaard"/>
    <w:rsid w:val="006F445A"/>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4">
    <w:name w:val="xl44"/>
    <w:basedOn w:val="Standaard"/>
    <w:rsid w:val="006F445A"/>
    <w:pPr>
      <w:pBdr>
        <w:top w:val="single" w:sz="4" w:space="0" w:color="0000FF"/>
        <w:bottom w:val="single" w:sz="4" w:space="0" w:color="0000FF"/>
        <w:right w:val="single" w:sz="4" w:space="0" w:color="0000FF"/>
      </w:pBdr>
      <w:spacing w:before="100" w:beforeAutospacing="1" w:after="100" w:afterAutospacing="1"/>
    </w:pPr>
    <w:rPr>
      <w:rFonts w:eastAsia="Arial Unicode MS" w:cs="Arial"/>
      <w:b/>
      <w:bCs/>
      <w:sz w:val="16"/>
      <w:szCs w:val="16"/>
    </w:rPr>
  </w:style>
  <w:style w:type="paragraph" w:customStyle="1" w:styleId="Naamondertekenaar">
    <w:name w:val="Naam ondertekenaar"/>
    <w:basedOn w:val="Standaard"/>
    <w:rsid w:val="006F445A"/>
    <w:pPr>
      <w:widowControl w:val="0"/>
      <w:suppressAutoHyphens/>
      <w:spacing w:after="80" w:line="360" w:lineRule="auto"/>
    </w:pPr>
  </w:style>
  <w:style w:type="paragraph" w:customStyle="1" w:styleId="xl45">
    <w:name w:val="xl45"/>
    <w:basedOn w:val="Standaard"/>
    <w:rsid w:val="006F445A"/>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6">
    <w:name w:val="xl46"/>
    <w:basedOn w:val="Standaard"/>
    <w:rsid w:val="006F445A"/>
    <w:pPr>
      <w:pBdr>
        <w:top w:val="single" w:sz="8" w:space="0" w:color="auto"/>
        <w:bottom w:val="single" w:sz="8" w:space="0" w:color="auto"/>
      </w:pBdr>
      <w:spacing w:before="100" w:beforeAutospacing="1" w:after="100" w:afterAutospacing="1"/>
      <w:jc w:val="center"/>
    </w:pPr>
    <w:rPr>
      <w:rFonts w:ascii="Arial Narrow" w:eastAsia="Arial Unicode MS" w:hAnsi="Arial Narrow" w:cs="Arial Unicode MS"/>
      <w:b/>
      <w:bCs/>
      <w:sz w:val="16"/>
      <w:szCs w:val="16"/>
    </w:rPr>
  </w:style>
  <w:style w:type="paragraph" w:customStyle="1" w:styleId="xl47">
    <w:name w:val="xl47"/>
    <w:basedOn w:val="Standaard"/>
    <w:rsid w:val="006F445A"/>
    <w:pPr>
      <w:pBdr>
        <w:top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8">
    <w:name w:val="xl48"/>
    <w:basedOn w:val="Standaard"/>
    <w:rsid w:val="006F445A"/>
    <w:pPr>
      <w:pBdr>
        <w:bottom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49">
    <w:name w:val="xl49"/>
    <w:basedOn w:val="Standaard"/>
    <w:rsid w:val="006F445A"/>
    <w:pPr>
      <w:pBdr>
        <w:top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50">
    <w:name w:val="xl50"/>
    <w:basedOn w:val="Standaard"/>
    <w:rsid w:val="006F445A"/>
    <w:pPr>
      <w:pBdr>
        <w:top w:val="single" w:sz="8" w:space="0" w:color="FF0000"/>
        <w:bottom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51">
    <w:name w:val="xl51"/>
    <w:basedOn w:val="Standaard"/>
    <w:rsid w:val="006F445A"/>
    <w:pPr>
      <w:shd w:val="clear" w:color="auto" w:fill="CCFFCC"/>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2">
    <w:name w:val="xl52"/>
    <w:basedOn w:val="Standaard"/>
    <w:rsid w:val="006F445A"/>
    <w:pPr>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3">
    <w:name w:val="xl53"/>
    <w:basedOn w:val="Standaard"/>
    <w:rsid w:val="006F445A"/>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4">
    <w:name w:val="xl54"/>
    <w:basedOn w:val="Standaard"/>
    <w:rsid w:val="006F445A"/>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5">
    <w:name w:val="xl55"/>
    <w:basedOn w:val="Standaard"/>
    <w:rsid w:val="006F445A"/>
    <w:pPr>
      <w:pBdr>
        <w:top w:val="single" w:sz="8" w:space="0" w:color="auto"/>
        <w:bottom w:val="single" w:sz="8" w:space="0" w:color="auto"/>
      </w:pBdr>
      <w:shd w:val="clear" w:color="auto" w:fill="CCFFCC"/>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6">
    <w:name w:val="xl56"/>
    <w:basedOn w:val="Standaard"/>
    <w:rsid w:val="006F445A"/>
    <w:pPr>
      <w:spacing w:before="100" w:beforeAutospacing="1" w:after="100" w:afterAutospacing="1"/>
    </w:pPr>
    <w:rPr>
      <w:rFonts w:ascii="Arial Narrow" w:eastAsia="Arial Unicode MS" w:hAnsi="Arial Narrow" w:cs="Arial Unicode MS"/>
      <w:sz w:val="16"/>
      <w:szCs w:val="16"/>
    </w:rPr>
  </w:style>
  <w:style w:type="paragraph" w:customStyle="1" w:styleId="xl57">
    <w:name w:val="xl57"/>
    <w:basedOn w:val="Standaard"/>
    <w:rsid w:val="006F445A"/>
    <w:pPr>
      <w:spacing w:before="100" w:beforeAutospacing="1" w:after="100" w:afterAutospacing="1"/>
    </w:pPr>
    <w:rPr>
      <w:rFonts w:ascii="Arial Narrow" w:eastAsia="Arial Unicode MS" w:hAnsi="Arial Narrow" w:cs="Arial Unicode MS"/>
      <w:sz w:val="16"/>
      <w:szCs w:val="16"/>
    </w:rPr>
  </w:style>
  <w:style w:type="paragraph" w:customStyle="1" w:styleId="xl58">
    <w:name w:val="xl58"/>
    <w:basedOn w:val="Standaard"/>
    <w:rsid w:val="006F445A"/>
    <w:pPr>
      <w:spacing w:before="100" w:beforeAutospacing="1" w:after="100" w:afterAutospacing="1"/>
    </w:pPr>
    <w:rPr>
      <w:rFonts w:ascii="Arial Narrow" w:eastAsia="Arial Unicode MS" w:hAnsi="Arial Narrow" w:cs="Arial Unicode MS"/>
      <w:i/>
      <w:iCs/>
      <w:sz w:val="16"/>
      <w:szCs w:val="16"/>
    </w:rPr>
  </w:style>
  <w:style w:type="paragraph" w:customStyle="1" w:styleId="xl59">
    <w:name w:val="xl59"/>
    <w:basedOn w:val="Standaard"/>
    <w:rsid w:val="006F445A"/>
    <w:pPr>
      <w:spacing w:before="100" w:beforeAutospacing="1" w:after="100" w:afterAutospacing="1"/>
      <w:jc w:val="right"/>
    </w:pPr>
    <w:rPr>
      <w:rFonts w:ascii="Arial Narrow" w:eastAsia="Arial Unicode MS" w:hAnsi="Arial Narrow" w:cs="Arial Unicode MS"/>
      <w:i/>
      <w:iCs/>
      <w:sz w:val="16"/>
      <w:szCs w:val="16"/>
    </w:rPr>
  </w:style>
  <w:style w:type="paragraph" w:customStyle="1" w:styleId="xl60">
    <w:name w:val="xl60"/>
    <w:basedOn w:val="Standaard"/>
    <w:rsid w:val="006F445A"/>
    <w:pPr>
      <w:pBdr>
        <w:top w:val="single" w:sz="8" w:space="0" w:color="auto"/>
        <w:bottom w:val="single" w:sz="8" w:space="0" w:color="auto"/>
      </w:pBdr>
      <w:spacing w:before="100" w:beforeAutospacing="1" w:after="100" w:afterAutospacing="1"/>
    </w:pPr>
    <w:rPr>
      <w:rFonts w:ascii="Arial Narrow" w:eastAsia="Arial Unicode MS" w:hAnsi="Arial Narrow" w:cs="Arial Unicode MS"/>
      <w:i/>
      <w:iCs/>
      <w:sz w:val="16"/>
      <w:szCs w:val="16"/>
    </w:rPr>
  </w:style>
  <w:style w:type="paragraph" w:styleId="Geenafstand">
    <w:name w:val="No Spacing"/>
    <w:link w:val="GeenafstandChar"/>
    <w:uiPriority w:val="1"/>
    <w:qFormat/>
    <w:rsid w:val="006F445A"/>
    <w:rPr>
      <w:rFonts w:ascii="Calibri" w:eastAsia="Calibri" w:hAnsi="Calibri"/>
      <w:sz w:val="22"/>
      <w:szCs w:val="22"/>
      <w:lang w:eastAsia="en-US"/>
    </w:rPr>
  </w:style>
  <w:style w:type="paragraph" w:customStyle="1" w:styleId="bodytext1">
    <w:name w:val="bodytext1"/>
    <w:basedOn w:val="Standaard"/>
    <w:rsid w:val="006F445A"/>
    <w:pPr>
      <w:spacing w:line="348" w:lineRule="atLeast"/>
    </w:pPr>
    <w:rPr>
      <w:rFonts w:ascii="Times New Roman" w:hAnsi="Times New Roman"/>
      <w:sz w:val="28"/>
      <w:szCs w:val="28"/>
    </w:rPr>
  </w:style>
  <w:style w:type="paragraph" w:customStyle="1" w:styleId="tekst">
    <w:name w:val="tekst"/>
    <w:basedOn w:val="Standaard"/>
    <w:rsid w:val="006F445A"/>
    <w:rPr>
      <w:rFonts w:ascii="V&amp;W Syntax (Adobe)" w:hAnsi="V&amp;W Syntax (Adobe)"/>
      <w:szCs w:val="24"/>
    </w:rPr>
  </w:style>
  <w:style w:type="paragraph" w:customStyle="1" w:styleId="Tekst0">
    <w:name w:val="Tekst"/>
    <w:basedOn w:val="Standaard"/>
    <w:rsid w:val="006F445A"/>
    <w:rPr>
      <w:rFonts w:ascii="V&amp;W Syntax (Adobe)" w:hAnsi="V&amp;W Syntax (Adobe)"/>
      <w:b/>
      <w:szCs w:val="24"/>
    </w:rPr>
  </w:style>
  <w:style w:type="character" w:styleId="Nadruk">
    <w:name w:val="Emphasis"/>
    <w:basedOn w:val="Standaardalinea-lettertype"/>
    <w:uiPriority w:val="20"/>
    <w:qFormat/>
    <w:rsid w:val="006F445A"/>
    <w:rPr>
      <w:b/>
      <w:bCs/>
      <w:i w:val="0"/>
      <w:iCs w:val="0"/>
    </w:rPr>
  </w:style>
  <w:style w:type="paragraph" w:styleId="Lijstalinea">
    <w:name w:val="List Paragraph"/>
    <w:basedOn w:val="Standaard"/>
    <w:link w:val="LijstalineaChar"/>
    <w:uiPriority w:val="34"/>
    <w:qFormat/>
    <w:rsid w:val="006F445A"/>
    <w:pPr>
      <w:ind w:left="720"/>
      <w:contextualSpacing/>
    </w:pPr>
  </w:style>
  <w:style w:type="character" w:customStyle="1" w:styleId="l">
    <w:name w:val="l"/>
    <w:basedOn w:val="Standaardalinea-lettertype"/>
    <w:rsid w:val="006F445A"/>
  </w:style>
  <w:style w:type="character" w:styleId="Verwijzingopmerking">
    <w:name w:val="annotation reference"/>
    <w:basedOn w:val="Standaardalinea-lettertype"/>
    <w:uiPriority w:val="99"/>
    <w:unhideWhenUsed/>
    <w:rsid w:val="006F445A"/>
    <w:rPr>
      <w:sz w:val="16"/>
      <w:szCs w:val="16"/>
    </w:rPr>
  </w:style>
  <w:style w:type="paragraph" w:styleId="Tekstopmerking">
    <w:name w:val="annotation text"/>
    <w:basedOn w:val="Standaard"/>
    <w:link w:val="TekstopmerkingChar"/>
    <w:uiPriority w:val="99"/>
    <w:unhideWhenUsed/>
    <w:rsid w:val="006F445A"/>
  </w:style>
  <w:style w:type="character" w:customStyle="1" w:styleId="TekstopmerkingChar">
    <w:name w:val="Tekst opmerking Char"/>
    <w:basedOn w:val="Standaardalinea-lettertype"/>
    <w:link w:val="Tekstopmerking"/>
    <w:uiPriority w:val="99"/>
    <w:rsid w:val="006F445A"/>
    <w:rPr>
      <w:rFonts w:ascii="Arial" w:eastAsia="MS Mincho" w:hAnsi="Arial"/>
    </w:rPr>
  </w:style>
  <w:style w:type="paragraph" w:styleId="Onderwerpvanopmerking">
    <w:name w:val="annotation subject"/>
    <w:basedOn w:val="Tekstopmerking"/>
    <w:next w:val="Tekstopmerking"/>
    <w:link w:val="OnderwerpvanopmerkingChar"/>
    <w:uiPriority w:val="99"/>
    <w:unhideWhenUsed/>
    <w:rsid w:val="006F445A"/>
    <w:rPr>
      <w:b/>
      <w:bCs/>
    </w:rPr>
  </w:style>
  <w:style w:type="character" w:customStyle="1" w:styleId="OnderwerpvanopmerkingChar">
    <w:name w:val="Onderwerp van opmerking Char"/>
    <w:basedOn w:val="TekstopmerkingChar"/>
    <w:link w:val="Onderwerpvanopmerking"/>
    <w:uiPriority w:val="99"/>
    <w:rsid w:val="006F445A"/>
    <w:rPr>
      <w:rFonts w:ascii="Arial" w:eastAsia="MS Mincho" w:hAnsi="Arial"/>
      <w:b/>
      <w:bCs/>
    </w:rPr>
  </w:style>
  <w:style w:type="paragraph" w:styleId="Ballontekst">
    <w:name w:val="Balloon Text"/>
    <w:basedOn w:val="Standaard"/>
    <w:link w:val="BallontekstChar"/>
    <w:uiPriority w:val="99"/>
    <w:unhideWhenUsed/>
    <w:rsid w:val="006F445A"/>
    <w:rPr>
      <w:rFonts w:ascii="Tahoma" w:hAnsi="Tahoma" w:cs="Tahoma"/>
      <w:sz w:val="16"/>
      <w:szCs w:val="16"/>
    </w:rPr>
  </w:style>
  <w:style w:type="character" w:customStyle="1" w:styleId="BallontekstChar">
    <w:name w:val="Ballontekst Char"/>
    <w:basedOn w:val="Standaardalinea-lettertype"/>
    <w:link w:val="Ballontekst"/>
    <w:uiPriority w:val="99"/>
    <w:rsid w:val="006F445A"/>
    <w:rPr>
      <w:rFonts w:ascii="Tahoma" w:eastAsia="MS Mincho" w:hAnsi="Tahoma" w:cs="Tahoma"/>
      <w:sz w:val="16"/>
      <w:szCs w:val="16"/>
    </w:rPr>
  </w:style>
  <w:style w:type="table" w:styleId="Tabelraster">
    <w:name w:val="Table Grid"/>
    <w:basedOn w:val="Standaardtabel"/>
    <w:uiPriority w:val="59"/>
    <w:rsid w:val="006F44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locked/>
    <w:rsid w:val="006F445A"/>
    <w:rPr>
      <w:rFonts w:ascii="Arial" w:eastAsia="MS Mincho" w:hAnsi="Arial"/>
    </w:rPr>
  </w:style>
  <w:style w:type="paragraph" w:styleId="Voetnoottekst">
    <w:name w:val="footnote text"/>
    <w:basedOn w:val="Standaard"/>
    <w:link w:val="VoetnoottekstChar"/>
    <w:uiPriority w:val="99"/>
    <w:unhideWhenUsed/>
    <w:rsid w:val="006F445A"/>
  </w:style>
  <w:style w:type="character" w:customStyle="1" w:styleId="VoetnoottekstChar">
    <w:name w:val="Voetnoottekst Char"/>
    <w:basedOn w:val="Standaardalinea-lettertype"/>
    <w:link w:val="Voetnoottekst"/>
    <w:uiPriority w:val="99"/>
    <w:rsid w:val="006F445A"/>
    <w:rPr>
      <w:rFonts w:ascii="Arial" w:eastAsia="MS Mincho" w:hAnsi="Arial"/>
    </w:rPr>
  </w:style>
  <w:style w:type="character" w:styleId="Voetnootmarkering">
    <w:name w:val="footnote reference"/>
    <w:basedOn w:val="Standaardalinea-lettertype"/>
    <w:uiPriority w:val="99"/>
    <w:unhideWhenUsed/>
    <w:rsid w:val="006F445A"/>
    <w:rPr>
      <w:vertAlign w:val="superscript"/>
    </w:rPr>
  </w:style>
  <w:style w:type="paragraph" w:styleId="Revisie">
    <w:name w:val="Revision"/>
    <w:hidden/>
    <w:uiPriority w:val="99"/>
    <w:semiHidden/>
    <w:rsid w:val="006F445A"/>
    <w:rPr>
      <w:rFonts w:ascii="Arial" w:eastAsia="MS Mincho" w:hAnsi="Arial"/>
    </w:rPr>
  </w:style>
  <w:style w:type="character" w:customStyle="1" w:styleId="GeenafstandChar">
    <w:name w:val="Geen afstand Char"/>
    <w:basedOn w:val="Standaardalinea-lettertype"/>
    <w:link w:val="Geenafstand"/>
    <w:uiPriority w:val="1"/>
    <w:locked/>
    <w:rsid w:val="006F445A"/>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F445A"/>
    <w:rPr>
      <w:rFonts w:ascii="Arial" w:eastAsia="MS Mincho" w:hAnsi="Arial"/>
    </w:rPr>
  </w:style>
  <w:style w:type="paragraph" w:styleId="Kop1">
    <w:name w:val="heading 1"/>
    <w:basedOn w:val="Standaard"/>
    <w:next w:val="Standaard"/>
    <w:link w:val="Kop1Char"/>
    <w:qFormat/>
    <w:rsid w:val="006F445A"/>
    <w:pPr>
      <w:keepNext/>
      <w:widowControl w:val="0"/>
      <w:autoSpaceDE w:val="0"/>
      <w:autoSpaceDN w:val="0"/>
      <w:adjustRightInd w:val="0"/>
      <w:outlineLvl w:val="0"/>
    </w:pPr>
    <w:rPr>
      <w:rFonts w:cs="Arial"/>
      <w:b/>
      <w:bCs/>
    </w:rPr>
  </w:style>
  <w:style w:type="paragraph" w:styleId="Kop2">
    <w:name w:val="heading 2"/>
    <w:basedOn w:val="Standaard"/>
    <w:next w:val="Standaard"/>
    <w:link w:val="Kop2Char"/>
    <w:qFormat/>
    <w:rsid w:val="006F445A"/>
    <w:pPr>
      <w:keepNext/>
      <w:outlineLvl w:val="1"/>
    </w:pPr>
    <w:rPr>
      <w:rFonts w:cs="Arial"/>
      <w:b/>
      <w:bCs/>
      <w:color w:val="0000FF"/>
      <w:sz w:val="18"/>
      <w:szCs w:val="18"/>
    </w:rPr>
  </w:style>
  <w:style w:type="paragraph" w:styleId="Kop3">
    <w:name w:val="heading 3"/>
    <w:basedOn w:val="Standaard"/>
    <w:link w:val="Kop3Char"/>
    <w:qFormat/>
    <w:rsid w:val="006F445A"/>
    <w:pPr>
      <w:outlineLvl w:val="2"/>
    </w:pPr>
    <w:rPr>
      <w:rFonts w:ascii="Arial Unicode MS" w:eastAsia="Arial Unicode MS" w:hAnsi="Arial Unicode MS" w:cs="Arial Unicode MS"/>
      <w:b/>
      <w:bCs/>
      <w:sz w:val="24"/>
      <w:szCs w:val="24"/>
    </w:rPr>
  </w:style>
  <w:style w:type="paragraph" w:styleId="Kop4">
    <w:name w:val="heading 4"/>
    <w:basedOn w:val="Standaard"/>
    <w:next w:val="Standaard"/>
    <w:link w:val="Kop4Char"/>
    <w:qFormat/>
    <w:rsid w:val="006F445A"/>
    <w:pPr>
      <w:keepNext/>
      <w:widowControl w:val="0"/>
      <w:autoSpaceDE w:val="0"/>
      <w:autoSpaceDN w:val="0"/>
      <w:adjustRightInd w:val="0"/>
      <w:outlineLvl w:val="3"/>
    </w:pPr>
    <w:rPr>
      <w:rFonts w:cs="Arial"/>
      <w:b/>
      <w:bCs/>
      <w:color w:val="111744"/>
      <w:sz w:val="18"/>
      <w:szCs w:val="18"/>
    </w:rPr>
  </w:style>
  <w:style w:type="paragraph" w:styleId="Kop5">
    <w:name w:val="heading 5"/>
    <w:basedOn w:val="Standaard"/>
    <w:next w:val="Standaard"/>
    <w:link w:val="Kop5Char"/>
    <w:qFormat/>
    <w:rsid w:val="006F445A"/>
    <w:pPr>
      <w:keepNext/>
      <w:jc w:val="right"/>
      <w:outlineLvl w:val="4"/>
    </w:pPr>
    <w:rPr>
      <w:b/>
      <w:bCs/>
      <w:lang w:val="en-GB"/>
    </w:rPr>
  </w:style>
  <w:style w:type="paragraph" w:styleId="Kop6">
    <w:name w:val="heading 6"/>
    <w:basedOn w:val="Standaard"/>
    <w:next w:val="Standaard"/>
    <w:link w:val="Kop6Char"/>
    <w:qFormat/>
    <w:rsid w:val="006F445A"/>
    <w:pPr>
      <w:keepNext/>
      <w:ind w:left="900"/>
      <w:outlineLvl w:val="5"/>
    </w:pPr>
    <w:rPr>
      <w:rFonts w:ascii="Verdana" w:hAnsi="Verdana"/>
      <w:i/>
      <w:iCs/>
    </w:rPr>
  </w:style>
  <w:style w:type="paragraph" w:styleId="Kop7">
    <w:name w:val="heading 7"/>
    <w:basedOn w:val="Standaard"/>
    <w:next w:val="Standaard"/>
    <w:link w:val="Kop7Char"/>
    <w:qFormat/>
    <w:rsid w:val="006F445A"/>
    <w:pPr>
      <w:keepNext/>
      <w:ind w:left="1440"/>
      <w:outlineLvl w:val="6"/>
    </w:pPr>
    <w:rPr>
      <w:rFonts w:ascii="Verdana" w:hAnsi="Verdana"/>
      <w:b/>
      <w:bCs/>
    </w:rPr>
  </w:style>
  <w:style w:type="paragraph" w:styleId="Kop8">
    <w:name w:val="heading 8"/>
    <w:basedOn w:val="Standaard"/>
    <w:next w:val="Standaard"/>
    <w:link w:val="Kop8Char"/>
    <w:qFormat/>
    <w:rsid w:val="006F445A"/>
    <w:pPr>
      <w:keepNext/>
      <w:overflowPunct w:val="0"/>
      <w:autoSpaceDE w:val="0"/>
      <w:autoSpaceDN w:val="0"/>
      <w:adjustRightInd w:val="0"/>
      <w:textAlignment w:val="baseline"/>
      <w:outlineLvl w:val="7"/>
    </w:pPr>
    <w:rPr>
      <w:rFonts w:ascii="V&amp;W Syntax (Adobe)" w:hAnsi="V&amp;W Syntax (Adobe)" w:cs="Arial"/>
      <w:b/>
      <w:bCs/>
      <w:color w:val="FF0000"/>
      <w:szCs w:val="18"/>
    </w:rPr>
  </w:style>
  <w:style w:type="paragraph" w:styleId="Kop9">
    <w:name w:val="heading 9"/>
    <w:basedOn w:val="Standaard"/>
    <w:next w:val="Standaard"/>
    <w:link w:val="Kop9Char"/>
    <w:qFormat/>
    <w:rsid w:val="006F445A"/>
    <w:pPr>
      <w:keepNext/>
      <w:outlineLvl w:val="8"/>
    </w:pPr>
    <w:rPr>
      <w:rFonts w:ascii="Verdana" w:hAnsi="Verdana"/>
      <w:b/>
      <w:bCs/>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F445A"/>
    <w:rPr>
      <w:rFonts w:ascii="Arial" w:eastAsia="MS Mincho" w:hAnsi="Arial" w:cs="Arial"/>
      <w:b/>
      <w:bCs/>
    </w:rPr>
  </w:style>
  <w:style w:type="character" w:customStyle="1" w:styleId="Kop2Char">
    <w:name w:val="Kop 2 Char"/>
    <w:basedOn w:val="Standaardalinea-lettertype"/>
    <w:link w:val="Kop2"/>
    <w:rsid w:val="006F445A"/>
    <w:rPr>
      <w:rFonts w:ascii="Arial" w:eastAsia="MS Mincho" w:hAnsi="Arial" w:cs="Arial"/>
      <w:b/>
      <w:bCs/>
      <w:color w:val="0000FF"/>
      <w:sz w:val="18"/>
      <w:szCs w:val="18"/>
    </w:rPr>
  </w:style>
  <w:style w:type="character" w:customStyle="1" w:styleId="Kop3Char">
    <w:name w:val="Kop 3 Char"/>
    <w:basedOn w:val="Standaardalinea-lettertype"/>
    <w:link w:val="Kop3"/>
    <w:rsid w:val="006F445A"/>
    <w:rPr>
      <w:rFonts w:ascii="Arial Unicode MS" w:eastAsia="Arial Unicode MS" w:hAnsi="Arial Unicode MS" w:cs="Arial Unicode MS"/>
      <w:b/>
      <w:bCs/>
      <w:sz w:val="24"/>
      <w:szCs w:val="24"/>
    </w:rPr>
  </w:style>
  <w:style w:type="character" w:customStyle="1" w:styleId="Kop4Char">
    <w:name w:val="Kop 4 Char"/>
    <w:basedOn w:val="Standaardalinea-lettertype"/>
    <w:link w:val="Kop4"/>
    <w:rsid w:val="006F445A"/>
    <w:rPr>
      <w:rFonts w:ascii="Arial" w:eastAsia="MS Mincho" w:hAnsi="Arial" w:cs="Arial"/>
      <w:b/>
      <w:bCs/>
      <w:color w:val="111744"/>
      <w:sz w:val="18"/>
      <w:szCs w:val="18"/>
    </w:rPr>
  </w:style>
  <w:style w:type="character" w:customStyle="1" w:styleId="Kop5Char">
    <w:name w:val="Kop 5 Char"/>
    <w:basedOn w:val="Standaardalinea-lettertype"/>
    <w:link w:val="Kop5"/>
    <w:rsid w:val="006F445A"/>
    <w:rPr>
      <w:rFonts w:ascii="Arial" w:eastAsia="MS Mincho" w:hAnsi="Arial"/>
      <w:b/>
      <w:bCs/>
      <w:lang w:val="en-GB"/>
    </w:rPr>
  </w:style>
  <w:style w:type="character" w:customStyle="1" w:styleId="Kop6Char">
    <w:name w:val="Kop 6 Char"/>
    <w:basedOn w:val="Standaardalinea-lettertype"/>
    <w:link w:val="Kop6"/>
    <w:rsid w:val="006F445A"/>
    <w:rPr>
      <w:rFonts w:ascii="Verdana" w:eastAsia="MS Mincho" w:hAnsi="Verdana"/>
      <w:i/>
      <w:iCs/>
    </w:rPr>
  </w:style>
  <w:style w:type="character" w:customStyle="1" w:styleId="Kop7Char">
    <w:name w:val="Kop 7 Char"/>
    <w:basedOn w:val="Standaardalinea-lettertype"/>
    <w:link w:val="Kop7"/>
    <w:rsid w:val="006F445A"/>
    <w:rPr>
      <w:rFonts w:ascii="Verdana" w:eastAsia="MS Mincho" w:hAnsi="Verdana"/>
      <w:b/>
      <w:bCs/>
    </w:rPr>
  </w:style>
  <w:style w:type="character" w:customStyle="1" w:styleId="Kop8Char">
    <w:name w:val="Kop 8 Char"/>
    <w:basedOn w:val="Standaardalinea-lettertype"/>
    <w:link w:val="Kop8"/>
    <w:rsid w:val="006F445A"/>
    <w:rPr>
      <w:rFonts w:ascii="V&amp;W Syntax (Adobe)" w:eastAsia="MS Mincho" w:hAnsi="V&amp;W Syntax (Adobe)" w:cs="Arial"/>
      <w:b/>
      <w:bCs/>
      <w:color w:val="FF0000"/>
      <w:szCs w:val="18"/>
    </w:rPr>
  </w:style>
  <w:style w:type="character" w:customStyle="1" w:styleId="Kop9Char">
    <w:name w:val="Kop 9 Char"/>
    <w:basedOn w:val="Standaardalinea-lettertype"/>
    <w:link w:val="Kop9"/>
    <w:rsid w:val="006F445A"/>
    <w:rPr>
      <w:rFonts w:ascii="Verdana" w:eastAsia="MS Mincho" w:hAnsi="Verdana"/>
      <w:b/>
      <w:bCs/>
      <w:color w:val="000000"/>
      <w:sz w:val="18"/>
    </w:rPr>
  </w:style>
  <w:style w:type="character" w:styleId="Hyperlink">
    <w:name w:val="Hyperlink"/>
    <w:basedOn w:val="Standaardalinea-lettertype"/>
    <w:uiPriority w:val="99"/>
    <w:rsid w:val="006F445A"/>
    <w:rPr>
      <w:color w:val="0000FF"/>
      <w:u w:val="single"/>
    </w:rPr>
  </w:style>
  <w:style w:type="character" w:styleId="GevolgdeHyperlink">
    <w:name w:val="FollowedHyperlink"/>
    <w:basedOn w:val="Standaardalinea-lettertype"/>
    <w:uiPriority w:val="99"/>
    <w:rsid w:val="006F445A"/>
    <w:rPr>
      <w:color w:val="800080"/>
      <w:u w:val="single"/>
    </w:rPr>
  </w:style>
  <w:style w:type="paragraph" w:styleId="Voettekst">
    <w:name w:val="footer"/>
    <w:basedOn w:val="Standaard"/>
    <w:link w:val="VoettekstChar"/>
    <w:uiPriority w:val="99"/>
    <w:rsid w:val="006F445A"/>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6F445A"/>
    <w:rPr>
      <w:rFonts w:eastAsia="MS Mincho"/>
      <w:sz w:val="24"/>
      <w:szCs w:val="24"/>
    </w:rPr>
  </w:style>
  <w:style w:type="character" w:styleId="Paginanummer">
    <w:name w:val="page number"/>
    <w:basedOn w:val="Standaardalinea-lettertype"/>
    <w:rsid w:val="006F445A"/>
  </w:style>
  <w:style w:type="paragraph" w:customStyle="1" w:styleId="blok-alinea">
    <w:name w:val="blok-alinea"/>
    <w:basedOn w:val="Standaard"/>
    <w:rsid w:val="006F445A"/>
    <w:rPr>
      <w:rFonts w:ascii="Arial Unicode MS" w:eastAsia="Arial Unicode MS" w:hAnsi="Arial Unicode MS" w:cs="Arial Unicode MS"/>
      <w:sz w:val="24"/>
      <w:szCs w:val="24"/>
    </w:rPr>
  </w:style>
  <w:style w:type="paragraph" w:styleId="Normaalweb">
    <w:name w:val="Normal (Web)"/>
    <w:basedOn w:val="Standaard"/>
    <w:uiPriority w:val="99"/>
    <w:rsid w:val="006F445A"/>
    <w:rPr>
      <w:rFonts w:ascii="Arial Unicode MS" w:eastAsia="Arial Unicode MS" w:hAnsi="Arial Unicode MS" w:cs="Arial Unicode MS"/>
      <w:sz w:val="24"/>
      <w:szCs w:val="24"/>
    </w:rPr>
  </w:style>
  <w:style w:type="paragraph" w:styleId="Plattetekst">
    <w:name w:val="Body Text"/>
    <w:basedOn w:val="Standaard"/>
    <w:link w:val="PlattetekstChar"/>
    <w:rsid w:val="006F445A"/>
    <w:pPr>
      <w:widowControl w:val="0"/>
      <w:autoSpaceDE w:val="0"/>
      <w:autoSpaceDN w:val="0"/>
      <w:adjustRightInd w:val="0"/>
    </w:pPr>
    <w:rPr>
      <w:rFonts w:cs="Arial"/>
      <w:color w:val="0000FF"/>
      <w:sz w:val="18"/>
      <w:szCs w:val="18"/>
    </w:rPr>
  </w:style>
  <w:style w:type="character" w:customStyle="1" w:styleId="PlattetekstChar">
    <w:name w:val="Platte tekst Char"/>
    <w:basedOn w:val="Standaardalinea-lettertype"/>
    <w:link w:val="Plattetekst"/>
    <w:rsid w:val="006F445A"/>
    <w:rPr>
      <w:rFonts w:ascii="Arial" w:eastAsia="MS Mincho" w:hAnsi="Arial" w:cs="Arial"/>
      <w:color w:val="0000FF"/>
      <w:sz w:val="18"/>
      <w:szCs w:val="18"/>
    </w:rPr>
  </w:style>
  <w:style w:type="paragraph" w:styleId="Plattetekst2">
    <w:name w:val="Body Text 2"/>
    <w:basedOn w:val="Standaard"/>
    <w:link w:val="Plattetekst2Char"/>
    <w:rsid w:val="006F445A"/>
    <w:rPr>
      <w:color w:val="0000FF"/>
    </w:rPr>
  </w:style>
  <w:style w:type="character" w:customStyle="1" w:styleId="Plattetekst2Char">
    <w:name w:val="Platte tekst 2 Char"/>
    <w:basedOn w:val="Standaardalinea-lettertype"/>
    <w:link w:val="Plattetekst2"/>
    <w:rsid w:val="006F445A"/>
    <w:rPr>
      <w:rFonts w:ascii="Arial" w:eastAsia="MS Mincho" w:hAnsi="Arial"/>
      <w:color w:val="0000FF"/>
    </w:rPr>
  </w:style>
  <w:style w:type="paragraph" w:customStyle="1" w:styleId="Variabelegegevens">
    <w:name w:val="Variabele gegevens"/>
    <w:basedOn w:val="Standaard"/>
    <w:rsid w:val="006F445A"/>
    <w:pPr>
      <w:keepLines/>
      <w:spacing w:line="260" w:lineRule="exact"/>
    </w:pPr>
    <w:rPr>
      <w:rFonts w:ascii="V&amp;W Syntax (Adobe)" w:hAnsi="V&amp;W Syntax (Adobe)"/>
      <w:szCs w:val="24"/>
      <w:lang w:eastAsia="en-US"/>
    </w:rPr>
  </w:style>
  <w:style w:type="paragraph" w:styleId="Koptekst">
    <w:name w:val="header"/>
    <w:basedOn w:val="Standaard"/>
    <w:link w:val="KoptekstChar"/>
    <w:rsid w:val="006F445A"/>
    <w:pPr>
      <w:tabs>
        <w:tab w:val="center" w:pos="4153"/>
        <w:tab w:val="right" w:pos="8306"/>
      </w:tabs>
    </w:pPr>
  </w:style>
  <w:style w:type="character" w:customStyle="1" w:styleId="KoptekstChar">
    <w:name w:val="Koptekst Char"/>
    <w:basedOn w:val="Standaardalinea-lettertype"/>
    <w:link w:val="Koptekst"/>
    <w:rsid w:val="006F445A"/>
    <w:rPr>
      <w:rFonts w:ascii="Arial" w:eastAsia="MS Mincho" w:hAnsi="Arial"/>
    </w:rPr>
  </w:style>
  <w:style w:type="paragraph" w:customStyle="1" w:styleId="StandaardAfw">
    <w:name w:val="StandaardAfw"/>
    <w:basedOn w:val="Standaard"/>
    <w:rsid w:val="006F445A"/>
    <w:pPr>
      <w:tabs>
        <w:tab w:val="left" w:pos="2268"/>
      </w:tabs>
      <w:spacing w:after="120"/>
      <w:ind w:left="2268"/>
    </w:pPr>
  </w:style>
  <w:style w:type="paragraph" w:styleId="Plattetekstinspringen3">
    <w:name w:val="Body Text Indent 3"/>
    <w:basedOn w:val="Standaard"/>
    <w:link w:val="Plattetekstinspringen3Char"/>
    <w:rsid w:val="006F445A"/>
    <w:pPr>
      <w:overflowPunct w:val="0"/>
      <w:autoSpaceDE w:val="0"/>
      <w:autoSpaceDN w:val="0"/>
      <w:adjustRightInd w:val="0"/>
      <w:ind w:left="680" w:hanging="680"/>
      <w:textAlignment w:val="baseline"/>
    </w:pPr>
    <w:rPr>
      <w:rFonts w:ascii="Verdana" w:hAnsi="Verdana"/>
      <w:b/>
      <w:bCs/>
      <w:lang w:val="nl"/>
    </w:rPr>
  </w:style>
  <w:style w:type="character" w:customStyle="1" w:styleId="Plattetekstinspringen3Char">
    <w:name w:val="Platte tekst inspringen 3 Char"/>
    <w:basedOn w:val="Standaardalinea-lettertype"/>
    <w:link w:val="Plattetekstinspringen3"/>
    <w:rsid w:val="006F445A"/>
    <w:rPr>
      <w:rFonts w:ascii="Verdana" w:eastAsia="MS Mincho" w:hAnsi="Verdana"/>
      <w:b/>
      <w:bCs/>
      <w:lang w:val="nl"/>
    </w:rPr>
  </w:style>
  <w:style w:type="paragraph" w:styleId="Plattetekst3">
    <w:name w:val="Body Text 3"/>
    <w:basedOn w:val="Standaard"/>
    <w:link w:val="Plattetekst3Char"/>
    <w:rsid w:val="006F445A"/>
    <w:rPr>
      <w:rFonts w:ascii="Verdana" w:hAnsi="Verdana"/>
      <w:b/>
      <w:bCs/>
      <w:sz w:val="24"/>
    </w:rPr>
  </w:style>
  <w:style w:type="character" w:customStyle="1" w:styleId="Plattetekst3Char">
    <w:name w:val="Platte tekst 3 Char"/>
    <w:basedOn w:val="Standaardalinea-lettertype"/>
    <w:link w:val="Plattetekst3"/>
    <w:rsid w:val="006F445A"/>
    <w:rPr>
      <w:rFonts w:ascii="Verdana" w:eastAsia="MS Mincho" w:hAnsi="Verdana"/>
      <w:b/>
      <w:bCs/>
      <w:sz w:val="24"/>
    </w:rPr>
  </w:style>
  <w:style w:type="paragraph" w:styleId="Plattetekstinspringen">
    <w:name w:val="Body Text Indent"/>
    <w:basedOn w:val="Standaard"/>
    <w:link w:val="PlattetekstinspringenChar"/>
    <w:rsid w:val="006F445A"/>
    <w:pPr>
      <w:ind w:left="900"/>
    </w:pPr>
    <w:rPr>
      <w:rFonts w:ascii="Verdana" w:hAnsi="Verdana"/>
      <w:b/>
      <w:bCs/>
    </w:rPr>
  </w:style>
  <w:style w:type="character" w:customStyle="1" w:styleId="PlattetekstinspringenChar">
    <w:name w:val="Platte tekst inspringen Char"/>
    <w:basedOn w:val="Standaardalinea-lettertype"/>
    <w:link w:val="Plattetekstinspringen"/>
    <w:rsid w:val="006F445A"/>
    <w:rPr>
      <w:rFonts w:ascii="Verdana" w:eastAsia="MS Mincho" w:hAnsi="Verdana"/>
      <w:b/>
      <w:bCs/>
    </w:rPr>
  </w:style>
  <w:style w:type="paragraph" w:styleId="Plattetekstinspringen2">
    <w:name w:val="Body Text Indent 2"/>
    <w:basedOn w:val="Standaard"/>
    <w:link w:val="Plattetekstinspringen2Char"/>
    <w:rsid w:val="006F445A"/>
    <w:pPr>
      <w:spacing w:line="360" w:lineRule="auto"/>
      <w:ind w:left="900"/>
    </w:pPr>
    <w:rPr>
      <w:rFonts w:ascii="Verdana" w:hAnsi="Verdana"/>
    </w:rPr>
  </w:style>
  <w:style w:type="character" w:customStyle="1" w:styleId="Plattetekstinspringen2Char">
    <w:name w:val="Platte tekst inspringen 2 Char"/>
    <w:basedOn w:val="Standaardalinea-lettertype"/>
    <w:link w:val="Plattetekstinspringen2"/>
    <w:rsid w:val="006F445A"/>
    <w:rPr>
      <w:rFonts w:ascii="Verdana" w:eastAsia="MS Mincho" w:hAnsi="Verdana"/>
    </w:rPr>
  </w:style>
  <w:style w:type="paragraph" w:customStyle="1" w:styleId="xl25">
    <w:name w:val="xl25"/>
    <w:basedOn w:val="Standaard"/>
    <w:rsid w:val="006F445A"/>
    <w:pPr>
      <w:pBdr>
        <w:top w:val="single" w:sz="4" w:space="0" w:color="0000FF"/>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26">
    <w:name w:val="xl26"/>
    <w:basedOn w:val="Standaard"/>
    <w:rsid w:val="006F445A"/>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27">
    <w:name w:val="xl27"/>
    <w:basedOn w:val="Standaard"/>
    <w:rsid w:val="006F445A"/>
    <w:pPr>
      <w:pBdr>
        <w:top w:val="single" w:sz="4" w:space="0" w:color="0000FF"/>
        <w:bottom w:val="single" w:sz="4" w:space="0" w:color="0000FF"/>
      </w:pBdr>
      <w:spacing w:before="100" w:beforeAutospacing="1" w:after="100" w:afterAutospacing="1"/>
      <w:jc w:val="right"/>
    </w:pPr>
    <w:rPr>
      <w:rFonts w:eastAsia="Arial Unicode MS" w:cs="Arial"/>
      <w:b/>
      <w:bCs/>
      <w:sz w:val="16"/>
      <w:szCs w:val="16"/>
    </w:rPr>
  </w:style>
  <w:style w:type="paragraph" w:customStyle="1" w:styleId="xl28">
    <w:name w:val="xl28"/>
    <w:basedOn w:val="Standaard"/>
    <w:rsid w:val="006F445A"/>
    <w:pPr>
      <w:pBdr>
        <w:top w:val="single" w:sz="4" w:space="0" w:color="0000FF"/>
        <w:bottom w:val="single" w:sz="4" w:space="0" w:color="0000FF"/>
        <w:right w:val="single" w:sz="4" w:space="0" w:color="0000FF"/>
      </w:pBdr>
      <w:spacing w:before="100" w:beforeAutospacing="1" w:after="100" w:afterAutospacing="1"/>
      <w:jc w:val="right"/>
    </w:pPr>
    <w:rPr>
      <w:rFonts w:eastAsia="Arial Unicode MS" w:cs="Arial"/>
      <w:b/>
      <w:bCs/>
      <w:sz w:val="16"/>
      <w:szCs w:val="16"/>
    </w:rPr>
  </w:style>
  <w:style w:type="paragraph" w:customStyle="1" w:styleId="xl29">
    <w:name w:val="xl29"/>
    <w:basedOn w:val="Standaard"/>
    <w:rsid w:val="006F445A"/>
    <w:pPr>
      <w:pBdr>
        <w:left w:val="single" w:sz="4" w:space="0" w:color="0000FF"/>
      </w:pBdr>
      <w:spacing w:before="100" w:beforeAutospacing="1" w:after="100" w:afterAutospacing="1"/>
    </w:pPr>
    <w:rPr>
      <w:rFonts w:eastAsia="Arial Unicode MS" w:cs="Arial"/>
      <w:sz w:val="16"/>
      <w:szCs w:val="16"/>
    </w:rPr>
  </w:style>
  <w:style w:type="paragraph" w:customStyle="1" w:styleId="xl30">
    <w:name w:val="xl30"/>
    <w:basedOn w:val="Standaard"/>
    <w:rsid w:val="006F445A"/>
    <w:pPr>
      <w:spacing w:before="100" w:beforeAutospacing="1" w:after="100" w:afterAutospacing="1"/>
    </w:pPr>
    <w:rPr>
      <w:rFonts w:eastAsia="Arial Unicode MS" w:cs="Arial"/>
      <w:sz w:val="16"/>
      <w:szCs w:val="16"/>
    </w:rPr>
  </w:style>
  <w:style w:type="paragraph" w:customStyle="1" w:styleId="xl31">
    <w:name w:val="xl31"/>
    <w:basedOn w:val="Standaard"/>
    <w:rsid w:val="006F445A"/>
    <w:pPr>
      <w:spacing w:before="100" w:beforeAutospacing="1" w:after="100" w:afterAutospacing="1"/>
    </w:pPr>
    <w:rPr>
      <w:rFonts w:eastAsia="Arial Unicode MS" w:cs="Arial"/>
      <w:sz w:val="16"/>
      <w:szCs w:val="16"/>
    </w:rPr>
  </w:style>
  <w:style w:type="paragraph" w:customStyle="1" w:styleId="xl32">
    <w:name w:val="xl32"/>
    <w:basedOn w:val="Standaard"/>
    <w:rsid w:val="006F445A"/>
    <w:pPr>
      <w:pBdr>
        <w:right w:val="single" w:sz="4" w:space="0" w:color="0000FF"/>
      </w:pBdr>
      <w:spacing w:before="100" w:beforeAutospacing="1" w:after="100" w:afterAutospacing="1"/>
    </w:pPr>
    <w:rPr>
      <w:rFonts w:eastAsia="Arial Unicode MS" w:cs="Arial"/>
      <w:sz w:val="16"/>
      <w:szCs w:val="16"/>
    </w:rPr>
  </w:style>
  <w:style w:type="paragraph" w:customStyle="1" w:styleId="xl33">
    <w:name w:val="xl33"/>
    <w:basedOn w:val="Standaard"/>
    <w:rsid w:val="006F445A"/>
    <w:pPr>
      <w:pBdr>
        <w:left w:val="single" w:sz="4" w:space="0" w:color="0000FF"/>
      </w:pBdr>
      <w:spacing w:before="100" w:beforeAutospacing="1" w:after="100" w:afterAutospacing="1"/>
    </w:pPr>
    <w:rPr>
      <w:rFonts w:eastAsia="Arial Unicode MS" w:cs="Arial"/>
      <w:sz w:val="16"/>
      <w:szCs w:val="16"/>
    </w:rPr>
  </w:style>
  <w:style w:type="paragraph" w:customStyle="1" w:styleId="xl34">
    <w:name w:val="xl34"/>
    <w:basedOn w:val="Standaard"/>
    <w:rsid w:val="006F445A"/>
    <w:pPr>
      <w:spacing w:before="100" w:beforeAutospacing="1" w:after="100" w:afterAutospacing="1"/>
    </w:pPr>
    <w:rPr>
      <w:rFonts w:eastAsia="Arial Unicode MS" w:cs="Arial"/>
      <w:sz w:val="16"/>
      <w:szCs w:val="16"/>
    </w:rPr>
  </w:style>
  <w:style w:type="paragraph" w:customStyle="1" w:styleId="xl35">
    <w:name w:val="xl35"/>
    <w:basedOn w:val="Standaard"/>
    <w:rsid w:val="006F445A"/>
    <w:pPr>
      <w:spacing w:before="100" w:beforeAutospacing="1" w:after="100" w:afterAutospacing="1"/>
    </w:pPr>
    <w:rPr>
      <w:rFonts w:eastAsia="Arial Unicode MS" w:cs="Arial"/>
      <w:sz w:val="16"/>
      <w:szCs w:val="16"/>
    </w:rPr>
  </w:style>
  <w:style w:type="paragraph" w:customStyle="1" w:styleId="xl36">
    <w:name w:val="xl36"/>
    <w:basedOn w:val="Standaard"/>
    <w:rsid w:val="006F445A"/>
    <w:pPr>
      <w:pBdr>
        <w:right w:val="single" w:sz="4" w:space="0" w:color="0000FF"/>
      </w:pBdr>
      <w:spacing w:before="100" w:beforeAutospacing="1" w:after="100" w:afterAutospacing="1"/>
    </w:pPr>
    <w:rPr>
      <w:rFonts w:eastAsia="Arial Unicode MS" w:cs="Arial"/>
      <w:sz w:val="16"/>
      <w:szCs w:val="16"/>
    </w:rPr>
  </w:style>
  <w:style w:type="paragraph" w:customStyle="1" w:styleId="xl37">
    <w:name w:val="xl37"/>
    <w:basedOn w:val="Standaard"/>
    <w:rsid w:val="006F445A"/>
    <w:pPr>
      <w:pBdr>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38">
    <w:name w:val="xl38"/>
    <w:basedOn w:val="Standaard"/>
    <w:rsid w:val="006F445A"/>
    <w:pPr>
      <w:pBdr>
        <w:bottom w:val="single" w:sz="4" w:space="0" w:color="0000FF"/>
      </w:pBdr>
      <w:spacing w:before="100" w:beforeAutospacing="1" w:after="100" w:afterAutospacing="1"/>
    </w:pPr>
    <w:rPr>
      <w:rFonts w:eastAsia="Arial Unicode MS" w:cs="Arial"/>
      <w:sz w:val="16"/>
      <w:szCs w:val="16"/>
    </w:rPr>
  </w:style>
  <w:style w:type="paragraph" w:customStyle="1" w:styleId="xl39">
    <w:name w:val="xl39"/>
    <w:basedOn w:val="Standaard"/>
    <w:rsid w:val="006F445A"/>
    <w:pPr>
      <w:pBdr>
        <w:bottom w:val="single" w:sz="4" w:space="0" w:color="0000FF"/>
      </w:pBdr>
      <w:spacing w:before="100" w:beforeAutospacing="1" w:after="100" w:afterAutospacing="1"/>
    </w:pPr>
    <w:rPr>
      <w:rFonts w:eastAsia="Arial Unicode MS" w:cs="Arial"/>
      <w:sz w:val="16"/>
      <w:szCs w:val="16"/>
    </w:rPr>
  </w:style>
  <w:style w:type="paragraph" w:customStyle="1" w:styleId="xl40">
    <w:name w:val="xl40"/>
    <w:basedOn w:val="Standaard"/>
    <w:rsid w:val="006F445A"/>
    <w:pPr>
      <w:pBdr>
        <w:left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1">
    <w:name w:val="xl41"/>
    <w:basedOn w:val="Standaard"/>
    <w:rsid w:val="006F445A"/>
    <w:pPr>
      <w:pBdr>
        <w:bottom w:val="single" w:sz="4" w:space="0" w:color="0000FF"/>
      </w:pBdr>
      <w:spacing w:before="100" w:beforeAutospacing="1" w:after="100" w:afterAutospacing="1"/>
    </w:pPr>
    <w:rPr>
      <w:rFonts w:eastAsia="Arial Unicode MS" w:cs="Arial"/>
      <w:b/>
      <w:bCs/>
      <w:sz w:val="16"/>
      <w:szCs w:val="16"/>
    </w:rPr>
  </w:style>
  <w:style w:type="paragraph" w:customStyle="1" w:styleId="xl42">
    <w:name w:val="xl42"/>
    <w:basedOn w:val="Standaard"/>
    <w:rsid w:val="006F445A"/>
    <w:pPr>
      <w:pBdr>
        <w:bottom w:val="single" w:sz="4" w:space="0" w:color="0000FF"/>
      </w:pBdr>
      <w:spacing w:before="100" w:beforeAutospacing="1" w:after="100" w:afterAutospacing="1"/>
    </w:pPr>
    <w:rPr>
      <w:rFonts w:eastAsia="Arial Unicode MS" w:cs="Arial"/>
      <w:b/>
      <w:bCs/>
      <w:sz w:val="16"/>
      <w:szCs w:val="16"/>
    </w:rPr>
  </w:style>
  <w:style w:type="paragraph" w:customStyle="1" w:styleId="xl43">
    <w:name w:val="xl43"/>
    <w:basedOn w:val="Standaard"/>
    <w:rsid w:val="006F445A"/>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4">
    <w:name w:val="xl44"/>
    <w:basedOn w:val="Standaard"/>
    <w:rsid w:val="006F445A"/>
    <w:pPr>
      <w:pBdr>
        <w:top w:val="single" w:sz="4" w:space="0" w:color="0000FF"/>
        <w:bottom w:val="single" w:sz="4" w:space="0" w:color="0000FF"/>
        <w:right w:val="single" w:sz="4" w:space="0" w:color="0000FF"/>
      </w:pBdr>
      <w:spacing w:before="100" w:beforeAutospacing="1" w:after="100" w:afterAutospacing="1"/>
    </w:pPr>
    <w:rPr>
      <w:rFonts w:eastAsia="Arial Unicode MS" w:cs="Arial"/>
      <w:b/>
      <w:bCs/>
      <w:sz w:val="16"/>
      <w:szCs w:val="16"/>
    </w:rPr>
  </w:style>
  <w:style w:type="paragraph" w:customStyle="1" w:styleId="Naamondertekenaar">
    <w:name w:val="Naam ondertekenaar"/>
    <w:basedOn w:val="Standaard"/>
    <w:rsid w:val="006F445A"/>
    <w:pPr>
      <w:widowControl w:val="0"/>
      <w:suppressAutoHyphens/>
      <w:spacing w:after="80" w:line="360" w:lineRule="auto"/>
    </w:pPr>
  </w:style>
  <w:style w:type="paragraph" w:customStyle="1" w:styleId="xl45">
    <w:name w:val="xl45"/>
    <w:basedOn w:val="Standaard"/>
    <w:rsid w:val="006F445A"/>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6">
    <w:name w:val="xl46"/>
    <w:basedOn w:val="Standaard"/>
    <w:rsid w:val="006F445A"/>
    <w:pPr>
      <w:pBdr>
        <w:top w:val="single" w:sz="8" w:space="0" w:color="auto"/>
        <w:bottom w:val="single" w:sz="8" w:space="0" w:color="auto"/>
      </w:pBdr>
      <w:spacing w:before="100" w:beforeAutospacing="1" w:after="100" w:afterAutospacing="1"/>
      <w:jc w:val="center"/>
    </w:pPr>
    <w:rPr>
      <w:rFonts w:ascii="Arial Narrow" w:eastAsia="Arial Unicode MS" w:hAnsi="Arial Narrow" w:cs="Arial Unicode MS"/>
      <w:b/>
      <w:bCs/>
      <w:sz w:val="16"/>
      <w:szCs w:val="16"/>
    </w:rPr>
  </w:style>
  <w:style w:type="paragraph" w:customStyle="1" w:styleId="xl47">
    <w:name w:val="xl47"/>
    <w:basedOn w:val="Standaard"/>
    <w:rsid w:val="006F445A"/>
    <w:pPr>
      <w:pBdr>
        <w:top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8">
    <w:name w:val="xl48"/>
    <w:basedOn w:val="Standaard"/>
    <w:rsid w:val="006F445A"/>
    <w:pPr>
      <w:pBdr>
        <w:bottom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49">
    <w:name w:val="xl49"/>
    <w:basedOn w:val="Standaard"/>
    <w:rsid w:val="006F445A"/>
    <w:pPr>
      <w:pBdr>
        <w:top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50">
    <w:name w:val="xl50"/>
    <w:basedOn w:val="Standaard"/>
    <w:rsid w:val="006F445A"/>
    <w:pPr>
      <w:pBdr>
        <w:top w:val="single" w:sz="8" w:space="0" w:color="FF0000"/>
        <w:bottom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51">
    <w:name w:val="xl51"/>
    <w:basedOn w:val="Standaard"/>
    <w:rsid w:val="006F445A"/>
    <w:pPr>
      <w:shd w:val="clear" w:color="auto" w:fill="CCFFCC"/>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2">
    <w:name w:val="xl52"/>
    <w:basedOn w:val="Standaard"/>
    <w:rsid w:val="006F445A"/>
    <w:pPr>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3">
    <w:name w:val="xl53"/>
    <w:basedOn w:val="Standaard"/>
    <w:rsid w:val="006F445A"/>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4">
    <w:name w:val="xl54"/>
    <w:basedOn w:val="Standaard"/>
    <w:rsid w:val="006F445A"/>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5">
    <w:name w:val="xl55"/>
    <w:basedOn w:val="Standaard"/>
    <w:rsid w:val="006F445A"/>
    <w:pPr>
      <w:pBdr>
        <w:top w:val="single" w:sz="8" w:space="0" w:color="auto"/>
        <w:bottom w:val="single" w:sz="8" w:space="0" w:color="auto"/>
      </w:pBdr>
      <w:shd w:val="clear" w:color="auto" w:fill="CCFFCC"/>
      <w:spacing w:before="100" w:beforeAutospacing="1" w:after="100" w:afterAutospacing="1"/>
    </w:pPr>
    <w:rPr>
      <w:rFonts w:ascii="Arial Narrow" w:eastAsia="Arial Unicode MS" w:hAnsi="Arial Narrow" w:cs="Arial Unicode MS"/>
      <w:b/>
      <w:bCs/>
      <w:i/>
      <w:iCs/>
      <w:color w:val="0000FF"/>
      <w:sz w:val="16"/>
      <w:szCs w:val="16"/>
    </w:rPr>
  </w:style>
  <w:style w:type="paragraph" w:customStyle="1" w:styleId="xl56">
    <w:name w:val="xl56"/>
    <w:basedOn w:val="Standaard"/>
    <w:rsid w:val="006F445A"/>
    <w:pPr>
      <w:spacing w:before="100" w:beforeAutospacing="1" w:after="100" w:afterAutospacing="1"/>
    </w:pPr>
    <w:rPr>
      <w:rFonts w:ascii="Arial Narrow" w:eastAsia="Arial Unicode MS" w:hAnsi="Arial Narrow" w:cs="Arial Unicode MS"/>
      <w:sz w:val="16"/>
      <w:szCs w:val="16"/>
    </w:rPr>
  </w:style>
  <w:style w:type="paragraph" w:customStyle="1" w:styleId="xl57">
    <w:name w:val="xl57"/>
    <w:basedOn w:val="Standaard"/>
    <w:rsid w:val="006F445A"/>
    <w:pPr>
      <w:spacing w:before="100" w:beforeAutospacing="1" w:after="100" w:afterAutospacing="1"/>
    </w:pPr>
    <w:rPr>
      <w:rFonts w:ascii="Arial Narrow" w:eastAsia="Arial Unicode MS" w:hAnsi="Arial Narrow" w:cs="Arial Unicode MS"/>
      <w:sz w:val="16"/>
      <w:szCs w:val="16"/>
    </w:rPr>
  </w:style>
  <w:style w:type="paragraph" w:customStyle="1" w:styleId="xl58">
    <w:name w:val="xl58"/>
    <w:basedOn w:val="Standaard"/>
    <w:rsid w:val="006F445A"/>
    <w:pPr>
      <w:spacing w:before="100" w:beforeAutospacing="1" w:after="100" w:afterAutospacing="1"/>
    </w:pPr>
    <w:rPr>
      <w:rFonts w:ascii="Arial Narrow" w:eastAsia="Arial Unicode MS" w:hAnsi="Arial Narrow" w:cs="Arial Unicode MS"/>
      <w:i/>
      <w:iCs/>
      <w:sz w:val="16"/>
      <w:szCs w:val="16"/>
    </w:rPr>
  </w:style>
  <w:style w:type="paragraph" w:customStyle="1" w:styleId="xl59">
    <w:name w:val="xl59"/>
    <w:basedOn w:val="Standaard"/>
    <w:rsid w:val="006F445A"/>
    <w:pPr>
      <w:spacing w:before="100" w:beforeAutospacing="1" w:after="100" w:afterAutospacing="1"/>
      <w:jc w:val="right"/>
    </w:pPr>
    <w:rPr>
      <w:rFonts w:ascii="Arial Narrow" w:eastAsia="Arial Unicode MS" w:hAnsi="Arial Narrow" w:cs="Arial Unicode MS"/>
      <w:i/>
      <w:iCs/>
      <w:sz w:val="16"/>
      <w:szCs w:val="16"/>
    </w:rPr>
  </w:style>
  <w:style w:type="paragraph" w:customStyle="1" w:styleId="xl60">
    <w:name w:val="xl60"/>
    <w:basedOn w:val="Standaard"/>
    <w:rsid w:val="006F445A"/>
    <w:pPr>
      <w:pBdr>
        <w:top w:val="single" w:sz="8" w:space="0" w:color="auto"/>
        <w:bottom w:val="single" w:sz="8" w:space="0" w:color="auto"/>
      </w:pBdr>
      <w:spacing w:before="100" w:beforeAutospacing="1" w:after="100" w:afterAutospacing="1"/>
    </w:pPr>
    <w:rPr>
      <w:rFonts w:ascii="Arial Narrow" w:eastAsia="Arial Unicode MS" w:hAnsi="Arial Narrow" w:cs="Arial Unicode MS"/>
      <w:i/>
      <w:iCs/>
      <w:sz w:val="16"/>
      <w:szCs w:val="16"/>
    </w:rPr>
  </w:style>
  <w:style w:type="paragraph" w:styleId="Geenafstand">
    <w:name w:val="No Spacing"/>
    <w:link w:val="GeenafstandChar"/>
    <w:uiPriority w:val="1"/>
    <w:qFormat/>
    <w:rsid w:val="006F445A"/>
    <w:rPr>
      <w:rFonts w:ascii="Calibri" w:eastAsia="Calibri" w:hAnsi="Calibri"/>
      <w:sz w:val="22"/>
      <w:szCs w:val="22"/>
      <w:lang w:eastAsia="en-US"/>
    </w:rPr>
  </w:style>
  <w:style w:type="paragraph" w:customStyle="1" w:styleId="bodytext1">
    <w:name w:val="bodytext1"/>
    <w:basedOn w:val="Standaard"/>
    <w:rsid w:val="006F445A"/>
    <w:pPr>
      <w:spacing w:line="348" w:lineRule="atLeast"/>
    </w:pPr>
    <w:rPr>
      <w:rFonts w:ascii="Times New Roman" w:hAnsi="Times New Roman"/>
      <w:sz w:val="28"/>
      <w:szCs w:val="28"/>
    </w:rPr>
  </w:style>
  <w:style w:type="paragraph" w:customStyle="1" w:styleId="tekst">
    <w:name w:val="tekst"/>
    <w:basedOn w:val="Standaard"/>
    <w:rsid w:val="006F445A"/>
    <w:rPr>
      <w:rFonts w:ascii="V&amp;W Syntax (Adobe)" w:hAnsi="V&amp;W Syntax (Adobe)"/>
      <w:szCs w:val="24"/>
    </w:rPr>
  </w:style>
  <w:style w:type="paragraph" w:customStyle="1" w:styleId="Tekst0">
    <w:name w:val="Tekst"/>
    <w:basedOn w:val="Standaard"/>
    <w:rsid w:val="006F445A"/>
    <w:rPr>
      <w:rFonts w:ascii="V&amp;W Syntax (Adobe)" w:hAnsi="V&amp;W Syntax (Adobe)"/>
      <w:b/>
      <w:szCs w:val="24"/>
    </w:rPr>
  </w:style>
  <w:style w:type="character" w:styleId="Nadruk">
    <w:name w:val="Emphasis"/>
    <w:basedOn w:val="Standaardalinea-lettertype"/>
    <w:uiPriority w:val="20"/>
    <w:qFormat/>
    <w:rsid w:val="006F445A"/>
    <w:rPr>
      <w:b/>
      <w:bCs/>
      <w:i w:val="0"/>
      <w:iCs w:val="0"/>
    </w:rPr>
  </w:style>
  <w:style w:type="paragraph" w:styleId="Lijstalinea">
    <w:name w:val="List Paragraph"/>
    <w:basedOn w:val="Standaard"/>
    <w:link w:val="LijstalineaChar"/>
    <w:uiPriority w:val="34"/>
    <w:qFormat/>
    <w:rsid w:val="006F445A"/>
    <w:pPr>
      <w:ind w:left="720"/>
      <w:contextualSpacing/>
    </w:pPr>
  </w:style>
  <w:style w:type="character" w:customStyle="1" w:styleId="l">
    <w:name w:val="l"/>
    <w:basedOn w:val="Standaardalinea-lettertype"/>
    <w:rsid w:val="006F445A"/>
  </w:style>
  <w:style w:type="character" w:styleId="Verwijzingopmerking">
    <w:name w:val="annotation reference"/>
    <w:basedOn w:val="Standaardalinea-lettertype"/>
    <w:uiPriority w:val="99"/>
    <w:unhideWhenUsed/>
    <w:rsid w:val="006F445A"/>
    <w:rPr>
      <w:sz w:val="16"/>
      <w:szCs w:val="16"/>
    </w:rPr>
  </w:style>
  <w:style w:type="paragraph" w:styleId="Tekstopmerking">
    <w:name w:val="annotation text"/>
    <w:basedOn w:val="Standaard"/>
    <w:link w:val="TekstopmerkingChar"/>
    <w:uiPriority w:val="99"/>
    <w:unhideWhenUsed/>
    <w:rsid w:val="006F445A"/>
  </w:style>
  <w:style w:type="character" w:customStyle="1" w:styleId="TekstopmerkingChar">
    <w:name w:val="Tekst opmerking Char"/>
    <w:basedOn w:val="Standaardalinea-lettertype"/>
    <w:link w:val="Tekstopmerking"/>
    <w:uiPriority w:val="99"/>
    <w:rsid w:val="006F445A"/>
    <w:rPr>
      <w:rFonts w:ascii="Arial" w:eastAsia="MS Mincho" w:hAnsi="Arial"/>
    </w:rPr>
  </w:style>
  <w:style w:type="paragraph" w:styleId="Onderwerpvanopmerking">
    <w:name w:val="annotation subject"/>
    <w:basedOn w:val="Tekstopmerking"/>
    <w:next w:val="Tekstopmerking"/>
    <w:link w:val="OnderwerpvanopmerkingChar"/>
    <w:uiPriority w:val="99"/>
    <w:unhideWhenUsed/>
    <w:rsid w:val="006F445A"/>
    <w:rPr>
      <w:b/>
      <w:bCs/>
    </w:rPr>
  </w:style>
  <w:style w:type="character" w:customStyle="1" w:styleId="OnderwerpvanopmerkingChar">
    <w:name w:val="Onderwerp van opmerking Char"/>
    <w:basedOn w:val="TekstopmerkingChar"/>
    <w:link w:val="Onderwerpvanopmerking"/>
    <w:uiPriority w:val="99"/>
    <w:rsid w:val="006F445A"/>
    <w:rPr>
      <w:rFonts w:ascii="Arial" w:eastAsia="MS Mincho" w:hAnsi="Arial"/>
      <w:b/>
      <w:bCs/>
    </w:rPr>
  </w:style>
  <w:style w:type="paragraph" w:styleId="Ballontekst">
    <w:name w:val="Balloon Text"/>
    <w:basedOn w:val="Standaard"/>
    <w:link w:val="BallontekstChar"/>
    <w:uiPriority w:val="99"/>
    <w:unhideWhenUsed/>
    <w:rsid w:val="006F445A"/>
    <w:rPr>
      <w:rFonts w:ascii="Tahoma" w:hAnsi="Tahoma" w:cs="Tahoma"/>
      <w:sz w:val="16"/>
      <w:szCs w:val="16"/>
    </w:rPr>
  </w:style>
  <w:style w:type="character" w:customStyle="1" w:styleId="BallontekstChar">
    <w:name w:val="Ballontekst Char"/>
    <w:basedOn w:val="Standaardalinea-lettertype"/>
    <w:link w:val="Ballontekst"/>
    <w:uiPriority w:val="99"/>
    <w:rsid w:val="006F445A"/>
    <w:rPr>
      <w:rFonts w:ascii="Tahoma" w:eastAsia="MS Mincho" w:hAnsi="Tahoma" w:cs="Tahoma"/>
      <w:sz w:val="16"/>
      <w:szCs w:val="16"/>
    </w:rPr>
  </w:style>
  <w:style w:type="table" w:styleId="Tabelraster">
    <w:name w:val="Table Grid"/>
    <w:basedOn w:val="Standaardtabel"/>
    <w:uiPriority w:val="59"/>
    <w:rsid w:val="006F44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locked/>
    <w:rsid w:val="006F445A"/>
    <w:rPr>
      <w:rFonts w:ascii="Arial" w:eastAsia="MS Mincho" w:hAnsi="Arial"/>
    </w:rPr>
  </w:style>
  <w:style w:type="paragraph" w:styleId="Voetnoottekst">
    <w:name w:val="footnote text"/>
    <w:basedOn w:val="Standaard"/>
    <w:link w:val="VoetnoottekstChar"/>
    <w:uiPriority w:val="99"/>
    <w:unhideWhenUsed/>
    <w:rsid w:val="006F445A"/>
  </w:style>
  <w:style w:type="character" w:customStyle="1" w:styleId="VoetnoottekstChar">
    <w:name w:val="Voetnoottekst Char"/>
    <w:basedOn w:val="Standaardalinea-lettertype"/>
    <w:link w:val="Voetnoottekst"/>
    <w:uiPriority w:val="99"/>
    <w:rsid w:val="006F445A"/>
    <w:rPr>
      <w:rFonts w:ascii="Arial" w:eastAsia="MS Mincho" w:hAnsi="Arial"/>
    </w:rPr>
  </w:style>
  <w:style w:type="character" w:styleId="Voetnootmarkering">
    <w:name w:val="footnote reference"/>
    <w:basedOn w:val="Standaardalinea-lettertype"/>
    <w:uiPriority w:val="99"/>
    <w:unhideWhenUsed/>
    <w:rsid w:val="006F445A"/>
    <w:rPr>
      <w:vertAlign w:val="superscript"/>
    </w:rPr>
  </w:style>
  <w:style w:type="paragraph" w:styleId="Revisie">
    <w:name w:val="Revision"/>
    <w:hidden/>
    <w:uiPriority w:val="99"/>
    <w:semiHidden/>
    <w:rsid w:val="006F445A"/>
    <w:rPr>
      <w:rFonts w:ascii="Arial" w:eastAsia="MS Mincho" w:hAnsi="Arial"/>
    </w:rPr>
  </w:style>
  <w:style w:type="character" w:customStyle="1" w:styleId="GeenafstandChar">
    <w:name w:val="Geen afstand Char"/>
    <w:basedOn w:val="Standaardalinea-lettertype"/>
    <w:link w:val="Geenafstand"/>
    <w:uiPriority w:val="1"/>
    <w:locked/>
    <w:rsid w:val="006F445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customXml" Target="../customXml/item1.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00E9B-F078-4AB6-B515-FE8B809E25FC}"/>
</file>

<file path=customXml/itemProps2.xml><?xml version="1.0" encoding="utf-8"?>
<ds:datastoreItem xmlns:ds="http://schemas.openxmlformats.org/officeDocument/2006/customXml" ds:itemID="{320F4630-1082-4006-858D-BFCA88CFF448}"/>
</file>

<file path=customXml/itemProps3.xml><?xml version="1.0" encoding="utf-8"?>
<ds:datastoreItem xmlns:ds="http://schemas.openxmlformats.org/officeDocument/2006/customXml" ds:itemID="{2C7E61D4-5010-4AF0-90A8-EDBB538A58B0}"/>
</file>

<file path=docProps/app.xml><?xml version="1.0" encoding="utf-8"?>
<Properties xmlns="http://schemas.openxmlformats.org/officeDocument/2006/extended-properties" xmlns:vt="http://schemas.openxmlformats.org/officeDocument/2006/docPropsVTypes">
  <Template>EA95717A.dotm</Template>
  <TotalTime>0</TotalTime>
  <Pages>33</Pages>
  <Words>5770</Words>
  <Characters>36639</Characters>
  <Application>Microsoft Office Word</Application>
  <DocSecurity>0</DocSecurity>
  <Lines>305</Lines>
  <Paragraphs>84</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42325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2015-06-01T16:18:00Z</dcterms:created>
  <dcterms:modified xsi:type="dcterms:W3CDTF">2015-06-01T16:18:00Z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