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D6" w:rsidRDefault="009F2ED6" w:rsidP="009F2ED6">
      <w:pPr>
        <w:pStyle w:val="Plattetekst3"/>
        <w:ind w:left="900"/>
      </w:pPr>
      <w:r>
        <w:t>Wijziging van de begrotingsstaat van het Deltafonds voor het jaar 2015 (wijziging samenhangende met de Voorjaarsnota)</w:t>
      </w:r>
      <w:bookmarkStart w:id="0" w:name="_GoBack"/>
      <w:bookmarkEnd w:id="0"/>
    </w:p>
    <w:p w:rsidR="009F2ED6" w:rsidRDefault="009F2ED6" w:rsidP="009F2ED6">
      <w:pPr>
        <w:ind w:left="900"/>
        <w:rPr>
          <w:rFonts w:ascii="Verdana" w:hAnsi="Verdana"/>
          <w:b/>
        </w:rPr>
      </w:pPr>
    </w:p>
    <w:p w:rsidR="009F2ED6" w:rsidRDefault="009F2ED6" w:rsidP="009F2ED6">
      <w:pPr>
        <w:ind w:left="900"/>
        <w:rPr>
          <w:rFonts w:ascii="Verdana" w:hAnsi="Verdana"/>
          <w:b/>
        </w:rPr>
      </w:pPr>
    </w:p>
    <w:p w:rsidR="009F2ED6" w:rsidRDefault="009F2ED6" w:rsidP="009F2ED6">
      <w:pPr>
        <w:ind w:left="900"/>
        <w:rPr>
          <w:rFonts w:ascii="Verdana" w:hAnsi="Verdana"/>
          <w:b/>
        </w:rPr>
      </w:pPr>
    </w:p>
    <w:p w:rsidR="009F2ED6" w:rsidRDefault="009F2ED6" w:rsidP="009F2ED6">
      <w:pPr>
        <w:ind w:left="900"/>
        <w:rPr>
          <w:rFonts w:ascii="Verdana" w:hAnsi="Verdana"/>
          <w:b/>
        </w:rPr>
      </w:pPr>
    </w:p>
    <w:p w:rsidR="009F2ED6" w:rsidRDefault="009F2ED6" w:rsidP="009F2ED6">
      <w:pPr>
        <w:ind w:left="900"/>
        <w:rPr>
          <w:rFonts w:ascii="Verdana" w:hAnsi="Verdana"/>
          <w:b/>
        </w:rPr>
      </w:pPr>
    </w:p>
    <w:p w:rsidR="009F2ED6" w:rsidRDefault="009F2ED6" w:rsidP="009F2ED6">
      <w:pPr>
        <w:pStyle w:val="Kop5"/>
        <w:ind w:left="900"/>
        <w:jc w:val="left"/>
        <w:rPr>
          <w:rFonts w:ascii="Verdana" w:hAnsi="Verdana"/>
          <w:lang w:val="nl-NL"/>
        </w:rPr>
      </w:pPr>
      <w:r>
        <w:rPr>
          <w:rFonts w:ascii="Verdana" w:hAnsi="Verdana"/>
          <w:lang w:val="nl-NL"/>
        </w:rPr>
        <w:t>MEMORIE VAN TOELICHTING</w:t>
      </w:r>
    </w:p>
    <w:p w:rsidR="009F2ED6" w:rsidRDefault="009F2ED6" w:rsidP="009F2ED6">
      <w:pPr>
        <w:ind w:left="900"/>
        <w:rPr>
          <w:rFonts w:ascii="Verdana" w:hAnsi="Verdana"/>
          <w:b/>
        </w:rPr>
      </w:pPr>
    </w:p>
    <w:p w:rsidR="009F2ED6" w:rsidRDefault="009F2ED6" w:rsidP="009F2ED6">
      <w:pPr>
        <w:ind w:left="900"/>
        <w:rPr>
          <w:rFonts w:ascii="Verdana" w:hAnsi="Verdana"/>
        </w:rPr>
      </w:pPr>
      <w:r>
        <w:rPr>
          <w:rFonts w:ascii="Verdana" w:hAnsi="Verdana"/>
          <w:b/>
        </w:rPr>
        <w:t>A.</w:t>
      </w:r>
      <w:r>
        <w:rPr>
          <w:rFonts w:ascii="Verdana" w:hAnsi="Verdana"/>
          <w:b/>
        </w:rPr>
        <w:tab/>
        <w:t>ARTIKELGEWIJZE TOELICHTING BIJ HET WETSVOORSTEL</w:t>
      </w:r>
    </w:p>
    <w:p w:rsidR="009F2ED6" w:rsidRDefault="009F2ED6" w:rsidP="009F2ED6">
      <w:pPr>
        <w:ind w:left="900"/>
        <w:rPr>
          <w:rFonts w:ascii="Verdana" w:hAnsi="Verdana"/>
        </w:rPr>
      </w:pPr>
    </w:p>
    <w:p w:rsidR="009F2ED6" w:rsidRDefault="009F2ED6" w:rsidP="009F2ED6">
      <w:pPr>
        <w:ind w:left="900"/>
        <w:rPr>
          <w:rFonts w:ascii="Verdana" w:hAnsi="Verdana"/>
          <w:b/>
          <w:bCs/>
        </w:rPr>
      </w:pPr>
      <w:r>
        <w:rPr>
          <w:rFonts w:ascii="Verdana" w:hAnsi="Verdana"/>
          <w:b/>
          <w:bCs/>
        </w:rPr>
        <w:t>Wetsartikel 1 (uitgaven/verplichtingen en ontvangsten)</w:t>
      </w:r>
    </w:p>
    <w:p w:rsidR="009F2ED6" w:rsidRDefault="009F2ED6" w:rsidP="009F2ED6">
      <w:pPr>
        <w:ind w:left="900"/>
        <w:rPr>
          <w:rFonts w:ascii="Verdana" w:hAnsi="Verdana"/>
        </w:rPr>
      </w:pPr>
    </w:p>
    <w:p w:rsidR="009F2ED6" w:rsidRDefault="009F2ED6" w:rsidP="009F2ED6">
      <w:pPr>
        <w:ind w:left="900"/>
        <w:rPr>
          <w:rFonts w:ascii="Verdana" w:hAnsi="Verdana"/>
        </w:rPr>
      </w:pPr>
      <w:r>
        <w:rPr>
          <w:rFonts w:ascii="Verdana" w:hAnsi="Verdana"/>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begrotingsstaat van het Deltafonds.</w:t>
      </w:r>
    </w:p>
    <w:p w:rsidR="009F2ED6" w:rsidRDefault="009F2ED6" w:rsidP="009F2ED6">
      <w:pPr>
        <w:ind w:left="900"/>
        <w:rPr>
          <w:rFonts w:ascii="Verdana" w:hAnsi="Verdana"/>
        </w:rPr>
      </w:pPr>
    </w:p>
    <w:p w:rsidR="009F2ED6" w:rsidRDefault="009F2ED6" w:rsidP="009F2ED6">
      <w:pPr>
        <w:ind w:left="900"/>
        <w:rPr>
          <w:rFonts w:ascii="Verdana" w:hAnsi="Verdana"/>
        </w:rPr>
      </w:pPr>
      <w:r>
        <w:rPr>
          <w:rFonts w:ascii="Verdana" w:hAnsi="Verdana"/>
        </w:rPr>
        <w:t>De in de begrotingsstaat opgenomen begrotingsartikelen worden in onderdeel B van deze memorie van toelichting toegelicht (de zgn. begrotingstoelichting).</w:t>
      </w:r>
    </w:p>
    <w:p w:rsidR="009F2ED6" w:rsidRDefault="009F2ED6" w:rsidP="009F2ED6">
      <w:pPr>
        <w:ind w:left="900"/>
        <w:rPr>
          <w:rFonts w:ascii="Verdana" w:hAnsi="Verdana"/>
        </w:rPr>
      </w:pPr>
    </w:p>
    <w:p w:rsidR="009F2ED6" w:rsidRDefault="009F2ED6" w:rsidP="009F2ED6">
      <w:pPr>
        <w:ind w:left="191" w:firstLine="709"/>
        <w:rPr>
          <w:rFonts w:ascii="Verdana" w:hAnsi="Verdana"/>
        </w:rPr>
      </w:pPr>
      <w:r>
        <w:rPr>
          <w:rFonts w:ascii="Verdana" w:hAnsi="Verdana"/>
        </w:rPr>
        <w:t>De Minister van Infrastructuur en Milieu,</w:t>
      </w:r>
    </w:p>
    <w:p w:rsidR="009F2ED6" w:rsidRDefault="009F2ED6" w:rsidP="009F2ED6">
      <w:pPr>
        <w:ind w:left="900"/>
        <w:rPr>
          <w:rFonts w:ascii="Verdana" w:hAnsi="Verdana"/>
        </w:rPr>
      </w:pPr>
    </w:p>
    <w:p w:rsidR="009F2ED6" w:rsidRDefault="009F2ED6" w:rsidP="009F2ED6">
      <w:pPr>
        <w:ind w:left="900"/>
        <w:rPr>
          <w:rFonts w:ascii="Verdana" w:hAnsi="Verdana"/>
        </w:rPr>
      </w:pPr>
    </w:p>
    <w:p w:rsidR="009F2ED6" w:rsidRDefault="009F2ED6" w:rsidP="009F2ED6">
      <w:pPr>
        <w:pBdr>
          <w:bottom w:val="single" w:sz="4" w:space="1" w:color="auto"/>
        </w:pBdr>
        <w:ind w:left="900"/>
        <w:rPr>
          <w:rFonts w:ascii="Verdana" w:hAnsi="Verdana"/>
        </w:rPr>
      </w:pPr>
    </w:p>
    <w:p w:rsidR="009F2ED6" w:rsidRDefault="009F2ED6" w:rsidP="009F2ED6">
      <w:pPr>
        <w:pBdr>
          <w:bottom w:val="single" w:sz="4" w:space="1" w:color="auto"/>
        </w:pBdr>
        <w:ind w:left="900"/>
        <w:rPr>
          <w:rFonts w:ascii="Verdana" w:hAnsi="Verdana"/>
        </w:rPr>
      </w:pPr>
    </w:p>
    <w:p w:rsidR="009F2ED6" w:rsidRDefault="009F2ED6" w:rsidP="009F2ED6">
      <w:pPr>
        <w:pBdr>
          <w:bottom w:val="single" w:sz="4" w:space="1" w:color="auto"/>
        </w:pBdr>
        <w:ind w:left="900"/>
        <w:rPr>
          <w:rFonts w:ascii="Verdana" w:hAnsi="Verdana"/>
        </w:rPr>
      </w:pPr>
    </w:p>
    <w:p w:rsidR="009F2ED6" w:rsidRDefault="009F2ED6" w:rsidP="009F2ED6">
      <w:pPr>
        <w:pBdr>
          <w:bottom w:val="single" w:sz="4" w:space="1" w:color="auto"/>
        </w:pBdr>
        <w:ind w:left="900"/>
        <w:rPr>
          <w:rFonts w:ascii="Verdana" w:hAnsi="Verdana"/>
        </w:rPr>
      </w:pPr>
    </w:p>
    <w:p w:rsidR="009F2ED6" w:rsidRDefault="009F2ED6" w:rsidP="009F2ED6">
      <w:pPr>
        <w:pBdr>
          <w:bottom w:val="single" w:sz="4" w:space="1" w:color="auto"/>
        </w:pBdr>
        <w:ind w:left="900"/>
        <w:rPr>
          <w:rFonts w:ascii="Verdana" w:hAnsi="Verdana"/>
        </w:rPr>
      </w:pPr>
    </w:p>
    <w:p w:rsidR="009F2ED6" w:rsidRDefault="009F2ED6" w:rsidP="009F2ED6">
      <w:pPr>
        <w:pStyle w:val="Kop1"/>
        <w:ind w:left="900"/>
        <w:rPr>
          <w:rFonts w:ascii="Verdana" w:hAnsi="Verdana"/>
          <w:bCs w:val="0"/>
        </w:rPr>
      </w:pPr>
    </w:p>
    <w:p w:rsidR="009F2ED6" w:rsidRDefault="009F2ED6" w:rsidP="009F2ED6">
      <w:pPr>
        <w:pStyle w:val="Kop1"/>
        <w:ind w:left="900"/>
        <w:rPr>
          <w:rFonts w:ascii="Verdana" w:hAnsi="Verdana"/>
          <w:bCs w:val="0"/>
        </w:rPr>
      </w:pPr>
    </w:p>
    <w:p w:rsidR="009F2ED6" w:rsidRDefault="009F2ED6" w:rsidP="009F2ED6">
      <w:pPr>
        <w:pStyle w:val="Kop1"/>
        <w:ind w:left="900"/>
        <w:rPr>
          <w:rFonts w:ascii="Verdana" w:hAnsi="Verdana"/>
          <w:bCs w:val="0"/>
        </w:rPr>
      </w:pPr>
      <w:r>
        <w:rPr>
          <w:rFonts w:ascii="Verdana" w:hAnsi="Verdana"/>
          <w:bCs w:val="0"/>
        </w:rPr>
        <w:t>B.</w:t>
      </w:r>
      <w:r>
        <w:rPr>
          <w:rFonts w:ascii="Verdana" w:hAnsi="Verdana"/>
          <w:bCs w:val="0"/>
        </w:rPr>
        <w:tab/>
        <w:t>BEGROTINGSTOELICHTING</w:t>
      </w:r>
    </w:p>
    <w:p w:rsidR="009F2ED6" w:rsidRDefault="009F2ED6" w:rsidP="009F2ED6">
      <w:pPr>
        <w:ind w:left="900"/>
        <w:rPr>
          <w:rFonts w:ascii="Verdana" w:hAnsi="Verdana"/>
          <w:b/>
          <w:bCs/>
        </w:rPr>
      </w:pPr>
      <w:r>
        <w:rPr>
          <w:rFonts w:ascii="Verdana" w:hAnsi="Verdana"/>
        </w:rPr>
        <w:br/>
      </w:r>
      <w:r>
        <w:rPr>
          <w:rFonts w:ascii="Verdana" w:hAnsi="Verdana"/>
          <w:b/>
          <w:bCs/>
        </w:rPr>
        <w:t>1.</w:t>
      </w:r>
      <w:r>
        <w:rPr>
          <w:rFonts w:ascii="Verdana" w:hAnsi="Verdana"/>
          <w:b/>
          <w:bCs/>
        </w:rPr>
        <w:tab/>
        <w:t>Leeswijzer</w:t>
      </w:r>
    </w:p>
    <w:p w:rsidR="009F2ED6" w:rsidRDefault="009F2ED6" w:rsidP="009F2ED6">
      <w:pPr>
        <w:ind w:left="900"/>
        <w:rPr>
          <w:rFonts w:ascii="Verdana" w:hAnsi="Verdana"/>
        </w:rPr>
      </w:pPr>
    </w:p>
    <w:p w:rsidR="009F2ED6" w:rsidRDefault="009F2ED6" w:rsidP="009F2ED6">
      <w:pPr>
        <w:ind w:left="900"/>
        <w:rPr>
          <w:rFonts w:ascii="Verdana" w:hAnsi="Verdana"/>
          <w:b/>
          <w:bCs/>
        </w:rPr>
      </w:pPr>
      <w:r>
        <w:rPr>
          <w:rFonts w:ascii="Verdana" w:hAnsi="Verdana"/>
          <w:b/>
          <w:bCs/>
        </w:rPr>
        <w:t>2.</w:t>
      </w:r>
      <w:r>
        <w:rPr>
          <w:rFonts w:ascii="Verdana" w:hAnsi="Verdana"/>
          <w:b/>
          <w:bCs/>
        </w:rPr>
        <w:tab/>
        <w:t>De producten</w:t>
      </w:r>
    </w:p>
    <w:p w:rsidR="009F2ED6" w:rsidRDefault="009F2ED6" w:rsidP="009F2ED6">
      <w:pPr>
        <w:ind w:left="900"/>
        <w:rPr>
          <w:rFonts w:ascii="Verdana" w:hAnsi="Verdana"/>
        </w:rPr>
      </w:pPr>
    </w:p>
    <w:p w:rsidR="009F2ED6" w:rsidRDefault="009F2ED6" w:rsidP="009F2ED6">
      <w:pPr>
        <w:pStyle w:val="Voettekst"/>
        <w:ind w:left="900"/>
        <w:rPr>
          <w:rFonts w:ascii="Verdana" w:hAnsi="Verdana"/>
          <w:sz w:val="20"/>
        </w:rPr>
      </w:pPr>
      <w:r>
        <w:rPr>
          <w:rFonts w:ascii="Verdana" w:hAnsi="Verdana"/>
          <w:sz w:val="20"/>
        </w:rPr>
        <w:t>2.1 Overzicht belangrijkste uitgaven- en ontvangstenmutaties</w:t>
      </w:r>
    </w:p>
    <w:p w:rsidR="009F2ED6" w:rsidRDefault="009F2ED6" w:rsidP="009F2ED6">
      <w:pPr>
        <w:ind w:left="900"/>
        <w:rPr>
          <w:rFonts w:ascii="Verdana" w:hAnsi="Verdana"/>
        </w:rPr>
      </w:pPr>
      <w:r>
        <w:rPr>
          <w:rFonts w:ascii="Verdana" w:hAnsi="Verdana"/>
        </w:rPr>
        <w:t>2.2 De productartikelen</w:t>
      </w:r>
    </w:p>
    <w:p w:rsidR="009F2ED6" w:rsidRDefault="009F2ED6" w:rsidP="009F2ED6">
      <w:pPr>
        <w:ind w:left="900"/>
        <w:rPr>
          <w:rFonts w:ascii="Verdana" w:hAnsi="Verdana"/>
        </w:rPr>
      </w:pPr>
      <w:r>
        <w:rPr>
          <w:rFonts w:ascii="Verdana" w:hAnsi="Verdana"/>
        </w:rPr>
        <w:t>2.3 Verdiepingsbijlage</w:t>
      </w:r>
    </w:p>
    <w:p w:rsidR="009F2ED6" w:rsidRDefault="009F2ED6" w:rsidP="009F2ED6">
      <w:pPr>
        <w:pStyle w:val="Voettekst"/>
        <w:ind w:left="900"/>
        <w:rPr>
          <w:rFonts w:ascii="Verdana" w:hAnsi="Verdana"/>
          <w:sz w:val="20"/>
        </w:rPr>
      </w:pPr>
    </w:p>
    <w:p w:rsidR="009F2ED6" w:rsidRDefault="009F2ED6" w:rsidP="009F2ED6">
      <w:pPr>
        <w:ind w:left="900"/>
        <w:rPr>
          <w:rFonts w:ascii="Verdana" w:hAnsi="Verdana"/>
        </w:rPr>
      </w:pPr>
    </w:p>
    <w:p w:rsidR="009F2ED6" w:rsidRDefault="009F2ED6" w:rsidP="009F2ED6">
      <w:pPr>
        <w:ind w:left="900"/>
        <w:rPr>
          <w:rFonts w:ascii="Verdana" w:hAnsi="Verdana"/>
          <w:b/>
          <w:bCs/>
        </w:rPr>
      </w:pPr>
      <w:r>
        <w:rPr>
          <w:rFonts w:ascii="Verdana" w:hAnsi="Verdana"/>
        </w:rPr>
        <w:br w:type="page"/>
      </w:r>
      <w:r>
        <w:rPr>
          <w:rFonts w:ascii="Verdana" w:hAnsi="Verdana"/>
          <w:b/>
          <w:bCs/>
        </w:rPr>
        <w:lastRenderedPageBreak/>
        <w:t xml:space="preserve">1. </w:t>
      </w:r>
      <w:r>
        <w:rPr>
          <w:rFonts w:ascii="Verdana" w:hAnsi="Verdana"/>
          <w:b/>
          <w:bCs/>
        </w:rPr>
        <w:tab/>
        <w:t>Leeswijzer</w:t>
      </w:r>
    </w:p>
    <w:p w:rsidR="009F2ED6" w:rsidRDefault="009F2ED6" w:rsidP="009F2ED6">
      <w:pPr>
        <w:ind w:left="900"/>
        <w:rPr>
          <w:rFonts w:ascii="Verdana" w:hAnsi="Verdana"/>
        </w:rPr>
      </w:pPr>
    </w:p>
    <w:p w:rsidR="009F2ED6" w:rsidRPr="004231A3" w:rsidRDefault="009F2ED6" w:rsidP="009F2ED6">
      <w:pPr>
        <w:rPr>
          <w:rFonts w:ascii="Verdana" w:hAnsi="Verdana"/>
          <w:u w:val="single"/>
        </w:rPr>
      </w:pPr>
      <w:r w:rsidRPr="004231A3">
        <w:rPr>
          <w:rFonts w:ascii="Verdana" w:hAnsi="Verdana"/>
          <w:u w:val="single"/>
        </w:rPr>
        <w:t>Algemeen</w:t>
      </w:r>
    </w:p>
    <w:p w:rsidR="009F2ED6" w:rsidRDefault="009F2ED6" w:rsidP="009F2ED6">
      <w:pPr>
        <w:rPr>
          <w:rFonts w:ascii="Verdana" w:hAnsi="Verdana"/>
        </w:rPr>
      </w:pPr>
      <w:r>
        <w:rPr>
          <w:rFonts w:ascii="Verdana" w:hAnsi="Verdana"/>
        </w:rPr>
        <w:t>De opzet en structuur van de onderliggende suppletoire begroting voor het Deltafonds is gebaseerd op de rijksbegrotingsvoorschriften van het ministerie van Financiën.</w:t>
      </w:r>
    </w:p>
    <w:p w:rsidR="009F2ED6" w:rsidRDefault="009F2ED6" w:rsidP="009F2ED6">
      <w:pPr>
        <w:rPr>
          <w:rFonts w:ascii="Verdana" w:hAnsi="Verdana"/>
        </w:rPr>
      </w:pPr>
      <w:r>
        <w:rPr>
          <w:rFonts w:ascii="Verdana" w:hAnsi="Verdana"/>
        </w:rPr>
        <w:t>Mede naar aanleiding van overleg met uw Kamer zijn in aanvulling op deze regelgeving voor dit fonds de onderstaande punten verwerkt voor de eerste suppletoire begroting.</w:t>
      </w:r>
    </w:p>
    <w:p w:rsidR="009F2ED6" w:rsidRDefault="009F2ED6" w:rsidP="009F2ED6">
      <w:pPr>
        <w:ind w:left="900"/>
        <w:rPr>
          <w:rFonts w:ascii="Verdana" w:hAnsi="Verdana"/>
        </w:rPr>
      </w:pPr>
    </w:p>
    <w:p w:rsidR="009F2ED6" w:rsidRPr="00AC7E41" w:rsidRDefault="009F2ED6" w:rsidP="009F2ED6">
      <w:pPr>
        <w:pStyle w:val="Lijstalinea"/>
        <w:numPr>
          <w:ilvl w:val="0"/>
          <w:numId w:val="2"/>
        </w:numPr>
        <w:spacing w:after="0" w:line="240" w:lineRule="auto"/>
        <w:ind w:left="426" w:hanging="426"/>
        <w:contextualSpacing/>
        <w:rPr>
          <w:rFonts w:ascii="Verdana" w:hAnsi="Verdana"/>
          <w:sz w:val="20"/>
          <w:szCs w:val="20"/>
        </w:rPr>
      </w:pPr>
      <w:r w:rsidRPr="00AC7E41">
        <w:rPr>
          <w:rFonts w:ascii="Verdana" w:hAnsi="Verdana"/>
          <w:sz w:val="20"/>
          <w:szCs w:val="20"/>
        </w:rPr>
        <w:t xml:space="preserve">Het opnemen van gedetailleerde projectinformatie in de suppletoire begrotingen conform begroting en jaarverslag (brief van 4 november 2009  naar aanleiding van toezegging verbetering informatievoorziening bij WGO van 24 juni 2009); </w:t>
      </w:r>
    </w:p>
    <w:p w:rsidR="009F2ED6" w:rsidRPr="00AC7E41" w:rsidRDefault="009F2ED6" w:rsidP="009F2ED6">
      <w:pPr>
        <w:pStyle w:val="Lijstalinea"/>
        <w:numPr>
          <w:ilvl w:val="0"/>
          <w:numId w:val="2"/>
        </w:numPr>
        <w:spacing w:after="0" w:line="240" w:lineRule="auto"/>
        <w:ind w:left="426" w:hanging="426"/>
        <w:contextualSpacing/>
        <w:rPr>
          <w:rFonts w:ascii="Verdana" w:hAnsi="Verdana"/>
          <w:sz w:val="20"/>
          <w:szCs w:val="20"/>
        </w:rPr>
      </w:pPr>
      <w:r w:rsidRPr="00AC7E41">
        <w:rPr>
          <w:rFonts w:ascii="Verdana" w:hAnsi="Verdana"/>
          <w:sz w:val="20"/>
          <w:szCs w:val="20"/>
        </w:rPr>
        <w:t xml:space="preserve">Het inzicht in de </w:t>
      </w:r>
      <w:proofErr w:type="spellStart"/>
      <w:r w:rsidRPr="00AC7E41">
        <w:rPr>
          <w:rFonts w:ascii="Verdana" w:hAnsi="Verdana"/>
          <w:sz w:val="20"/>
          <w:szCs w:val="20"/>
        </w:rPr>
        <w:t>budgetten</w:t>
      </w:r>
      <w:proofErr w:type="spellEnd"/>
      <w:r w:rsidRPr="00AC7E41">
        <w:rPr>
          <w:rFonts w:ascii="Verdana" w:hAnsi="Verdana"/>
          <w:sz w:val="20"/>
          <w:szCs w:val="20"/>
        </w:rPr>
        <w:t xml:space="preserve"> van de planuitwerkingen- en  verkenningen programma’s wordt vergroot door begrotingsmutaties expliciet in de MIRT tabellen zichtbaar te maken op projectniveau (toezegging WGO van 22 juni 2011);</w:t>
      </w:r>
    </w:p>
    <w:p w:rsidR="009F2ED6" w:rsidRPr="00AC7E41" w:rsidRDefault="009F2ED6" w:rsidP="009F2ED6">
      <w:pPr>
        <w:pStyle w:val="Lijstalinea"/>
        <w:numPr>
          <w:ilvl w:val="0"/>
          <w:numId w:val="2"/>
        </w:numPr>
        <w:spacing w:after="0" w:line="240" w:lineRule="auto"/>
        <w:ind w:left="426" w:hanging="426"/>
        <w:contextualSpacing/>
        <w:rPr>
          <w:rFonts w:ascii="Verdana" w:hAnsi="Verdana"/>
          <w:sz w:val="20"/>
          <w:szCs w:val="20"/>
        </w:rPr>
      </w:pPr>
      <w:r w:rsidRPr="00AC7E41">
        <w:rPr>
          <w:rFonts w:ascii="Verdana" w:hAnsi="Verdana"/>
          <w:sz w:val="20"/>
          <w:szCs w:val="20"/>
        </w:rPr>
        <w:t xml:space="preserve">Mutaties op de beschikbare </w:t>
      </w:r>
      <w:proofErr w:type="spellStart"/>
      <w:r w:rsidRPr="00AC7E41">
        <w:rPr>
          <w:rFonts w:ascii="Verdana" w:hAnsi="Verdana"/>
          <w:sz w:val="20"/>
          <w:szCs w:val="20"/>
        </w:rPr>
        <w:t>budgetten</w:t>
      </w:r>
      <w:proofErr w:type="spellEnd"/>
      <w:r w:rsidRPr="00AC7E41">
        <w:rPr>
          <w:rFonts w:ascii="Verdana" w:hAnsi="Verdana"/>
          <w:sz w:val="20"/>
          <w:szCs w:val="20"/>
        </w:rPr>
        <w:t xml:space="preserve"> worden in de (niet voorgeschreven) V</w:t>
      </w:r>
      <w:r>
        <w:rPr>
          <w:rFonts w:ascii="Verdana" w:hAnsi="Verdana"/>
          <w:sz w:val="20"/>
          <w:szCs w:val="20"/>
        </w:rPr>
        <w:t xml:space="preserve">erdiepingsbijlage </w:t>
      </w:r>
      <w:r w:rsidRPr="00AC7E41">
        <w:rPr>
          <w:rFonts w:ascii="Verdana" w:hAnsi="Verdana"/>
          <w:sz w:val="20"/>
          <w:szCs w:val="20"/>
        </w:rPr>
        <w:t xml:space="preserve">op artikelonderdeel niveau voor de volledige looptijd tot en met 2028 inzichtelijk gemaakt (in lijn met groeiparagraaf uit de begroting </w:t>
      </w:r>
      <w:proofErr w:type="spellStart"/>
      <w:r w:rsidRPr="00AC7E41">
        <w:rPr>
          <w:rFonts w:ascii="Verdana" w:hAnsi="Verdana"/>
          <w:sz w:val="20"/>
          <w:szCs w:val="20"/>
        </w:rPr>
        <w:t>IenM</w:t>
      </w:r>
      <w:proofErr w:type="spellEnd"/>
      <w:r w:rsidRPr="00AC7E41">
        <w:rPr>
          <w:rFonts w:ascii="Verdana" w:hAnsi="Verdana"/>
          <w:sz w:val="20"/>
          <w:szCs w:val="20"/>
        </w:rPr>
        <w:t xml:space="preserve"> voor 2013).</w:t>
      </w:r>
    </w:p>
    <w:p w:rsidR="009F2ED6" w:rsidRDefault="009F2ED6" w:rsidP="009F2ED6">
      <w:pPr>
        <w:pStyle w:val="Lijstalinea"/>
        <w:numPr>
          <w:ilvl w:val="0"/>
          <w:numId w:val="2"/>
        </w:numPr>
        <w:spacing w:after="0" w:line="240" w:lineRule="auto"/>
        <w:ind w:left="426" w:hanging="426"/>
        <w:contextualSpacing/>
        <w:rPr>
          <w:rFonts w:ascii="Verdana" w:hAnsi="Verdana"/>
          <w:sz w:val="20"/>
          <w:szCs w:val="20"/>
        </w:rPr>
      </w:pPr>
      <w:r w:rsidRPr="00AC7E41">
        <w:rPr>
          <w:rFonts w:ascii="Verdana" w:hAnsi="Verdana"/>
          <w:sz w:val="20"/>
          <w:szCs w:val="20"/>
        </w:rPr>
        <w:t>Naar aanleiding van de aanbeveling uit het rapport van de Tijdelijke commissie onderhoud en innovatie spoor (Kamerstukken II, 2011/2012, 32 707, nr. 9, blz. 22) wordt de volgende normering gehanteerd bij het toelichten van begrotingsmutaties. Dit houdt in dat artikelonderdelen en projecten, waarbij het verschil kleiner is dan de aangegeven norm niet worden toegelicht (tenzij beleidsmatig toch relevant)</w:t>
      </w:r>
      <w:r>
        <w:rPr>
          <w:rFonts w:ascii="Verdana" w:hAnsi="Verdana"/>
          <w:sz w:val="20"/>
          <w:szCs w:val="20"/>
        </w:rPr>
        <w:t>.</w:t>
      </w:r>
    </w:p>
    <w:p w:rsidR="009F2ED6" w:rsidRPr="00AC7E41" w:rsidRDefault="009F2ED6" w:rsidP="009F2ED6">
      <w:pPr>
        <w:pStyle w:val="Lijstalinea"/>
        <w:spacing w:after="0" w:line="240" w:lineRule="auto"/>
        <w:ind w:left="0"/>
        <w:contextualSpacing/>
        <w:rPr>
          <w:rFonts w:ascii="Verdana" w:hAnsi="Verdana"/>
          <w:sz w:val="20"/>
          <w:szCs w:val="20"/>
        </w:rPr>
      </w:pPr>
    </w:p>
    <w:tbl>
      <w:tblPr>
        <w:tblpPr w:leftFromText="141" w:rightFromText="141" w:vertAnchor="text" w:horzAnchor="page" w:tblpX="2586" w:tblpY="48"/>
        <w:tblW w:w="3616" w:type="dxa"/>
        <w:tblCellMar>
          <w:left w:w="70" w:type="dxa"/>
          <w:right w:w="70" w:type="dxa"/>
        </w:tblCellMar>
        <w:tblLook w:val="04A0" w:firstRow="1" w:lastRow="0" w:firstColumn="1" w:lastColumn="0" w:noHBand="0" w:noVBand="1"/>
      </w:tblPr>
      <w:tblGrid>
        <w:gridCol w:w="2055"/>
        <w:gridCol w:w="1561"/>
      </w:tblGrid>
      <w:tr w:rsidR="009F2ED6" w:rsidTr="00BA11DA">
        <w:trPr>
          <w:trHeight w:val="180"/>
        </w:trPr>
        <w:tc>
          <w:tcPr>
            <w:tcW w:w="2055" w:type="dxa"/>
            <w:tcBorders>
              <w:top w:val="nil"/>
              <w:left w:val="nil"/>
              <w:bottom w:val="single" w:sz="4" w:space="0" w:color="auto"/>
              <w:right w:val="nil"/>
            </w:tcBorders>
            <w:noWrap/>
            <w:vAlign w:val="bottom"/>
            <w:hideMark/>
          </w:tcPr>
          <w:p w:rsidR="009F2ED6" w:rsidRDefault="009F2ED6" w:rsidP="00BA11DA">
            <w:pPr>
              <w:rPr>
                <w:rFonts w:ascii="Verdana" w:hAnsi="Verdana" w:cs="Arial"/>
                <w:sz w:val="16"/>
                <w:szCs w:val="16"/>
              </w:rPr>
            </w:pPr>
            <w:r>
              <w:rPr>
                <w:rFonts w:ascii="Verdana" w:hAnsi="Verdana" w:cs="Arial"/>
                <w:sz w:val="16"/>
                <w:szCs w:val="16"/>
              </w:rPr>
              <w:t>Begrotingsbedrag</w:t>
            </w:r>
          </w:p>
        </w:tc>
        <w:tc>
          <w:tcPr>
            <w:tcW w:w="1561" w:type="dxa"/>
            <w:tcBorders>
              <w:top w:val="nil"/>
              <w:left w:val="nil"/>
              <w:bottom w:val="single" w:sz="4" w:space="0" w:color="auto"/>
              <w:right w:val="nil"/>
            </w:tcBorders>
            <w:noWrap/>
            <w:vAlign w:val="bottom"/>
            <w:hideMark/>
          </w:tcPr>
          <w:p w:rsidR="009F2ED6" w:rsidRDefault="009F2ED6" w:rsidP="00BA11DA">
            <w:pPr>
              <w:rPr>
                <w:rFonts w:ascii="Verdana" w:hAnsi="Verdana" w:cs="Arial"/>
                <w:sz w:val="16"/>
                <w:szCs w:val="16"/>
              </w:rPr>
            </w:pPr>
            <w:r>
              <w:rPr>
                <w:rFonts w:ascii="Verdana" w:hAnsi="Verdana" w:cs="Arial"/>
                <w:sz w:val="16"/>
                <w:szCs w:val="16"/>
              </w:rPr>
              <w:t>Verschil</w:t>
            </w:r>
          </w:p>
        </w:tc>
      </w:tr>
      <w:tr w:rsidR="009F2ED6" w:rsidTr="00BA11DA">
        <w:trPr>
          <w:trHeight w:val="180"/>
        </w:trPr>
        <w:tc>
          <w:tcPr>
            <w:tcW w:w="2055"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&lt; € 4,5 miljoen</w:t>
            </w:r>
          </w:p>
        </w:tc>
        <w:tc>
          <w:tcPr>
            <w:tcW w:w="1561"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50%</w:t>
            </w:r>
          </w:p>
        </w:tc>
      </w:tr>
      <w:tr w:rsidR="009F2ED6" w:rsidTr="00BA11DA">
        <w:trPr>
          <w:trHeight w:val="180"/>
        </w:trPr>
        <w:tc>
          <w:tcPr>
            <w:tcW w:w="2055"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€ 4,5 -  € 22,5 miljoen</w:t>
            </w:r>
          </w:p>
        </w:tc>
        <w:tc>
          <w:tcPr>
            <w:tcW w:w="1561"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€ 2,5 miljoen</w:t>
            </w:r>
          </w:p>
        </w:tc>
      </w:tr>
      <w:tr w:rsidR="009F2ED6" w:rsidTr="00BA11DA">
        <w:trPr>
          <w:trHeight w:val="180"/>
        </w:trPr>
        <w:tc>
          <w:tcPr>
            <w:tcW w:w="2055"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€ 22,5 miljoen</w:t>
            </w:r>
          </w:p>
        </w:tc>
        <w:tc>
          <w:tcPr>
            <w:tcW w:w="1561"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10%</w:t>
            </w:r>
          </w:p>
        </w:tc>
      </w:tr>
      <w:tr w:rsidR="009F2ED6" w:rsidTr="00BA11DA">
        <w:trPr>
          <w:trHeight w:val="180"/>
        </w:trPr>
        <w:tc>
          <w:tcPr>
            <w:tcW w:w="2055"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€ 50 miljoen</w:t>
            </w:r>
          </w:p>
        </w:tc>
        <w:tc>
          <w:tcPr>
            <w:tcW w:w="1561" w:type="dxa"/>
            <w:noWrap/>
            <w:vAlign w:val="bottom"/>
            <w:hideMark/>
          </w:tcPr>
          <w:p w:rsidR="009F2ED6" w:rsidRDefault="009F2ED6" w:rsidP="00BA11DA">
            <w:pPr>
              <w:rPr>
                <w:rFonts w:ascii="Verdana" w:hAnsi="Verdana" w:cs="Arial"/>
                <w:sz w:val="16"/>
                <w:szCs w:val="16"/>
              </w:rPr>
            </w:pPr>
            <w:r>
              <w:rPr>
                <w:rFonts w:ascii="Verdana" w:hAnsi="Verdana" w:cs="Arial"/>
                <w:sz w:val="16"/>
                <w:szCs w:val="16"/>
              </w:rPr>
              <w:t>&gt; € 5 miljoen</w:t>
            </w:r>
          </w:p>
        </w:tc>
      </w:tr>
    </w:tbl>
    <w:p w:rsidR="009F2ED6" w:rsidRPr="008B122F" w:rsidRDefault="009F2ED6" w:rsidP="009F2ED6">
      <w:pPr>
        <w:pStyle w:val="Lijstalinea"/>
        <w:ind w:left="1260"/>
        <w:rPr>
          <w:rFonts w:ascii="Verdana" w:hAnsi="Verdana"/>
        </w:rPr>
      </w:pPr>
    </w:p>
    <w:p w:rsidR="009F2ED6" w:rsidRPr="008B122F" w:rsidRDefault="009F2ED6" w:rsidP="009F2ED6">
      <w:pPr>
        <w:pStyle w:val="Lijstalinea"/>
        <w:ind w:left="1260"/>
        <w:rPr>
          <w:rFonts w:ascii="Verdana" w:hAnsi="Verdana"/>
        </w:rPr>
      </w:pPr>
    </w:p>
    <w:p w:rsidR="009F2ED6" w:rsidRDefault="009F2ED6" w:rsidP="009F2ED6">
      <w:pPr>
        <w:pStyle w:val="Geenafstand"/>
        <w:rPr>
          <w:rFonts w:ascii="Verdana" w:hAnsi="Verdana"/>
          <w:sz w:val="20"/>
          <w:szCs w:val="20"/>
        </w:rPr>
      </w:pPr>
    </w:p>
    <w:p w:rsidR="009F2ED6" w:rsidRPr="004231A3" w:rsidRDefault="009F2ED6" w:rsidP="009F2ED6">
      <w:pPr>
        <w:pStyle w:val="Geenafstand"/>
        <w:rPr>
          <w:rFonts w:ascii="Verdana" w:hAnsi="Verdana"/>
          <w:sz w:val="20"/>
          <w:szCs w:val="20"/>
          <w:u w:val="single"/>
        </w:rPr>
      </w:pPr>
      <w:r w:rsidRPr="004231A3">
        <w:rPr>
          <w:rFonts w:ascii="Verdana" w:hAnsi="Verdana"/>
          <w:sz w:val="20"/>
          <w:szCs w:val="20"/>
          <w:u w:val="single"/>
        </w:rPr>
        <w:t>Opbouw</w:t>
      </w:r>
    </w:p>
    <w:p w:rsidR="009F2ED6" w:rsidRDefault="009F2ED6" w:rsidP="009F2ED6">
      <w:pPr>
        <w:pStyle w:val="Geenafstand"/>
        <w:rPr>
          <w:rFonts w:ascii="Verdana" w:hAnsi="Verdana"/>
          <w:sz w:val="20"/>
          <w:szCs w:val="20"/>
        </w:rPr>
      </w:pPr>
      <w:r>
        <w:rPr>
          <w:rFonts w:ascii="Verdana" w:hAnsi="Verdana"/>
          <w:sz w:val="20"/>
          <w:szCs w:val="20"/>
        </w:rPr>
        <w:t>Dit wetsvoorstel kent een opbouw waarbij afhankelijk van de informatievraag- en behoefte verder kan worden ingezoomd. Deze verdiepingsslag is als volgt opgebouwd.</w:t>
      </w:r>
    </w:p>
    <w:p w:rsidR="009F2ED6" w:rsidRDefault="009F2ED6" w:rsidP="009F2ED6">
      <w:pPr>
        <w:pStyle w:val="Geenafstand"/>
        <w:ind w:left="900"/>
        <w:rPr>
          <w:rFonts w:ascii="Verdana" w:hAnsi="Verdana"/>
          <w:sz w:val="20"/>
          <w:szCs w:val="20"/>
        </w:rPr>
      </w:pPr>
    </w:p>
    <w:p w:rsidR="009F2ED6" w:rsidRDefault="009F2ED6" w:rsidP="009F2ED6">
      <w:pPr>
        <w:pStyle w:val="Geenafstand"/>
        <w:numPr>
          <w:ilvl w:val="0"/>
          <w:numId w:val="3"/>
        </w:numPr>
        <w:ind w:left="426" w:hanging="426"/>
        <w:rPr>
          <w:rFonts w:ascii="Verdana" w:hAnsi="Verdana"/>
          <w:sz w:val="20"/>
          <w:szCs w:val="20"/>
        </w:rPr>
      </w:pPr>
      <w:r w:rsidRPr="00FC3873">
        <w:rPr>
          <w:rFonts w:ascii="Verdana" w:hAnsi="Verdana"/>
          <w:sz w:val="20"/>
          <w:szCs w:val="20"/>
        </w:rPr>
        <w:t>Allereerst is de begroting</w:t>
      </w:r>
      <w:r>
        <w:rPr>
          <w:rFonts w:ascii="Verdana" w:hAnsi="Verdana"/>
          <w:sz w:val="20"/>
          <w:szCs w:val="20"/>
        </w:rPr>
        <w:t>(wet)staat voor het Delta</w:t>
      </w:r>
      <w:r w:rsidRPr="00FC3873">
        <w:rPr>
          <w:rFonts w:ascii="Verdana" w:hAnsi="Verdana"/>
          <w:sz w:val="20"/>
          <w:szCs w:val="20"/>
        </w:rPr>
        <w:t>fonds voor het jaar 201</w:t>
      </w:r>
      <w:r>
        <w:rPr>
          <w:rFonts w:ascii="Verdana" w:hAnsi="Verdana"/>
          <w:sz w:val="20"/>
          <w:szCs w:val="20"/>
        </w:rPr>
        <w:t>5</w:t>
      </w:r>
      <w:r w:rsidRPr="00FC3873">
        <w:rPr>
          <w:rFonts w:ascii="Verdana" w:hAnsi="Verdana"/>
          <w:sz w:val="20"/>
          <w:szCs w:val="20"/>
        </w:rPr>
        <w:t xml:space="preserve"> opgenomen. </w:t>
      </w:r>
      <w:r>
        <w:rPr>
          <w:rFonts w:ascii="Verdana" w:hAnsi="Verdana"/>
          <w:sz w:val="20"/>
          <w:szCs w:val="20"/>
        </w:rPr>
        <w:t>Deze dient ter autorisatie van d</w:t>
      </w:r>
      <w:r w:rsidRPr="00FC3873">
        <w:rPr>
          <w:rFonts w:ascii="Verdana" w:hAnsi="Verdana"/>
          <w:sz w:val="20"/>
          <w:szCs w:val="20"/>
        </w:rPr>
        <w:t>e mutaties die op artikelniveau in de verplichtingen-, uitgaven- en ontvangstenramingen worden voorgesteld.</w:t>
      </w:r>
    </w:p>
    <w:p w:rsidR="009F2ED6" w:rsidRPr="00D95ECE" w:rsidRDefault="009F2ED6" w:rsidP="009F2ED6">
      <w:pPr>
        <w:pStyle w:val="Geenafstand"/>
        <w:numPr>
          <w:ilvl w:val="0"/>
          <w:numId w:val="3"/>
        </w:numPr>
        <w:ind w:left="426" w:hanging="426"/>
        <w:rPr>
          <w:rFonts w:ascii="Verdana" w:hAnsi="Verdana"/>
          <w:sz w:val="20"/>
          <w:szCs w:val="20"/>
        </w:rPr>
      </w:pPr>
      <w:r>
        <w:rPr>
          <w:rFonts w:ascii="Verdana" w:hAnsi="Verdana"/>
          <w:sz w:val="20"/>
          <w:szCs w:val="20"/>
        </w:rPr>
        <w:t xml:space="preserve">Daarna is eerst op hoofdlijnen (paragraaf 2.1) inzicht verstrekt in de belangrijkste budgettaire voorstellen die leiden tot wijziging van de begroting. Hiermee kan snel een indruk worden verkregen van de inhoud van dit wetsvoorstel. </w:t>
      </w:r>
    </w:p>
    <w:p w:rsidR="009F2ED6" w:rsidRDefault="009F2ED6" w:rsidP="009F2ED6">
      <w:pPr>
        <w:pStyle w:val="Geenafstand"/>
        <w:numPr>
          <w:ilvl w:val="0"/>
          <w:numId w:val="3"/>
        </w:numPr>
        <w:ind w:left="426" w:hanging="426"/>
        <w:rPr>
          <w:rFonts w:ascii="Verdana" w:hAnsi="Verdana"/>
          <w:sz w:val="20"/>
          <w:szCs w:val="20"/>
        </w:rPr>
      </w:pPr>
      <w:r>
        <w:rPr>
          <w:rFonts w:ascii="Verdana" w:hAnsi="Verdana"/>
          <w:sz w:val="20"/>
          <w:szCs w:val="20"/>
        </w:rPr>
        <w:t xml:space="preserve">Via de </w:t>
      </w:r>
      <w:proofErr w:type="spellStart"/>
      <w:r>
        <w:rPr>
          <w:rFonts w:ascii="Verdana" w:hAnsi="Verdana"/>
          <w:sz w:val="20"/>
          <w:szCs w:val="20"/>
        </w:rPr>
        <w:t>artikelgewijze</w:t>
      </w:r>
      <w:proofErr w:type="spellEnd"/>
      <w:r>
        <w:rPr>
          <w:rFonts w:ascii="Verdana" w:hAnsi="Verdana"/>
          <w:sz w:val="20"/>
          <w:szCs w:val="20"/>
        </w:rPr>
        <w:t xml:space="preserve"> toelichting (paragraaf 2.2) worden </w:t>
      </w:r>
      <w:r w:rsidRPr="00FC3873">
        <w:rPr>
          <w:rFonts w:ascii="Verdana" w:hAnsi="Verdana"/>
          <w:sz w:val="20"/>
          <w:szCs w:val="20"/>
        </w:rPr>
        <w:t xml:space="preserve">alle beleidsmatig relevante mutaties op het </w:t>
      </w:r>
      <w:r>
        <w:rPr>
          <w:rFonts w:ascii="Verdana" w:hAnsi="Verdana"/>
          <w:sz w:val="20"/>
          <w:szCs w:val="20"/>
        </w:rPr>
        <w:t xml:space="preserve">niveau van het artikelonderdeel </w:t>
      </w:r>
      <w:r w:rsidRPr="00FC3873">
        <w:rPr>
          <w:rFonts w:ascii="Verdana" w:hAnsi="Verdana"/>
          <w:sz w:val="20"/>
          <w:szCs w:val="20"/>
        </w:rPr>
        <w:t>zichtbaar gemaakt</w:t>
      </w:r>
      <w:r>
        <w:rPr>
          <w:rFonts w:ascii="Verdana" w:hAnsi="Verdana"/>
          <w:sz w:val="20"/>
          <w:szCs w:val="20"/>
        </w:rPr>
        <w:t>,</w:t>
      </w:r>
      <w:r w:rsidRPr="00FC3873">
        <w:rPr>
          <w:rFonts w:ascii="Verdana" w:hAnsi="Verdana"/>
          <w:sz w:val="20"/>
          <w:szCs w:val="20"/>
        </w:rPr>
        <w:t xml:space="preserve"> en waar zinvol en relevant</w:t>
      </w:r>
      <w:r>
        <w:rPr>
          <w:rFonts w:ascii="Verdana" w:hAnsi="Verdana"/>
          <w:sz w:val="20"/>
          <w:szCs w:val="20"/>
        </w:rPr>
        <w:t>,</w:t>
      </w:r>
      <w:r w:rsidRPr="00FC3873">
        <w:rPr>
          <w:rFonts w:ascii="Verdana" w:hAnsi="Verdana"/>
          <w:sz w:val="20"/>
          <w:szCs w:val="20"/>
        </w:rPr>
        <w:t xml:space="preserve"> ook toegelicht</w:t>
      </w:r>
      <w:r>
        <w:rPr>
          <w:rFonts w:ascii="Verdana" w:hAnsi="Verdana"/>
          <w:sz w:val="20"/>
          <w:szCs w:val="20"/>
        </w:rPr>
        <w:t>. Dit rekening houdend met de norm zoals eerder met uw Kamer gedeeld.</w:t>
      </w:r>
    </w:p>
    <w:p w:rsidR="009F2ED6" w:rsidRPr="00FF3009" w:rsidRDefault="009F2ED6" w:rsidP="009F2ED6">
      <w:pPr>
        <w:pStyle w:val="Geenafstand"/>
        <w:numPr>
          <w:ilvl w:val="0"/>
          <w:numId w:val="3"/>
        </w:numPr>
        <w:ind w:left="426" w:hanging="426"/>
        <w:rPr>
          <w:rFonts w:ascii="Verdana" w:hAnsi="Verdana"/>
          <w:sz w:val="20"/>
          <w:szCs w:val="20"/>
        </w:rPr>
      </w:pPr>
      <w:r w:rsidRPr="00FF3009">
        <w:rPr>
          <w:rFonts w:ascii="Verdana" w:hAnsi="Verdana"/>
          <w:sz w:val="20"/>
          <w:szCs w:val="20"/>
        </w:rPr>
        <w:t xml:space="preserve">Als onderdeel van de </w:t>
      </w:r>
      <w:proofErr w:type="spellStart"/>
      <w:r w:rsidRPr="00FF3009">
        <w:rPr>
          <w:rFonts w:ascii="Verdana" w:hAnsi="Verdana"/>
          <w:sz w:val="20"/>
          <w:szCs w:val="20"/>
        </w:rPr>
        <w:t>artikelgewijze</w:t>
      </w:r>
      <w:proofErr w:type="spellEnd"/>
      <w:r w:rsidRPr="00FF3009">
        <w:rPr>
          <w:rFonts w:ascii="Verdana" w:hAnsi="Verdana"/>
          <w:sz w:val="20"/>
          <w:szCs w:val="20"/>
        </w:rPr>
        <w:t xml:space="preserve"> toelichting is </w:t>
      </w:r>
      <w:r>
        <w:rPr>
          <w:rFonts w:ascii="Verdana" w:hAnsi="Verdana"/>
          <w:sz w:val="20"/>
          <w:szCs w:val="20"/>
        </w:rPr>
        <w:t xml:space="preserve">in de verdiepingsbijlage </w:t>
      </w:r>
      <w:r w:rsidRPr="00FF3009">
        <w:rPr>
          <w:rFonts w:ascii="Verdana" w:hAnsi="Verdana"/>
          <w:sz w:val="20"/>
          <w:szCs w:val="20"/>
        </w:rPr>
        <w:t xml:space="preserve">door middel van een meerjarige mutatietabel op artikelonderdeelniveau de aansluiting gemaakt tussen de vorige stand van de begroting en de nu voorgestelde stand. Dit voor de volledige looptijd van het fonds. </w:t>
      </w:r>
    </w:p>
    <w:p w:rsidR="009F2ED6" w:rsidRDefault="009F2ED6" w:rsidP="009F2ED6">
      <w:pPr>
        <w:pStyle w:val="Geenafstand"/>
        <w:numPr>
          <w:ilvl w:val="0"/>
          <w:numId w:val="3"/>
        </w:numPr>
        <w:ind w:left="426" w:hanging="426"/>
        <w:rPr>
          <w:rFonts w:ascii="Verdana" w:hAnsi="Verdana"/>
          <w:sz w:val="20"/>
          <w:szCs w:val="20"/>
        </w:rPr>
      </w:pPr>
      <w:r w:rsidRPr="00FF3009">
        <w:rPr>
          <w:rFonts w:ascii="Verdana" w:hAnsi="Verdana"/>
          <w:sz w:val="20"/>
          <w:szCs w:val="20"/>
        </w:rPr>
        <w:t xml:space="preserve">Tenslotte zijn in de </w:t>
      </w:r>
      <w:r>
        <w:rPr>
          <w:rFonts w:ascii="Verdana" w:hAnsi="Verdana"/>
          <w:sz w:val="20"/>
          <w:szCs w:val="20"/>
        </w:rPr>
        <w:t>verdiepings</w:t>
      </w:r>
      <w:r w:rsidRPr="00FF3009">
        <w:rPr>
          <w:rFonts w:ascii="Verdana" w:hAnsi="Verdana"/>
          <w:sz w:val="20"/>
          <w:szCs w:val="20"/>
        </w:rPr>
        <w:t>bijlage van dit wetsvoorstel de MIRT projecttabellen met de realisatieprojecten alsmede de verkenningen en planuitwerking programma’s opgenomen waarin de begrotingsmutaties op projectniveau zichtbaar zijn gemaakt. Deze (meerjarige) MIRT- tabellen zijn voorzien van toelichtingen indien sprake is van een wijziging in het taakstellend projectbudget (anders dan door de verwerking van prijsbijstelling) en/of al</w:t>
      </w:r>
      <w:r>
        <w:rPr>
          <w:rFonts w:ascii="Verdana" w:hAnsi="Verdana"/>
          <w:sz w:val="20"/>
          <w:szCs w:val="20"/>
        </w:rPr>
        <w:t xml:space="preserve">s wijzigingen optreden in de oplevering van het project. </w:t>
      </w:r>
    </w:p>
    <w:p w:rsidR="009F2ED6" w:rsidRDefault="009F2ED6" w:rsidP="009F2ED6">
      <w:pPr>
        <w:ind w:left="900"/>
        <w:rPr>
          <w:rFonts w:ascii="Verdana" w:hAnsi="Verdana"/>
        </w:rPr>
      </w:pPr>
      <w:r w:rsidRPr="00F6029E">
        <w:rPr>
          <w:rFonts w:ascii="Verdana" w:hAnsi="Verdana"/>
          <w:b/>
          <w:color w:val="FF0000"/>
        </w:rPr>
        <w:br w:type="page"/>
      </w:r>
    </w:p>
    <w:p w:rsidR="009F2ED6" w:rsidRDefault="009F2ED6" w:rsidP="009F2ED6">
      <w:pPr>
        <w:ind w:left="900"/>
        <w:rPr>
          <w:rFonts w:ascii="Verdana" w:hAnsi="Verdana"/>
          <w:b/>
          <w:bCs/>
        </w:rPr>
      </w:pPr>
      <w:r>
        <w:rPr>
          <w:rFonts w:ascii="Verdana" w:hAnsi="Verdana"/>
          <w:b/>
          <w:bCs/>
        </w:rPr>
        <w:lastRenderedPageBreak/>
        <w:t xml:space="preserve">2. </w:t>
      </w:r>
      <w:r>
        <w:rPr>
          <w:rFonts w:ascii="Verdana" w:hAnsi="Verdana"/>
          <w:b/>
          <w:bCs/>
        </w:rPr>
        <w:tab/>
        <w:t>De producten</w:t>
      </w:r>
    </w:p>
    <w:p w:rsidR="009F2ED6" w:rsidRDefault="009F2ED6" w:rsidP="009F2ED6">
      <w:pPr>
        <w:ind w:left="900"/>
        <w:rPr>
          <w:rFonts w:ascii="Verdana" w:hAnsi="Verdana"/>
          <w:bCs/>
        </w:rPr>
      </w:pPr>
    </w:p>
    <w:p w:rsidR="009F2ED6" w:rsidRDefault="009F2ED6" w:rsidP="009F2ED6">
      <w:pPr>
        <w:ind w:left="900"/>
        <w:rPr>
          <w:rFonts w:ascii="Verdana" w:hAnsi="Verdana"/>
          <w:bCs/>
        </w:rPr>
      </w:pPr>
      <w:r>
        <w:rPr>
          <w:rFonts w:ascii="Verdana" w:hAnsi="Verdana"/>
          <w:bCs/>
        </w:rPr>
        <w:t xml:space="preserve">Dit wetsvoorstel sluit aan bij de Voorjaarsnota 2015 van het Ministerie van Financiën en bevat alleen begrotingsmutaties die betrekking hebben op de uitvoering van reeds ingezet beleid. </w:t>
      </w:r>
    </w:p>
    <w:p w:rsidR="009F2ED6" w:rsidRDefault="009F2ED6" w:rsidP="009F2ED6">
      <w:pPr>
        <w:ind w:left="900"/>
        <w:rPr>
          <w:rFonts w:ascii="Verdana" w:hAnsi="Verdana"/>
          <w:bCs/>
        </w:rPr>
      </w:pPr>
      <w:r>
        <w:rPr>
          <w:rFonts w:ascii="Verdana" w:hAnsi="Verdana"/>
          <w:bCs/>
        </w:rPr>
        <w:t>De mutaties zijn hieronder in tabelvorm weergegeven en toegelicht.</w:t>
      </w:r>
    </w:p>
    <w:p w:rsidR="009F2ED6" w:rsidRDefault="009F2ED6" w:rsidP="009F2ED6">
      <w:pPr>
        <w:ind w:left="900"/>
        <w:rPr>
          <w:rFonts w:ascii="Verdana" w:hAnsi="Verdana"/>
          <w:bCs/>
        </w:rPr>
      </w:pPr>
      <w:r>
        <w:rPr>
          <w:rFonts w:ascii="Verdana" w:hAnsi="Verdana"/>
          <w:bCs/>
        </w:rPr>
        <w:t>De budgettaire gevolgen van de begrotingsmutaties zijn verder onder 2.2 op de productartikelen zichtbaar gemaakt.</w:t>
      </w:r>
    </w:p>
    <w:p w:rsidR="009F2ED6" w:rsidRDefault="009F2ED6" w:rsidP="009F2ED6">
      <w:pPr>
        <w:ind w:left="900"/>
        <w:rPr>
          <w:rFonts w:ascii="Verdana" w:hAnsi="Verdana"/>
        </w:rPr>
      </w:pPr>
    </w:p>
    <w:p w:rsidR="009F2ED6" w:rsidRDefault="009F2ED6" w:rsidP="009F2ED6">
      <w:pPr>
        <w:ind w:left="900"/>
        <w:rPr>
          <w:rFonts w:ascii="Verdana" w:hAnsi="Verdana"/>
          <w:b/>
          <w:bCs/>
        </w:rPr>
      </w:pPr>
      <w:r>
        <w:rPr>
          <w:rFonts w:ascii="Verdana" w:hAnsi="Verdana"/>
          <w:b/>
          <w:bCs/>
        </w:rPr>
        <w:t>2.1</w:t>
      </w:r>
      <w:r>
        <w:rPr>
          <w:rFonts w:ascii="Verdana" w:hAnsi="Verdana"/>
          <w:b/>
          <w:bCs/>
        </w:rPr>
        <w:tab/>
        <w:t>Overzicht uitgaven- en ontvangsten mutaties</w:t>
      </w:r>
    </w:p>
    <w:p w:rsidR="009F2ED6" w:rsidRDefault="009F2ED6" w:rsidP="009F2ED6">
      <w:pPr>
        <w:rPr>
          <w:rFonts w:ascii="Verdana" w:hAnsi="Verdana"/>
        </w:rPr>
      </w:pPr>
    </w:p>
    <w:p w:rsidR="009F2ED6" w:rsidRDefault="009F2ED6" w:rsidP="009F2ED6">
      <w:pPr>
        <w:ind w:left="907"/>
        <w:rPr>
          <w:rFonts w:ascii="Verdana" w:hAnsi="Verdana"/>
          <w:b/>
        </w:rPr>
      </w:pPr>
      <w:r>
        <w:rPr>
          <w:rFonts w:ascii="Verdana" w:hAnsi="Verdana"/>
          <w:b/>
          <w:noProof/>
        </w:rPr>
        <w:drawing>
          <wp:inline distT="0" distB="0" distL="0" distR="0" wp14:anchorId="36EE7108" wp14:editId="747314DF">
            <wp:extent cx="4542790" cy="3211195"/>
            <wp:effectExtent l="1905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6" cstate="print"/>
                    <a:srcRect/>
                    <a:stretch>
                      <a:fillRect/>
                    </a:stretch>
                  </pic:blipFill>
                  <pic:spPr bwMode="auto">
                    <a:xfrm>
                      <a:off x="0" y="0"/>
                      <a:ext cx="4542790" cy="3211195"/>
                    </a:xfrm>
                    <a:prstGeom prst="rect">
                      <a:avLst/>
                    </a:prstGeom>
                    <a:noFill/>
                    <a:ln w="9525">
                      <a:noFill/>
                      <a:miter lim="800000"/>
                      <a:headEnd/>
                      <a:tailEnd/>
                    </a:ln>
                  </pic:spPr>
                </pic:pic>
              </a:graphicData>
            </a:graphic>
          </wp:inline>
        </w:drawing>
      </w:r>
    </w:p>
    <w:p w:rsidR="009F2ED6" w:rsidRPr="00A339B6" w:rsidRDefault="009F2ED6" w:rsidP="009F2ED6">
      <w:pPr>
        <w:ind w:left="907"/>
        <w:rPr>
          <w:rFonts w:ascii="Verdana" w:hAnsi="Verdana"/>
        </w:rPr>
      </w:pPr>
      <w:r w:rsidRPr="00A339B6">
        <w:rPr>
          <w:rFonts w:ascii="Verdana" w:hAnsi="Verdana"/>
        </w:rPr>
        <w:t>Toelichting</w:t>
      </w:r>
    </w:p>
    <w:p w:rsidR="009F2ED6" w:rsidRPr="00A339B6" w:rsidRDefault="009F2ED6" w:rsidP="009F2ED6">
      <w:pPr>
        <w:ind w:left="907"/>
        <w:rPr>
          <w:rFonts w:ascii="Verdana" w:hAnsi="Verdana"/>
        </w:rPr>
      </w:pPr>
    </w:p>
    <w:p w:rsidR="009F2ED6" w:rsidRPr="009E62F8" w:rsidRDefault="009F2ED6" w:rsidP="009F2ED6">
      <w:pPr>
        <w:numPr>
          <w:ilvl w:val="0"/>
          <w:numId w:val="1"/>
        </w:numPr>
        <w:rPr>
          <w:rFonts w:ascii="Verdana" w:hAnsi="Verdana"/>
          <w:b/>
        </w:rPr>
      </w:pPr>
      <w:r w:rsidRPr="007A69B1">
        <w:rPr>
          <w:rFonts w:ascii="Verdana" w:hAnsi="Verdana"/>
          <w:b/>
        </w:rPr>
        <w:t>Saldo 2014</w:t>
      </w:r>
    </w:p>
    <w:p w:rsidR="009F2ED6" w:rsidRPr="001E61B3" w:rsidRDefault="009F2ED6" w:rsidP="009F2ED6">
      <w:pPr>
        <w:ind w:left="1267"/>
        <w:rPr>
          <w:rFonts w:ascii="Verdana" w:hAnsi="Verdana"/>
        </w:rPr>
      </w:pPr>
      <w:r w:rsidRPr="001E61B3">
        <w:rPr>
          <w:rFonts w:ascii="Verdana" w:hAnsi="Verdana"/>
        </w:rPr>
        <w:t xml:space="preserve">De begroting van het Deltafonds </w:t>
      </w:r>
      <w:r>
        <w:rPr>
          <w:rFonts w:ascii="Verdana" w:hAnsi="Verdana"/>
        </w:rPr>
        <w:t xml:space="preserve">laat </w:t>
      </w:r>
      <w:r w:rsidRPr="001E61B3">
        <w:rPr>
          <w:rFonts w:ascii="Verdana" w:hAnsi="Verdana"/>
        </w:rPr>
        <w:t>over het jaar 2014 een nadelig saldo van ca. € 37,9 miljoen</w:t>
      </w:r>
      <w:r>
        <w:rPr>
          <w:rFonts w:ascii="Verdana" w:hAnsi="Verdana"/>
        </w:rPr>
        <w:t xml:space="preserve"> zien</w:t>
      </w:r>
      <w:r w:rsidRPr="001E61B3">
        <w:rPr>
          <w:rFonts w:ascii="Verdana" w:hAnsi="Verdana"/>
        </w:rPr>
        <w:t xml:space="preserve">. </w:t>
      </w:r>
      <w:r>
        <w:rPr>
          <w:rFonts w:ascii="Verdana" w:hAnsi="Verdana"/>
        </w:rPr>
        <w:t xml:space="preserve">Dit saldo wordt gevormd door de saldering van de in dat jaar gerealiseerde uitgaven en ontvangsten. </w:t>
      </w:r>
      <w:r w:rsidRPr="001E61B3">
        <w:rPr>
          <w:rFonts w:ascii="Verdana" w:hAnsi="Verdana"/>
        </w:rPr>
        <w:t>Het na</w:t>
      </w:r>
      <w:r>
        <w:rPr>
          <w:rFonts w:ascii="Verdana" w:hAnsi="Verdana"/>
        </w:rPr>
        <w:t>delig saldo wordt in 2015</w:t>
      </w:r>
      <w:r w:rsidRPr="001E61B3">
        <w:rPr>
          <w:rFonts w:ascii="Verdana" w:hAnsi="Verdana"/>
        </w:rPr>
        <w:t xml:space="preserve"> als een verlaging van de ontvangsten geboekt op </w:t>
      </w:r>
      <w:r>
        <w:rPr>
          <w:rFonts w:ascii="Verdana" w:hAnsi="Verdana"/>
        </w:rPr>
        <w:t xml:space="preserve">het artikelonderdeel </w:t>
      </w:r>
      <w:r w:rsidRPr="001E61B3">
        <w:rPr>
          <w:rFonts w:ascii="Verdana" w:hAnsi="Verdana"/>
        </w:rPr>
        <w:t>5.10 (Saldo van de afgesloten rekeningen). In dit wetsvoorstel is naast deze ontvangstenverlaging ook het volledige nadelige saldo op de juiste uitgaven- en ontvangstenartikelen (producten)</w:t>
      </w:r>
    </w:p>
    <w:p w:rsidR="009F2ED6" w:rsidRPr="00A339B6" w:rsidRDefault="009F2ED6" w:rsidP="009F2ED6">
      <w:pPr>
        <w:ind w:left="907"/>
        <w:rPr>
          <w:rFonts w:ascii="Verdana" w:hAnsi="Verdana"/>
        </w:rPr>
      </w:pPr>
    </w:p>
    <w:p w:rsidR="009F2ED6" w:rsidRDefault="009F2ED6" w:rsidP="009F2ED6">
      <w:pPr>
        <w:numPr>
          <w:ilvl w:val="0"/>
          <w:numId w:val="1"/>
        </w:numPr>
        <w:rPr>
          <w:rFonts w:ascii="Verdana" w:hAnsi="Verdana"/>
        </w:rPr>
      </w:pPr>
      <w:r w:rsidRPr="007A69B1">
        <w:rPr>
          <w:rFonts w:ascii="Verdana" w:hAnsi="Verdana"/>
          <w:b/>
        </w:rPr>
        <w:t>Generale kasschuif</w:t>
      </w:r>
      <w:r w:rsidRPr="006D162B">
        <w:rPr>
          <w:rFonts w:ascii="Verdana" w:hAnsi="Verdana"/>
        </w:rPr>
        <w:br/>
      </w:r>
      <w:r>
        <w:rPr>
          <w:rFonts w:ascii="Verdana" w:hAnsi="Verdana"/>
        </w:rPr>
        <w:t xml:space="preserve">De grote projecten Ruimte voor de Rivier en het Tweede Hoogwaterbeschermingsprogramma lopen binnen een aantal jaar af. </w:t>
      </w:r>
      <w:r w:rsidRPr="006D162B">
        <w:rPr>
          <w:rFonts w:ascii="Verdana" w:hAnsi="Verdana"/>
        </w:rPr>
        <w:t xml:space="preserve">Daarnaast zijn de deltabeslissingen genomen en is het nieuwe Hoogwaterbeschermingsprogramma opgestart. </w:t>
      </w:r>
      <w:proofErr w:type="spellStart"/>
      <w:r w:rsidRPr="006D162B">
        <w:rPr>
          <w:rFonts w:ascii="Verdana" w:hAnsi="Verdana"/>
        </w:rPr>
        <w:t>IenM</w:t>
      </w:r>
      <w:proofErr w:type="spellEnd"/>
      <w:r w:rsidRPr="006D162B">
        <w:rPr>
          <w:rFonts w:ascii="Verdana" w:hAnsi="Verdana"/>
        </w:rPr>
        <w:t xml:space="preserve"> staat voor de opgave om het ritme van het meerjarige programma en het budget op het Deltafonds weer met elkaar in overeenstemming te brengen. Derhalve wordt een kasschuif via de algemene middelen van € 75 miljoen op het Deltafonds van 2015 naar 2019 aangebracht.</w:t>
      </w:r>
    </w:p>
    <w:p w:rsidR="009F2ED6" w:rsidRPr="00466F21" w:rsidRDefault="009F2ED6" w:rsidP="009F2ED6">
      <w:pPr>
        <w:rPr>
          <w:rFonts w:ascii="Verdana" w:hAnsi="Verdana"/>
        </w:rPr>
      </w:pPr>
    </w:p>
    <w:p w:rsidR="009F2ED6" w:rsidRPr="00BA527C" w:rsidRDefault="009F2ED6" w:rsidP="009F2ED6">
      <w:pPr>
        <w:numPr>
          <w:ilvl w:val="0"/>
          <w:numId w:val="1"/>
        </w:numPr>
        <w:rPr>
          <w:rFonts w:ascii="Verdana" w:hAnsi="Verdana"/>
          <w:b/>
        </w:rPr>
      </w:pPr>
      <w:r w:rsidRPr="007A69B1">
        <w:rPr>
          <w:rFonts w:ascii="Verdana" w:hAnsi="Verdana"/>
          <w:b/>
        </w:rPr>
        <w:t>Zoetwatermaatregelen van nationaal belang</w:t>
      </w:r>
    </w:p>
    <w:p w:rsidR="009F2ED6" w:rsidRPr="00466F21" w:rsidRDefault="009F2ED6" w:rsidP="009F2ED6">
      <w:pPr>
        <w:pStyle w:val="Lijstalinea"/>
        <w:numPr>
          <w:ilvl w:val="0"/>
          <w:numId w:val="1"/>
        </w:numPr>
        <w:rPr>
          <w:rFonts w:ascii="Verdana" w:eastAsia="Times New Roman" w:hAnsi="Verdana"/>
          <w:sz w:val="20"/>
          <w:szCs w:val="20"/>
        </w:rPr>
      </w:pPr>
      <w:r>
        <w:rPr>
          <w:rFonts w:ascii="Verdana" w:eastAsia="Times New Roman" w:hAnsi="Verdana"/>
          <w:sz w:val="20"/>
          <w:szCs w:val="20"/>
        </w:rPr>
        <w:t xml:space="preserve">Conform het Deltaprogramma 2015, waarin afspraken zijn gemaakt over de uitvoering en financiering van zoetwatermaatregelen in de periode 2015-2021, wordt in totaal € 145,1 miljoen uit de Investeringsruimte (artikel 5) </w:t>
      </w:r>
      <w:r>
        <w:rPr>
          <w:rFonts w:ascii="Verdana" w:eastAsia="Times New Roman" w:hAnsi="Verdana"/>
          <w:sz w:val="20"/>
          <w:szCs w:val="20"/>
        </w:rPr>
        <w:lastRenderedPageBreak/>
        <w:t xml:space="preserve">naar het artikel Investeren in Zoetwatervoorziening (artikel 2) overgeboekt. Dit betreft een overboeking uit de reeds gereserveerde investeringsruimte zoetwater voor een betekenisvolle start van de opgaven van </w:t>
      </w:r>
      <w:proofErr w:type="spellStart"/>
      <w:r>
        <w:rPr>
          <w:rFonts w:ascii="Verdana" w:eastAsia="Times New Roman" w:hAnsi="Verdana"/>
          <w:sz w:val="20"/>
          <w:szCs w:val="20"/>
        </w:rPr>
        <w:t>zoetwater,met</w:t>
      </w:r>
      <w:proofErr w:type="spellEnd"/>
      <w:r>
        <w:rPr>
          <w:rFonts w:ascii="Verdana" w:eastAsia="Times New Roman" w:hAnsi="Verdana"/>
          <w:sz w:val="20"/>
          <w:szCs w:val="20"/>
        </w:rPr>
        <w:t xml:space="preserve"> het</w:t>
      </w:r>
      <w:r w:rsidRPr="00466F21">
        <w:rPr>
          <w:rFonts w:ascii="Verdana" w:eastAsia="Times New Roman" w:hAnsi="Verdana"/>
          <w:sz w:val="20"/>
          <w:szCs w:val="20"/>
        </w:rPr>
        <w:t xml:space="preserve"> doel huidige knelpunten in de zoetwatervoorziening te verminderen en Nederland voor te bereiden op de mogelijke </w:t>
      </w:r>
      <w:r>
        <w:rPr>
          <w:rFonts w:ascii="Verdana" w:eastAsia="Times New Roman" w:hAnsi="Verdana"/>
          <w:sz w:val="20"/>
          <w:szCs w:val="20"/>
        </w:rPr>
        <w:t>gevolgen van klimaatverandering.</w:t>
      </w:r>
    </w:p>
    <w:p w:rsidR="009F2ED6" w:rsidRPr="00957378" w:rsidRDefault="009F2ED6" w:rsidP="009F2ED6">
      <w:pPr>
        <w:ind w:left="1267"/>
        <w:rPr>
          <w:rFonts w:ascii="Verdana" w:hAnsi="Verdana"/>
          <w:b/>
        </w:rPr>
      </w:pPr>
    </w:p>
    <w:p w:rsidR="009F2ED6" w:rsidRDefault="009F2ED6" w:rsidP="009F2ED6">
      <w:pPr>
        <w:pStyle w:val="Lijstalinea"/>
        <w:ind w:left="1276"/>
        <w:rPr>
          <w:rFonts w:ascii="Verdana" w:eastAsia="Times New Roman" w:hAnsi="Verdana"/>
          <w:sz w:val="20"/>
          <w:szCs w:val="20"/>
        </w:rPr>
      </w:pPr>
      <w:r w:rsidRPr="007A69B1">
        <w:rPr>
          <w:rFonts w:ascii="Verdana" w:eastAsia="Times New Roman" w:hAnsi="Verdana"/>
          <w:sz w:val="20"/>
          <w:szCs w:val="20"/>
        </w:rPr>
        <w:t>4.</w:t>
      </w:r>
      <w:r>
        <w:rPr>
          <w:rFonts w:ascii="Verdana" w:eastAsia="Times New Roman" w:hAnsi="Verdana"/>
          <w:b/>
          <w:sz w:val="20"/>
          <w:szCs w:val="20"/>
        </w:rPr>
        <w:t xml:space="preserve"> V</w:t>
      </w:r>
      <w:r w:rsidRPr="007A69B1">
        <w:rPr>
          <w:rFonts w:ascii="Verdana" w:eastAsia="Times New Roman" w:hAnsi="Verdana"/>
          <w:b/>
          <w:sz w:val="20"/>
          <w:szCs w:val="20"/>
        </w:rPr>
        <w:t xml:space="preserve">erantwoorden over- en </w:t>
      </w:r>
      <w:proofErr w:type="spellStart"/>
      <w:r w:rsidRPr="007A69B1">
        <w:rPr>
          <w:rFonts w:ascii="Verdana" w:eastAsia="Times New Roman" w:hAnsi="Verdana"/>
          <w:b/>
          <w:sz w:val="20"/>
          <w:szCs w:val="20"/>
        </w:rPr>
        <w:t>onderprogrammering</w:t>
      </w:r>
      <w:proofErr w:type="spellEnd"/>
      <w:r>
        <w:rPr>
          <w:rFonts w:ascii="Verdana" w:hAnsi="Verdana"/>
        </w:rPr>
        <w:br/>
      </w:r>
      <w:r>
        <w:rPr>
          <w:rFonts w:ascii="Verdana" w:eastAsia="Times New Roman" w:hAnsi="Verdana"/>
          <w:sz w:val="20"/>
          <w:szCs w:val="20"/>
        </w:rPr>
        <w:t>Bij ontwerpbegroting 2014 is toegelicht dat h</w:t>
      </w:r>
      <w:r w:rsidRPr="007A69B1">
        <w:rPr>
          <w:rFonts w:ascii="Verdana" w:eastAsia="Times New Roman" w:hAnsi="Verdana"/>
          <w:sz w:val="20"/>
          <w:szCs w:val="20"/>
        </w:rPr>
        <w:t xml:space="preserve">et instrument </w:t>
      </w:r>
      <w:proofErr w:type="spellStart"/>
      <w:r w:rsidRPr="007A69B1">
        <w:rPr>
          <w:rFonts w:ascii="Verdana" w:eastAsia="Times New Roman" w:hAnsi="Verdana"/>
          <w:sz w:val="20"/>
          <w:szCs w:val="20"/>
        </w:rPr>
        <w:t>overprogrammering</w:t>
      </w:r>
      <w:proofErr w:type="spellEnd"/>
      <w:r w:rsidRPr="007A69B1">
        <w:rPr>
          <w:rFonts w:ascii="Verdana" w:eastAsia="Times New Roman" w:hAnsi="Verdana"/>
          <w:sz w:val="20"/>
          <w:szCs w:val="20"/>
        </w:rPr>
        <w:t xml:space="preserve"> door het kabinet </w:t>
      </w:r>
      <w:r>
        <w:rPr>
          <w:rFonts w:ascii="Verdana" w:eastAsia="Times New Roman" w:hAnsi="Verdana"/>
          <w:sz w:val="20"/>
          <w:szCs w:val="20"/>
        </w:rPr>
        <w:t xml:space="preserve">is </w:t>
      </w:r>
      <w:r w:rsidRPr="007A69B1">
        <w:rPr>
          <w:rFonts w:ascii="Verdana" w:eastAsia="Times New Roman" w:hAnsi="Verdana"/>
          <w:sz w:val="20"/>
          <w:szCs w:val="20"/>
        </w:rPr>
        <w:t xml:space="preserve">ingezet om te zorgen dat de </w:t>
      </w:r>
      <w:proofErr w:type="spellStart"/>
      <w:r w:rsidRPr="007A69B1">
        <w:rPr>
          <w:rFonts w:ascii="Verdana" w:eastAsia="Times New Roman" w:hAnsi="Verdana"/>
          <w:sz w:val="20"/>
          <w:szCs w:val="20"/>
        </w:rPr>
        <w:t>budgetten</w:t>
      </w:r>
      <w:proofErr w:type="spellEnd"/>
      <w:r w:rsidRPr="007A69B1">
        <w:rPr>
          <w:rFonts w:ascii="Verdana" w:eastAsia="Times New Roman" w:hAnsi="Verdana"/>
          <w:sz w:val="20"/>
          <w:szCs w:val="20"/>
        </w:rPr>
        <w:t xml:space="preserve"> voor aanleg van infrastructuur ook daadwerkelijk tot besteding komen in de jaren waarin deze beschikbaar zijn gesteld.</w:t>
      </w:r>
      <w:r>
        <w:rPr>
          <w:rFonts w:ascii="Verdana" w:eastAsia="Times New Roman" w:hAnsi="Verdana"/>
          <w:sz w:val="20"/>
          <w:szCs w:val="20"/>
        </w:rPr>
        <w:t xml:space="preserve"> </w:t>
      </w:r>
      <w:r w:rsidRPr="007A69B1">
        <w:rPr>
          <w:rFonts w:ascii="Verdana" w:eastAsia="Times New Roman" w:hAnsi="Verdana"/>
          <w:sz w:val="20"/>
          <w:szCs w:val="20"/>
        </w:rPr>
        <w:t xml:space="preserve">In de brief van 13 februari  over de invulling van de bezuinigingen op het Infrastructuurfonds (Kamerstukken II, 2012/13, 33 400 A, nr. 48) is aangekondigd dat in de programmering een tijdelijke en beheerste </w:t>
      </w:r>
      <w:proofErr w:type="spellStart"/>
      <w:r w:rsidRPr="007A69B1">
        <w:rPr>
          <w:rFonts w:ascii="Verdana" w:eastAsia="Times New Roman" w:hAnsi="Verdana"/>
          <w:sz w:val="20"/>
          <w:szCs w:val="20"/>
        </w:rPr>
        <w:t>overprogrammering</w:t>
      </w:r>
      <w:proofErr w:type="spellEnd"/>
      <w:r w:rsidRPr="007A69B1">
        <w:rPr>
          <w:rFonts w:ascii="Verdana" w:eastAsia="Times New Roman" w:hAnsi="Verdana"/>
          <w:sz w:val="20"/>
          <w:szCs w:val="20"/>
        </w:rPr>
        <w:t xml:space="preserve"> wordt opgenomen. </w:t>
      </w:r>
      <w:r>
        <w:rPr>
          <w:rFonts w:ascii="Verdana" w:eastAsia="Times New Roman" w:hAnsi="Verdana"/>
          <w:sz w:val="20"/>
          <w:szCs w:val="20"/>
        </w:rPr>
        <w:t xml:space="preserve">Over de gehele begrotingsperiode tot en met 2028 is het budget en de programmering op het Deltafonds met elkaar in evenwicht. </w:t>
      </w:r>
    </w:p>
    <w:p w:rsidR="009F2ED6" w:rsidRDefault="009F2ED6" w:rsidP="009F2ED6">
      <w:pPr>
        <w:pStyle w:val="Lijstalinea"/>
        <w:ind w:left="1276"/>
        <w:rPr>
          <w:rFonts w:ascii="Verdana" w:eastAsia="Times New Roman" w:hAnsi="Verdana"/>
          <w:sz w:val="20"/>
          <w:szCs w:val="20"/>
        </w:rPr>
      </w:pPr>
      <w:r>
        <w:rPr>
          <w:rFonts w:ascii="Verdana" w:eastAsia="Times New Roman" w:hAnsi="Verdana"/>
          <w:sz w:val="20"/>
          <w:szCs w:val="20"/>
        </w:rPr>
        <w:t xml:space="preserve">In lijn met de werkwijze op het Infrastructuurfonds, waar de over- en </w:t>
      </w:r>
      <w:proofErr w:type="spellStart"/>
      <w:r>
        <w:rPr>
          <w:rFonts w:ascii="Verdana" w:eastAsia="Times New Roman" w:hAnsi="Verdana"/>
          <w:sz w:val="20"/>
          <w:szCs w:val="20"/>
        </w:rPr>
        <w:t>onderprogrammering</w:t>
      </w:r>
      <w:proofErr w:type="spellEnd"/>
      <w:r>
        <w:rPr>
          <w:rFonts w:ascii="Verdana" w:eastAsia="Times New Roman" w:hAnsi="Verdana"/>
          <w:sz w:val="20"/>
          <w:szCs w:val="20"/>
        </w:rPr>
        <w:t xml:space="preserve"> per modaliteit zichtbaar wordt gemaakt, zal vanaf heden ook op het Deltafonds de over- en </w:t>
      </w:r>
      <w:proofErr w:type="spellStart"/>
      <w:r>
        <w:rPr>
          <w:rFonts w:ascii="Verdana" w:eastAsia="Times New Roman" w:hAnsi="Verdana"/>
          <w:sz w:val="20"/>
          <w:szCs w:val="20"/>
        </w:rPr>
        <w:t>onderprogrammering</w:t>
      </w:r>
      <w:proofErr w:type="spellEnd"/>
      <w:r>
        <w:rPr>
          <w:rFonts w:ascii="Verdana" w:eastAsia="Times New Roman" w:hAnsi="Verdana"/>
          <w:sz w:val="20"/>
          <w:szCs w:val="20"/>
        </w:rPr>
        <w:t xml:space="preserve"> op een centrale plek op het fonds worden verantwoord (artikelonderdeel 1.02 overige aanlegprojecten Waterveiligheid). Tot op heden werd de over- </w:t>
      </w:r>
      <w:proofErr w:type="spellStart"/>
      <w:r>
        <w:rPr>
          <w:rFonts w:ascii="Verdana" w:eastAsia="Times New Roman" w:hAnsi="Verdana"/>
          <w:sz w:val="20"/>
          <w:szCs w:val="20"/>
        </w:rPr>
        <w:t>onderprogrammering</w:t>
      </w:r>
      <w:proofErr w:type="spellEnd"/>
      <w:r>
        <w:rPr>
          <w:rFonts w:ascii="Verdana" w:eastAsia="Times New Roman" w:hAnsi="Verdana"/>
          <w:sz w:val="20"/>
          <w:szCs w:val="20"/>
        </w:rPr>
        <w:t xml:space="preserve"> op het Deltafonds nog per artikelonderdeel verantwoord, dit betekent dat de reeks op de desbetreffende artikelonderdelen naar de nieuwe centrale plek zal worden verplaatst.</w:t>
      </w:r>
    </w:p>
    <w:p w:rsidR="009F2ED6" w:rsidRDefault="009F2ED6" w:rsidP="009F2ED6">
      <w:pPr>
        <w:pStyle w:val="Lijstalinea"/>
        <w:ind w:left="1276"/>
        <w:rPr>
          <w:rFonts w:ascii="Verdana" w:eastAsia="Times New Roman" w:hAnsi="Verdana"/>
          <w:sz w:val="20"/>
          <w:szCs w:val="20"/>
        </w:rPr>
      </w:pPr>
      <w:r>
        <w:rPr>
          <w:rFonts w:ascii="Verdana" w:eastAsia="Times New Roman" w:hAnsi="Verdana"/>
          <w:sz w:val="20"/>
          <w:szCs w:val="20"/>
        </w:rPr>
        <w:t xml:space="preserve">Het betreft de verwerking van een budgettair neutrale mutatie die de verplaatsing van dit instrument verantwoordt. </w:t>
      </w:r>
    </w:p>
    <w:p w:rsidR="009F2ED6" w:rsidRDefault="009F2ED6" w:rsidP="009F2ED6">
      <w:pPr>
        <w:pStyle w:val="Lijstalinea"/>
        <w:rPr>
          <w:rFonts w:ascii="Verdana" w:hAnsi="Verdana"/>
          <w:i/>
        </w:rPr>
      </w:pPr>
    </w:p>
    <w:p w:rsidR="009F2ED6" w:rsidRDefault="009F2ED6" w:rsidP="009F2ED6">
      <w:pPr>
        <w:ind w:left="1267"/>
        <w:rPr>
          <w:rFonts w:ascii="Verdana" w:hAnsi="Verdana"/>
        </w:rPr>
      </w:pPr>
      <w:r>
        <w:rPr>
          <w:rFonts w:ascii="Verdana" w:hAnsi="Verdana"/>
        </w:rPr>
        <w:br w:type="page"/>
      </w:r>
    </w:p>
    <w:p w:rsidR="009F2ED6" w:rsidRPr="006D162B" w:rsidRDefault="009F2ED6" w:rsidP="009F2ED6">
      <w:pPr>
        <w:ind w:left="1267"/>
        <w:rPr>
          <w:rFonts w:ascii="Verdana" w:hAnsi="Verdana"/>
        </w:rPr>
      </w:pPr>
    </w:p>
    <w:p w:rsidR="009F2ED6" w:rsidRDefault="009F2ED6" w:rsidP="009F2ED6">
      <w:pPr>
        <w:pStyle w:val="Geenafstand"/>
        <w:ind w:left="907"/>
        <w:rPr>
          <w:rFonts w:ascii="Verdana" w:hAnsi="Verdana"/>
          <w:b/>
          <w:sz w:val="20"/>
          <w:szCs w:val="20"/>
        </w:rPr>
      </w:pPr>
      <w:r w:rsidRPr="00A339B6">
        <w:rPr>
          <w:rFonts w:ascii="Verdana" w:hAnsi="Verdana"/>
          <w:b/>
          <w:sz w:val="20"/>
          <w:szCs w:val="20"/>
        </w:rPr>
        <w:t>2.2</w:t>
      </w:r>
      <w:r w:rsidRPr="00A339B6">
        <w:rPr>
          <w:rFonts w:ascii="Verdana" w:hAnsi="Verdana"/>
          <w:b/>
          <w:sz w:val="20"/>
          <w:szCs w:val="20"/>
        </w:rPr>
        <w:tab/>
      </w:r>
      <w:r w:rsidRPr="00782589">
        <w:rPr>
          <w:rFonts w:ascii="Verdana" w:hAnsi="Verdana"/>
          <w:b/>
          <w:sz w:val="20"/>
          <w:szCs w:val="20"/>
        </w:rPr>
        <w:t>De productartikelen</w:t>
      </w:r>
    </w:p>
    <w:p w:rsidR="009F2ED6" w:rsidRDefault="009F2ED6" w:rsidP="009F2ED6">
      <w:pPr>
        <w:pStyle w:val="Geenafstand"/>
        <w:ind w:left="907"/>
        <w:rPr>
          <w:rFonts w:ascii="Verdana" w:hAnsi="Verdana"/>
          <w:sz w:val="20"/>
          <w:szCs w:val="20"/>
        </w:rPr>
      </w:pPr>
    </w:p>
    <w:p w:rsidR="009F2ED6" w:rsidRPr="00867430" w:rsidRDefault="009F2ED6" w:rsidP="009F2ED6">
      <w:pPr>
        <w:rPr>
          <w:rFonts w:ascii="Verdana" w:hAnsi="Verdana"/>
          <w:i/>
        </w:rPr>
      </w:pPr>
      <w:r w:rsidRPr="00867430">
        <w:rPr>
          <w:rFonts w:ascii="Verdana" w:hAnsi="Verdana"/>
          <w:i/>
        </w:rPr>
        <w:t>Hieronder worden alle beleidsmatig relevante mutaties op het niveau van het artikelonderdeel zichtbaar gemaakt, en waar zinvol en relevant, ook toegelicht (zie leeswijzer). In de verdiepingsbijlage is een meerjarige mutatietabel opgenomen op artikelonderdeelniveau met daarbij de aansluiting tussen de vorige stand van de begroting en de nu voorgestelde stand. Dit voor de volledige looptijd van het fonds.</w:t>
      </w:r>
    </w:p>
    <w:p w:rsidR="009F2ED6" w:rsidRPr="00782589" w:rsidRDefault="009F2ED6" w:rsidP="009F2ED6">
      <w:pPr>
        <w:pStyle w:val="Geenafstand"/>
        <w:ind w:left="907"/>
        <w:rPr>
          <w:rFonts w:ascii="Verdana" w:hAnsi="Verdana"/>
          <w:sz w:val="20"/>
          <w:szCs w:val="20"/>
        </w:rPr>
      </w:pPr>
    </w:p>
    <w:p w:rsidR="009F2ED6" w:rsidRPr="00F25442" w:rsidRDefault="009F2ED6" w:rsidP="009F2ED6">
      <w:pPr>
        <w:ind w:right="709"/>
        <w:rPr>
          <w:rFonts w:ascii="Verdana" w:hAnsi="Verdana"/>
          <w:b/>
        </w:rPr>
      </w:pPr>
      <w:r w:rsidRPr="00F25442">
        <w:rPr>
          <w:rFonts w:ascii="Verdana" w:hAnsi="Verdana"/>
          <w:b/>
        </w:rPr>
        <w:t>Artikel 1 Investeren in waterveiligheid</w:t>
      </w:r>
    </w:p>
    <w:p w:rsidR="009F2ED6" w:rsidRDefault="009F2ED6" w:rsidP="009F2ED6">
      <w:pPr>
        <w:rPr>
          <w:rFonts w:ascii="Verdana" w:hAnsi="Verdana"/>
          <w:i/>
          <w:sz w:val="18"/>
          <w:szCs w:val="18"/>
        </w:rPr>
      </w:pPr>
    </w:p>
    <w:p w:rsidR="009F2ED6" w:rsidRDefault="009F2ED6" w:rsidP="009F2ED6">
      <w:pPr>
        <w:rPr>
          <w:rFonts w:ascii="Verdana" w:hAnsi="Verdana"/>
          <w:i/>
          <w:sz w:val="18"/>
          <w:szCs w:val="18"/>
        </w:rPr>
      </w:pPr>
      <w:r>
        <w:rPr>
          <w:rFonts w:ascii="Verdana" w:hAnsi="Verdana"/>
          <w:i/>
          <w:noProof/>
          <w:sz w:val="18"/>
          <w:szCs w:val="18"/>
        </w:rPr>
        <w:drawing>
          <wp:inline distT="0" distB="0" distL="0" distR="0" wp14:anchorId="5A07C083" wp14:editId="7671428B">
            <wp:extent cx="5669280" cy="2765425"/>
            <wp:effectExtent l="19050" t="0" r="7620" b="0"/>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7" cstate="print"/>
                    <a:srcRect/>
                    <a:stretch>
                      <a:fillRect/>
                    </a:stretch>
                  </pic:blipFill>
                  <pic:spPr bwMode="auto">
                    <a:xfrm>
                      <a:off x="0" y="0"/>
                      <a:ext cx="5669280" cy="2765425"/>
                    </a:xfrm>
                    <a:prstGeom prst="rect">
                      <a:avLst/>
                    </a:prstGeom>
                    <a:noFill/>
                    <a:ln w="9525">
                      <a:noFill/>
                      <a:miter lim="800000"/>
                      <a:headEnd/>
                      <a:tailEnd/>
                    </a:ln>
                  </pic:spPr>
                </pic:pic>
              </a:graphicData>
            </a:graphic>
          </wp:inline>
        </w:drawing>
      </w:r>
    </w:p>
    <w:p w:rsidR="009F2ED6" w:rsidRDefault="009F2ED6" w:rsidP="009F2ED6">
      <w:pPr>
        <w:rPr>
          <w:rFonts w:ascii="Verdana" w:hAnsi="Verdana"/>
          <w:i/>
          <w:sz w:val="18"/>
          <w:szCs w:val="18"/>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1.01 Grote projecten waterveiligheid</w:t>
      </w:r>
    </w:p>
    <w:p w:rsidR="009F2ED6" w:rsidRDefault="009F2ED6" w:rsidP="009F2ED6">
      <w:pPr>
        <w:rPr>
          <w:rFonts w:ascii="Verdana" w:hAnsi="Verdana"/>
        </w:rPr>
      </w:pPr>
      <w:r w:rsidRPr="00E6290C">
        <w:rPr>
          <w:rFonts w:ascii="Verdana" w:hAnsi="Verdana"/>
        </w:rPr>
        <w:t xml:space="preserve">Op dit </w:t>
      </w:r>
      <w:r>
        <w:rPr>
          <w:rFonts w:ascii="Verdana" w:hAnsi="Verdana"/>
        </w:rPr>
        <w:t>artikel</w:t>
      </w:r>
      <w:r w:rsidRPr="00E6290C">
        <w:rPr>
          <w:rFonts w:ascii="Verdana" w:hAnsi="Verdana"/>
        </w:rPr>
        <w:t>onderde</w:t>
      </w:r>
      <w:r>
        <w:rPr>
          <w:rFonts w:ascii="Verdana" w:hAnsi="Verdana"/>
        </w:rPr>
        <w:t xml:space="preserve">el vinden twee mutaties plaats die leiden tot een verlaging van de begrotingsstand in 2015 van € 33,4 miljoen, namelijk de verwerking van het saldo 2014 (- € 117,5 miljoen) en de gevolgen van het vanaf heden centraal verantwoorden van de over- en </w:t>
      </w:r>
      <w:proofErr w:type="spellStart"/>
      <w:r>
        <w:rPr>
          <w:rFonts w:ascii="Verdana" w:hAnsi="Verdana"/>
        </w:rPr>
        <w:t>onderprogrammering</w:t>
      </w:r>
      <w:proofErr w:type="spellEnd"/>
      <w:r>
        <w:rPr>
          <w:rFonts w:ascii="Verdana" w:hAnsi="Verdana"/>
        </w:rPr>
        <w:t xml:space="preserve"> (+ € 84,2 miljoen in 2015).</w:t>
      </w:r>
    </w:p>
    <w:p w:rsidR="009F2ED6" w:rsidRDefault="009F2ED6" w:rsidP="009F2ED6">
      <w:pPr>
        <w:rPr>
          <w:rFonts w:ascii="Verdana" w:hAnsi="Verdana"/>
        </w:rPr>
      </w:pPr>
    </w:p>
    <w:p w:rsidR="009F2ED6" w:rsidRPr="00825D0B" w:rsidRDefault="009F2ED6" w:rsidP="009F2ED6">
      <w:pPr>
        <w:rPr>
          <w:rFonts w:ascii="Verdana" w:hAnsi="Verdana"/>
          <w:i/>
        </w:rPr>
      </w:pPr>
      <w:r w:rsidRPr="00825D0B">
        <w:rPr>
          <w:rFonts w:ascii="Verdana" w:hAnsi="Verdana"/>
          <w:i/>
        </w:rPr>
        <w:t>Saldo 2014</w:t>
      </w:r>
    </w:p>
    <w:p w:rsidR="009F2ED6" w:rsidRDefault="009F2ED6" w:rsidP="009F2ED6">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w:t>
      </w:r>
      <w:r w:rsidRPr="00E6290C">
        <w:rPr>
          <w:rFonts w:ascii="Verdana" w:hAnsi="Verdana"/>
        </w:rPr>
        <w:t xml:space="preserve">117,5 miljoen </w:t>
      </w:r>
      <w:r>
        <w:rPr>
          <w:rFonts w:ascii="Verdana" w:hAnsi="Verdana"/>
        </w:rPr>
        <w:t xml:space="preserve">verlaagd </w:t>
      </w:r>
      <w:r w:rsidRPr="00E6290C">
        <w:rPr>
          <w:rFonts w:ascii="Verdana" w:hAnsi="Verdana"/>
        </w:rPr>
        <w:t xml:space="preserve">als gevolg van de technische verwerking van het saldo 2014. </w:t>
      </w:r>
      <w:r>
        <w:rPr>
          <w:rFonts w:ascii="Verdana" w:hAnsi="Verdana"/>
        </w:rPr>
        <w:t xml:space="preserve">Dit betekent dat in 2014 € 117,5 miljoen meer aan de projecten van dit artikelonderdeel is uitgegeven dan oorspronkelijk begroot. Dit doet zich met name voor bij de projecten van het tweede Hoogwaterbeschermingsprogramma. Door de verlaging in 2015 blijven de </w:t>
      </w:r>
      <w:proofErr w:type="spellStart"/>
      <w:r>
        <w:rPr>
          <w:rFonts w:ascii="Verdana" w:hAnsi="Verdana"/>
        </w:rPr>
        <w:t>budgetten</w:t>
      </w:r>
      <w:proofErr w:type="spellEnd"/>
      <w:r>
        <w:rPr>
          <w:rFonts w:ascii="Verdana" w:hAnsi="Verdana"/>
        </w:rPr>
        <w:t xml:space="preserve"> meerjarig ongewijzigd. </w:t>
      </w:r>
    </w:p>
    <w:p w:rsidR="009F2ED6" w:rsidRDefault="009F2ED6" w:rsidP="009F2ED6">
      <w:pPr>
        <w:rPr>
          <w:rFonts w:ascii="Verdana" w:hAnsi="Verdana"/>
        </w:rPr>
      </w:pPr>
    </w:p>
    <w:p w:rsidR="009F2ED6" w:rsidRPr="005F21F0" w:rsidRDefault="009F2ED6" w:rsidP="009F2ED6">
      <w:pPr>
        <w:rPr>
          <w:rFonts w:ascii="Verdana" w:hAnsi="Verdana"/>
          <w:i/>
        </w:rPr>
      </w:pPr>
      <w:r>
        <w:rPr>
          <w:rFonts w:ascii="Verdana" w:hAnsi="Verdana"/>
          <w:i/>
        </w:rPr>
        <w:t xml:space="preserve">Verantwoorden over- en </w:t>
      </w:r>
      <w:proofErr w:type="spellStart"/>
      <w:r>
        <w:rPr>
          <w:rFonts w:ascii="Verdana" w:hAnsi="Verdana"/>
          <w:i/>
        </w:rPr>
        <w:t>onderprogrammering</w:t>
      </w:r>
      <w:proofErr w:type="spellEnd"/>
      <w:r>
        <w:rPr>
          <w:rFonts w:ascii="Verdana" w:hAnsi="Verdana"/>
          <w:i/>
        </w:rPr>
        <w:t xml:space="preserve"> </w:t>
      </w:r>
    </w:p>
    <w:p w:rsidR="009F2ED6" w:rsidRDefault="009F2ED6" w:rsidP="009F2ED6">
      <w:pPr>
        <w:pStyle w:val="Geenafstand"/>
        <w:rPr>
          <w:rFonts w:ascii="Verdana" w:eastAsia="Times New Roman" w:hAnsi="Verdana"/>
          <w:sz w:val="20"/>
          <w:szCs w:val="20"/>
          <w:lang w:eastAsia="nl-NL"/>
        </w:rPr>
      </w:pPr>
      <w:r>
        <w:rPr>
          <w:rFonts w:ascii="Verdana" w:eastAsia="Times New Roman" w:hAnsi="Verdana"/>
          <w:sz w:val="20"/>
          <w:szCs w:val="20"/>
          <w:lang w:eastAsia="nl-NL"/>
        </w:rPr>
        <w:t xml:space="preserve">De meerjarige onder- en </w:t>
      </w:r>
      <w:proofErr w:type="spellStart"/>
      <w:r>
        <w:rPr>
          <w:rFonts w:ascii="Verdana" w:eastAsia="Times New Roman" w:hAnsi="Verdana"/>
          <w:sz w:val="20"/>
          <w:szCs w:val="20"/>
          <w:lang w:eastAsia="nl-NL"/>
        </w:rPr>
        <w:t>overprogammering</w:t>
      </w:r>
      <w:proofErr w:type="spellEnd"/>
      <w:r>
        <w:rPr>
          <w:rFonts w:ascii="Verdana" w:eastAsia="Times New Roman" w:hAnsi="Verdana"/>
          <w:sz w:val="20"/>
          <w:szCs w:val="20"/>
          <w:lang w:eastAsia="nl-NL"/>
        </w:rPr>
        <w:t xml:space="preserve"> van dit artikelonderdeel is naar artikelonderdeel 1.02 Overige aanlegprojecten Waterveiligheid verplaatst. Dit betekent dat vanaf heden budget en programmering op dit artikelonderdeel in alle jaren met elkaar in overeenstemming zijn. Voor het jaar 2015 betekent dit dat de begrotingstand met € 84,2 </w:t>
      </w:r>
      <w:proofErr w:type="spellStart"/>
      <w:r>
        <w:rPr>
          <w:rFonts w:ascii="Verdana" w:eastAsia="Times New Roman" w:hAnsi="Verdana"/>
          <w:sz w:val="20"/>
          <w:szCs w:val="20"/>
          <w:lang w:eastAsia="nl-NL"/>
        </w:rPr>
        <w:t>mln</w:t>
      </w:r>
      <w:proofErr w:type="spellEnd"/>
      <w:r>
        <w:rPr>
          <w:rFonts w:ascii="Verdana" w:eastAsia="Times New Roman" w:hAnsi="Verdana"/>
          <w:sz w:val="20"/>
          <w:szCs w:val="20"/>
          <w:lang w:eastAsia="nl-NL"/>
        </w:rPr>
        <w:t xml:space="preserve"> wordt verhoogd, in de jaren die daarop volgen wordt het budget verlaagd. Zie ook de uitgebreidere toelichting onder 2.1, ad 4 “Verantwoorden over- en </w:t>
      </w:r>
      <w:proofErr w:type="spellStart"/>
      <w:r>
        <w:rPr>
          <w:rFonts w:ascii="Verdana" w:eastAsia="Times New Roman" w:hAnsi="Verdana"/>
          <w:sz w:val="20"/>
          <w:szCs w:val="20"/>
          <w:lang w:eastAsia="nl-NL"/>
        </w:rPr>
        <w:t>onderprogrammering</w:t>
      </w:r>
      <w:proofErr w:type="spellEnd"/>
      <w:r>
        <w:rPr>
          <w:rFonts w:ascii="Verdana" w:eastAsia="Times New Roman" w:hAnsi="Verdana"/>
          <w:sz w:val="20"/>
          <w:szCs w:val="20"/>
          <w:lang w:eastAsia="nl-NL"/>
        </w:rPr>
        <w:t>”.</w:t>
      </w:r>
    </w:p>
    <w:p w:rsidR="009F2ED6" w:rsidRDefault="009F2ED6" w:rsidP="009F2ED6">
      <w:pPr>
        <w:pStyle w:val="Geenafstand"/>
        <w:rPr>
          <w:rFonts w:ascii="Verdana" w:hAnsi="Verdana"/>
          <w:sz w:val="20"/>
          <w:szCs w:val="20"/>
          <w:u w:val="single"/>
        </w:rPr>
      </w:pPr>
    </w:p>
    <w:p w:rsidR="009F2ED6" w:rsidRDefault="009F2ED6" w:rsidP="009F2ED6">
      <w:pPr>
        <w:rPr>
          <w:rFonts w:ascii="Verdana" w:hAnsi="Verdana"/>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1.02 Overige aanlegprojecten Waterveiligheid</w:t>
      </w:r>
    </w:p>
    <w:p w:rsidR="009F2ED6" w:rsidRDefault="009F2ED6" w:rsidP="009F2ED6">
      <w:pPr>
        <w:pStyle w:val="Geenafstand"/>
        <w:rPr>
          <w:rFonts w:ascii="Verdana" w:hAnsi="Verdana"/>
          <w:sz w:val="20"/>
          <w:szCs w:val="20"/>
        </w:rPr>
      </w:pPr>
      <w:r w:rsidRPr="003E5650">
        <w:rPr>
          <w:rFonts w:ascii="Verdana" w:hAnsi="Verdana"/>
          <w:sz w:val="20"/>
          <w:szCs w:val="20"/>
        </w:rPr>
        <w:t xml:space="preserve">Op dit onderdeel </w:t>
      </w:r>
      <w:r>
        <w:rPr>
          <w:rFonts w:ascii="Verdana" w:hAnsi="Verdana"/>
          <w:sz w:val="20"/>
          <w:szCs w:val="20"/>
        </w:rPr>
        <w:t xml:space="preserve">vinden meerdere mutaties plaats die leiden tot een verlaging van de begrotingsstand met € 79,5 miljoen. Het gaat met name om vier kasschuiven: een </w:t>
      </w:r>
      <w:r>
        <w:rPr>
          <w:rFonts w:ascii="Verdana" w:hAnsi="Verdana"/>
          <w:sz w:val="20"/>
          <w:szCs w:val="20"/>
        </w:rPr>
        <w:lastRenderedPageBreak/>
        <w:t xml:space="preserve">generale kasschuif (- € 75 miljoen), de verwerking van het saldo (€ 83,6 miljoen), het centraal verantwoorden van de over- en </w:t>
      </w:r>
      <w:proofErr w:type="spellStart"/>
      <w:r>
        <w:rPr>
          <w:rFonts w:ascii="Verdana" w:hAnsi="Verdana"/>
          <w:sz w:val="20"/>
          <w:szCs w:val="20"/>
        </w:rPr>
        <w:t>onderprogrammering</w:t>
      </w:r>
      <w:proofErr w:type="spellEnd"/>
      <w:r>
        <w:rPr>
          <w:rFonts w:ascii="Verdana" w:hAnsi="Verdana"/>
          <w:sz w:val="20"/>
          <w:szCs w:val="20"/>
        </w:rPr>
        <w:t xml:space="preserve"> (- € 62,4 miljoen) en het doorschuiven van de </w:t>
      </w:r>
      <w:proofErr w:type="spellStart"/>
      <w:r>
        <w:rPr>
          <w:rFonts w:ascii="Verdana" w:hAnsi="Verdana"/>
          <w:sz w:val="20"/>
          <w:szCs w:val="20"/>
        </w:rPr>
        <w:t>minregel</w:t>
      </w:r>
      <w:proofErr w:type="spellEnd"/>
      <w:r>
        <w:rPr>
          <w:rFonts w:ascii="Verdana" w:hAnsi="Verdana"/>
          <w:sz w:val="20"/>
          <w:szCs w:val="20"/>
        </w:rPr>
        <w:t xml:space="preserve"> als gevolg van de ingehouden prijsbijstelling in 2013 en 2014 (- € 23,6 miljoen). </w:t>
      </w:r>
    </w:p>
    <w:p w:rsidR="009F2ED6" w:rsidRDefault="009F2ED6" w:rsidP="009F2ED6">
      <w:pPr>
        <w:pStyle w:val="Geenafstand"/>
        <w:rPr>
          <w:rFonts w:ascii="Verdana" w:hAnsi="Verdana"/>
          <w:sz w:val="20"/>
          <w:szCs w:val="20"/>
        </w:rPr>
      </w:pPr>
    </w:p>
    <w:p w:rsidR="009F2ED6" w:rsidRPr="005F21F0" w:rsidRDefault="009F2ED6" w:rsidP="009F2ED6">
      <w:pPr>
        <w:rPr>
          <w:rFonts w:ascii="Verdana" w:hAnsi="Verdana"/>
          <w:i/>
        </w:rPr>
      </w:pPr>
      <w:r w:rsidRPr="005F21F0">
        <w:rPr>
          <w:rFonts w:ascii="Verdana" w:hAnsi="Verdana"/>
          <w:i/>
        </w:rPr>
        <w:t>Generale kasschuif</w:t>
      </w:r>
    </w:p>
    <w:p w:rsidR="009F2ED6" w:rsidRDefault="009F2ED6" w:rsidP="009F2ED6">
      <w:pPr>
        <w:rPr>
          <w:rFonts w:ascii="Verdana" w:hAnsi="Verdana"/>
        </w:rPr>
      </w:pPr>
      <w:r>
        <w:rPr>
          <w:rFonts w:ascii="Verdana" w:hAnsi="Verdana"/>
        </w:rPr>
        <w:t xml:space="preserve">De grote projecten Ruimte voor de Rivier en het Tweede Hoogwaterbeschermingsprogramma lopen binnen een aantal jaar af. </w:t>
      </w:r>
      <w:r w:rsidRPr="003E5650">
        <w:rPr>
          <w:rFonts w:ascii="Verdana" w:hAnsi="Verdana"/>
        </w:rPr>
        <w:t xml:space="preserve">Daarnaast zijn de deltabeslissingen genomen en is het nieuwe Hoogwaterbeschermingsprogramma opgestart. </w:t>
      </w:r>
      <w:r>
        <w:rPr>
          <w:rFonts w:ascii="Verdana" w:hAnsi="Verdana"/>
        </w:rPr>
        <w:t xml:space="preserve">Als gevolg hiervan staat </w:t>
      </w:r>
      <w:proofErr w:type="spellStart"/>
      <w:r w:rsidRPr="003E5650">
        <w:rPr>
          <w:rFonts w:ascii="Verdana" w:hAnsi="Verdana"/>
        </w:rPr>
        <w:t>IenM</w:t>
      </w:r>
      <w:proofErr w:type="spellEnd"/>
      <w:r w:rsidRPr="003E5650">
        <w:rPr>
          <w:rFonts w:ascii="Verdana" w:hAnsi="Verdana"/>
        </w:rPr>
        <w:t xml:space="preserve"> voor de opgave om het ritme van het meerjarige programma en het budget op het Deltafonds weer met elkaar in overeenstemming te brengen. </w:t>
      </w:r>
      <w:r>
        <w:rPr>
          <w:rFonts w:ascii="Verdana" w:hAnsi="Verdana"/>
        </w:rPr>
        <w:t xml:space="preserve">Hiertoe wordt </w:t>
      </w:r>
      <w:r w:rsidRPr="003E5650">
        <w:rPr>
          <w:rFonts w:ascii="Verdana" w:hAnsi="Verdana"/>
        </w:rPr>
        <w:t xml:space="preserve">een kasschuif </w:t>
      </w:r>
      <w:r>
        <w:rPr>
          <w:rFonts w:ascii="Verdana" w:hAnsi="Verdana"/>
        </w:rPr>
        <w:t xml:space="preserve">via de algemene middelen van </w:t>
      </w:r>
      <w:r w:rsidRPr="003E5650">
        <w:rPr>
          <w:rFonts w:ascii="Verdana" w:hAnsi="Verdana"/>
        </w:rPr>
        <w:t xml:space="preserve">€ 75 miljoen op het Deltafonds van 2015 naar 2019 </w:t>
      </w:r>
      <w:r>
        <w:rPr>
          <w:rFonts w:ascii="Verdana" w:hAnsi="Verdana"/>
        </w:rPr>
        <w:t xml:space="preserve">aangebracht. </w:t>
      </w:r>
    </w:p>
    <w:p w:rsidR="009F2ED6" w:rsidRDefault="009F2ED6" w:rsidP="009F2ED6">
      <w:pPr>
        <w:rPr>
          <w:rFonts w:ascii="Verdana" w:hAnsi="Verdana"/>
        </w:rPr>
      </w:pPr>
    </w:p>
    <w:p w:rsidR="009F2ED6" w:rsidRPr="005F21F0" w:rsidRDefault="009F2ED6" w:rsidP="009F2ED6">
      <w:pPr>
        <w:rPr>
          <w:rFonts w:ascii="Verdana" w:hAnsi="Verdana"/>
          <w:i/>
        </w:rPr>
      </w:pPr>
      <w:r>
        <w:rPr>
          <w:rFonts w:ascii="Verdana" w:hAnsi="Verdana"/>
          <w:i/>
        </w:rPr>
        <w:t xml:space="preserve">Verantwoorden over- en </w:t>
      </w:r>
      <w:proofErr w:type="spellStart"/>
      <w:r>
        <w:rPr>
          <w:rFonts w:ascii="Verdana" w:hAnsi="Verdana"/>
          <w:i/>
        </w:rPr>
        <w:t>onderprogrammering</w:t>
      </w:r>
      <w:proofErr w:type="spellEnd"/>
    </w:p>
    <w:p w:rsidR="009F2ED6" w:rsidRDefault="009F2ED6" w:rsidP="009F2ED6">
      <w:pPr>
        <w:rPr>
          <w:rFonts w:ascii="Verdana" w:hAnsi="Verdana"/>
        </w:rPr>
      </w:pPr>
      <w:r>
        <w:rPr>
          <w:rFonts w:ascii="Verdana" w:hAnsi="Verdana"/>
        </w:rPr>
        <w:t xml:space="preserve">Het instrument over- en </w:t>
      </w:r>
      <w:proofErr w:type="spellStart"/>
      <w:r>
        <w:rPr>
          <w:rFonts w:ascii="Verdana" w:hAnsi="Verdana"/>
        </w:rPr>
        <w:t>onderprogrammering</w:t>
      </w:r>
      <w:proofErr w:type="spellEnd"/>
      <w:r>
        <w:rPr>
          <w:rFonts w:ascii="Verdana" w:hAnsi="Verdana"/>
        </w:rPr>
        <w:t xml:space="preserve"> is vanuit andere artikelonderdelen </w:t>
      </w:r>
      <w:r w:rsidRPr="003E5650">
        <w:rPr>
          <w:rFonts w:ascii="Verdana" w:hAnsi="Verdana"/>
        </w:rPr>
        <w:t xml:space="preserve">(1.01, 1.03, 2.02, 3.02, 4.01 en 7.01) </w:t>
      </w:r>
      <w:r>
        <w:rPr>
          <w:rFonts w:ascii="Verdana" w:hAnsi="Verdana"/>
        </w:rPr>
        <w:t xml:space="preserve">naar dit artikelonderdeel verplaatst. Dit bevordert het inzicht in de jaarprogrammering op de andere artikelonderdelen. Tevens geven de financiële tabellen van dit artikelonderdeel inzicht in de jaar op jaar omvang van dit instrument, die meerjarig budgettair neutraal is. Zie ook de uitgebreidere toelichting onder 2.1, ad 4 “Verantwoorden over- en </w:t>
      </w:r>
      <w:proofErr w:type="spellStart"/>
      <w:r>
        <w:rPr>
          <w:rFonts w:ascii="Verdana" w:hAnsi="Verdana"/>
        </w:rPr>
        <w:t>onderprogrammering</w:t>
      </w:r>
      <w:proofErr w:type="spellEnd"/>
      <w:r>
        <w:rPr>
          <w:rFonts w:ascii="Verdana" w:hAnsi="Verdana"/>
        </w:rPr>
        <w:t>”.</w:t>
      </w:r>
    </w:p>
    <w:p w:rsidR="009F2ED6" w:rsidRDefault="009F2ED6" w:rsidP="009F2ED6">
      <w:pPr>
        <w:rPr>
          <w:rFonts w:ascii="Verdana" w:hAnsi="Verdana"/>
          <w:i/>
        </w:rPr>
      </w:pPr>
    </w:p>
    <w:p w:rsidR="009F2ED6" w:rsidRPr="007D5AA2" w:rsidRDefault="009F2ED6" w:rsidP="009F2ED6">
      <w:pPr>
        <w:pStyle w:val="Geenafstand"/>
        <w:rPr>
          <w:rFonts w:ascii="Verdana" w:hAnsi="Verdana"/>
          <w:i/>
          <w:sz w:val="20"/>
          <w:szCs w:val="20"/>
        </w:rPr>
      </w:pPr>
      <w:r w:rsidRPr="007D5AA2">
        <w:rPr>
          <w:rFonts w:ascii="Verdana" w:hAnsi="Verdana"/>
          <w:i/>
          <w:sz w:val="20"/>
          <w:szCs w:val="20"/>
        </w:rPr>
        <w:t>Saldo 2014</w:t>
      </w:r>
    </w:p>
    <w:p w:rsidR="009F2ED6" w:rsidRDefault="009F2ED6" w:rsidP="009F2ED6">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83,6</w:t>
      </w:r>
      <w:r w:rsidRPr="00E6290C">
        <w:rPr>
          <w:rFonts w:ascii="Verdana" w:hAnsi="Verdana"/>
        </w:rPr>
        <w:t xml:space="preserve"> miljoen </w:t>
      </w:r>
      <w:r>
        <w:rPr>
          <w:rFonts w:ascii="Verdana" w:hAnsi="Verdana"/>
        </w:rPr>
        <w:t xml:space="preserve">verhoogd </w:t>
      </w:r>
      <w:r w:rsidRPr="00E6290C">
        <w:rPr>
          <w:rFonts w:ascii="Verdana" w:hAnsi="Verdana"/>
        </w:rPr>
        <w:t xml:space="preserve">als gevolg van de technische verwerking van het saldo 2014. </w:t>
      </w:r>
      <w:r>
        <w:rPr>
          <w:rFonts w:ascii="Verdana" w:hAnsi="Verdana"/>
        </w:rPr>
        <w:t xml:space="preserve">Dit betekent dat in 2014 € 83,4 miljoen minder aan de projecten van dit artikelonderdeel is uitgegeven dan oorspronkelijk begroot. Door de verhoging in 2015 blijft de omvang van de </w:t>
      </w:r>
      <w:proofErr w:type="spellStart"/>
      <w:r>
        <w:rPr>
          <w:rFonts w:ascii="Verdana" w:hAnsi="Verdana"/>
        </w:rPr>
        <w:t>budgetten</w:t>
      </w:r>
      <w:proofErr w:type="spellEnd"/>
      <w:r>
        <w:rPr>
          <w:rFonts w:ascii="Verdana" w:hAnsi="Verdana"/>
        </w:rPr>
        <w:t xml:space="preserve"> meerjarig ongewijzigd. </w:t>
      </w:r>
    </w:p>
    <w:p w:rsidR="009F2ED6" w:rsidRDefault="009F2ED6" w:rsidP="009F2ED6">
      <w:pPr>
        <w:rPr>
          <w:rFonts w:ascii="Verdana" w:hAnsi="Verdana"/>
        </w:rPr>
      </w:pPr>
    </w:p>
    <w:p w:rsidR="009F2ED6" w:rsidRPr="00777FC9" w:rsidRDefault="009F2ED6" w:rsidP="009F2ED6">
      <w:pPr>
        <w:rPr>
          <w:rFonts w:ascii="Verdana" w:hAnsi="Verdana"/>
          <w:i/>
        </w:rPr>
      </w:pPr>
      <w:r>
        <w:rPr>
          <w:rFonts w:ascii="Verdana" w:hAnsi="Verdana"/>
          <w:i/>
        </w:rPr>
        <w:t xml:space="preserve">Kasschuif </w:t>
      </w:r>
      <w:proofErr w:type="spellStart"/>
      <w:r w:rsidRPr="00777FC9">
        <w:rPr>
          <w:rFonts w:ascii="Verdana" w:hAnsi="Verdana"/>
          <w:i/>
        </w:rPr>
        <w:t>minregel</w:t>
      </w:r>
      <w:proofErr w:type="spellEnd"/>
      <w:r w:rsidRPr="00777FC9">
        <w:rPr>
          <w:rFonts w:ascii="Verdana" w:hAnsi="Verdana"/>
          <w:i/>
        </w:rPr>
        <w:t xml:space="preserve"> 2014</w:t>
      </w:r>
    </w:p>
    <w:p w:rsidR="009F2ED6" w:rsidRDefault="009F2ED6" w:rsidP="009F2ED6">
      <w:pPr>
        <w:pStyle w:val="Geenafstand"/>
        <w:rPr>
          <w:rFonts w:ascii="Verdana" w:hAnsi="Verdana"/>
          <w:sz w:val="20"/>
          <w:szCs w:val="20"/>
        </w:rPr>
      </w:pPr>
      <w:r w:rsidRPr="007A69B1">
        <w:rPr>
          <w:rFonts w:ascii="Verdana" w:hAnsi="Verdana"/>
          <w:sz w:val="20"/>
          <w:szCs w:val="20"/>
        </w:rPr>
        <w:t xml:space="preserve">In 2014 is gebruik gemaakt van € 23,6 miljoen van de ruimte binnen de </w:t>
      </w:r>
      <w:proofErr w:type="spellStart"/>
      <w:r w:rsidRPr="007A69B1">
        <w:rPr>
          <w:rFonts w:ascii="Verdana" w:hAnsi="Verdana"/>
          <w:sz w:val="20"/>
          <w:szCs w:val="20"/>
        </w:rPr>
        <w:t>minregel</w:t>
      </w:r>
      <w:proofErr w:type="spellEnd"/>
      <w:r w:rsidRPr="007A69B1">
        <w:rPr>
          <w:rFonts w:ascii="Verdana" w:hAnsi="Verdana"/>
          <w:sz w:val="20"/>
          <w:szCs w:val="20"/>
        </w:rPr>
        <w:t xml:space="preserve"> als gevolg van de ingehouden prijsbijstelling 2013 en 2014. De afspraak is dat het kader hiervoor in het volgende jaar technisch gecorrigeerd wordt.  Hierdoor wordt het uitgavenkader van dit artikelonderdeel in 2015 met € 2</w:t>
      </w:r>
      <w:r>
        <w:rPr>
          <w:rFonts w:ascii="Verdana" w:hAnsi="Verdana"/>
          <w:sz w:val="20"/>
          <w:szCs w:val="20"/>
        </w:rPr>
        <w:t>3,6</w:t>
      </w:r>
      <w:r w:rsidRPr="007A69B1">
        <w:rPr>
          <w:rFonts w:ascii="Verdana" w:hAnsi="Verdana"/>
          <w:sz w:val="20"/>
          <w:szCs w:val="20"/>
        </w:rPr>
        <w:t xml:space="preserve"> miljoen verlaagd. </w:t>
      </w:r>
    </w:p>
    <w:p w:rsidR="009F2ED6" w:rsidRDefault="009F2ED6" w:rsidP="009F2ED6">
      <w:pPr>
        <w:pStyle w:val="Geenafstand"/>
        <w:rPr>
          <w:rFonts w:ascii="Verdana" w:hAnsi="Verdana"/>
          <w:sz w:val="20"/>
          <w:szCs w:val="20"/>
          <w:u w:val="single"/>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Ontvangsten</w:t>
      </w:r>
    </w:p>
    <w:p w:rsidR="009F2ED6" w:rsidRPr="00A91D52" w:rsidRDefault="009F2ED6" w:rsidP="009F2ED6">
      <w:pPr>
        <w:pStyle w:val="Geenafstand"/>
        <w:rPr>
          <w:rFonts w:ascii="Verdana" w:hAnsi="Verdana"/>
          <w:sz w:val="20"/>
          <w:szCs w:val="20"/>
        </w:rPr>
      </w:pPr>
      <w:r w:rsidRPr="007A69B1">
        <w:rPr>
          <w:rFonts w:ascii="Verdana" w:hAnsi="Verdana"/>
          <w:sz w:val="20"/>
          <w:szCs w:val="20"/>
        </w:rPr>
        <w:t xml:space="preserve">De begrotingstand in 2015 wordt met € 14,4 miljoen verlaagd als gevolg van de technische verwerking van het saldo 2014.  Dit saldo is ontstaan doordat </w:t>
      </w:r>
      <w:r>
        <w:rPr>
          <w:rFonts w:ascii="Verdana" w:hAnsi="Verdana"/>
          <w:sz w:val="20"/>
          <w:szCs w:val="20"/>
        </w:rPr>
        <w:t xml:space="preserve">in 2014 ontvangsten die voor 2015 waren geraamd vervroegd zijn binnengekomen Deze ontvangsten hoeven derhalve niet meer in 2015 gerealiseerd te worden. </w:t>
      </w:r>
    </w:p>
    <w:p w:rsidR="009F2ED6" w:rsidRPr="00DB444D" w:rsidRDefault="009F2ED6" w:rsidP="009F2ED6">
      <w:pPr>
        <w:pStyle w:val="Geenafstand"/>
        <w:rPr>
          <w:rFonts w:ascii="Verdana" w:hAnsi="Verdana"/>
          <w:b/>
          <w:sz w:val="20"/>
          <w:szCs w:val="20"/>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Verplichtingen</w:t>
      </w:r>
    </w:p>
    <w:p w:rsidR="009F2ED6" w:rsidRPr="002A0001" w:rsidRDefault="009F2ED6" w:rsidP="009F2ED6">
      <w:pPr>
        <w:pStyle w:val="Geenafstand"/>
        <w:rPr>
          <w:rFonts w:ascii="Verdana" w:hAnsi="Verdana"/>
          <w:bCs/>
          <w:sz w:val="20"/>
          <w:szCs w:val="20"/>
        </w:rPr>
      </w:pPr>
      <w:r w:rsidRPr="002A0001">
        <w:rPr>
          <w:rFonts w:ascii="Verdana" w:hAnsi="Verdana"/>
          <w:bCs/>
          <w:sz w:val="20"/>
          <w:szCs w:val="20"/>
        </w:rPr>
        <w:t>De verplichtingenramingen van diverse projecten zijn bijgesteld om aan te sluiten bij de actuele projectplanningen en uitgavenramingen.</w:t>
      </w:r>
      <w:r>
        <w:rPr>
          <w:rFonts w:ascii="Verdana" w:hAnsi="Verdana"/>
          <w:bCs/>
          <w:sz w:val="20"/>
          <w:szCs w:val="20"/>
        </w:rPr>
        <w:t xml:space="preserve"> Zo wordt het verplichtingenbudget voor de </w:t>
      </w:r>
      <w:proofErr w:type="spellStart"/>
      <w:r>
        <w:rPr>
          <w:rFonts w:ascii="Verdana" w:hAnsi="Verdana"/>
          <w:bCs/>
          <w:sz w:val="20"/>
          <w:szCs w:val="20"/>
        </w:rPr>
        <w:t>waterschapsprojecten</w:t>
      </w:r>
      <w:proofErr w:type="spellEnd"/>
      <w:r>
        <w:rPr>
          <w:rFonts w:ascii="Verdana" w:hAnsi="Verdana"/>
          <w:bCs/>
          <w:sz w:val="20"/>
          <w:szCs w:val="20"/>
        </w:rPr>
        <w:t xml:space="preserve"> van het HWBP-2 en </w:t>
      </w:r>
      <w:r w:rsidRPr="004C12CB">
        <w:rPr>
          <w:rFonts w:ascii="Verdana" w:hAnsi="Verdana"/>
          <w:bCs/>
          <w:sz w:val="20"/>
          <w:szCs w:val="20"/>
        </w:rPr>
        <w:t xml:space="preserve">Steenbekleding </w:t>
      </w:r>
      <w:proofErr w:type="spellStart"/>
      <w:r w:rsidRPr="004C12CB">
        <w:rPr>
          <w:rFonts w:ascii="Verdana" w:hAnsi="Verdana"/>
          <w:bCs/>
          <w:sz w:val="20"/>
          <w:szCs w:val="20"/>
        </w:rPr>
        <w:t>Wester</w:t>
      </w:r>
      <w:proofErr w:type="spellEnd"/>
      <w:r w:rsidRPr="004C12CB">
        <w:rPr>
          <w:rFonts w:ascii="Verdana" w:hAnsi="Verdana"/>
          <w:bCs/>
          <w:sz w:val="20"/>
          <w:szCs w:val="20"/>
        </w:rPr>
        <w:t>- en Oosterschelde</w:t>
      </w:r>
      <w:r>
        <w:rPr>
          <w:rFonts w:ascii="Verdana" w:hAnsi="Verdana"/>
          <w:bCs/>
          <w:sz w:val="20"/>
          <w:szCs w:val="20"/>
        </w:rPr>
        <w:t xml:space="preserve"> met respectievelijk € 381,4 miljoen en € 55,4 miljoen naar latere jaren vertraagd maar die van de Ruimte voor de Rivier en de Maaswerken juist met respectievelijk € 117,3 en € 76,6 miljoen versneld.</w:t>
      </w:r>
    </w:p>
    <w:p w:rsidR="009F2ED6" w:rsidRDefault="009F2ED6" w:rsidP="009F2ED6">
      <w:pPr>
        <w:rPr>
          <w:rFonts w:ascii="Verdana" w:hAnsi="Verdana"/>
          <w:sz w:val="18"/>
          <w:szCs w:val="18"/>
        </w:rPr>
        <w:sectPr w:rsidR="009F2ED6" w:rsidSect="009F2ED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08"/>
          <w:noEndnote/>
          <w:titlePg/>
        </w:sectPr>
      </w:pPr>
    </w:p>
    <w:p w:rsidR="009F2ED6" w:rsidRDefault="009F2ED6" w:rsidP="009F2ED6">
      <w:pPr>
        <w:rPr>
          <w:rFonts w:ascii="Verdana" w:hAnsi="Verdana"/>
          <w:b/>
        </w:rPr>
      </w:pPr>
      <w:r w:rsidRPr="00F25442">
        <w:rPr>
          <w:rFonts w:ascii="Verdana" w:hAnsi="Verdana"/>
          <w:b/>
        </w:rPr>
        <w:lastRenderedPageBreak/>
        <w:t>Artikel 2 Investeren in zoetwatervoorziening</w:t>
      </w:r>
    </w:p>
    <w:p w:rsidR="009F2ED6" w:rsidRPr="00F25442" w:rsidRDefault="009F2ED6" w:rsidP="009F2ED6">
      <w:pPr>
        <w:rPr>
          <w:rFonts w:ascii="Verdana" w:hAnsi="Verdana"/>
          <w:b/>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49DBF03C" wp14:editId="159C0E02">
            <wp:extent cx="5669280" cy="2011680"/>
            <wp:effectExtent l="19050" t="0" r="7620" b="0"/>
            <wp:docPr id="4"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4" cstate="print"/>
                    <a:srcRect/>
                    <a:stretch>
                      <a:fillRect/>
                    </a:stretch>
                  </pic:blipFill>
                  <pic:spPr bwMode="auto">
                    <a:xfrm>
                      <a:off x="0" y="0"/>
                      <a:ext cx="5669280" cy="201168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pStyle w:val="Geenafstand"/>
        <w:rPr>
          <w:rFonts w:ascii="Verdana" w:hAnsi="Verdana"/>
          <w:b/>
          <w:sz w:val="20"/>
          <w:szCs w:val="20"/>
        </w:rPr>
      </w:pPr>
      <w:r w:rsidRPr="00DB444D">
        <w:rPr>
          <w:rFonts w:ascii="Verdana" w:hAnsi="Verdana"/>
          <w:b/>
          <w:sz w:val="20"/>
          <w:szCs w:val="20"/>
        </w:rPr>
        <w:t>2.02 Overige waterinvesteringen zoetwatervoorziening</w:t>
      </w:r>
    </w:p>
    <w:p w:rsidR="009F2ED6" w:rsidRDefault="009F2ED6" w:rsidP="009F2ED6">
      <w:pPr>
        <w:pStyle w:val="Geenafstand"/>
        <w:rPr>
          <w:rFonts w:ascii="Verdana" w:hAnsi="Verdana"/>
          <w:sz w:val="20"/>
          <w:szCs w:val="20"/>
        </w:rPr>
      </w:pPr>
      <w:r>
        <w:rPr>
          <w:rFonts w:ascii="Verdana" w:hAnsi="Verdana"/>
          <w:sz w:val="20"/>
          <w:szCs w:val="20"/>
        </w:rPr>
        <w:t xml:space="preserve">Op dit artikelonderdeel vinden drie majeure mutaties plaats. Hierdoor wordt de stand tot en met 2028 met € 149,0 miljoen verhoogd. Hiervan is € 13,6 miljoen in 2015 geraamd. Het gaat met name om de toevoeging van € 145,1 miljoen voor rijksbijdragen aan het investeringsprogramma </w:t>
      </w:r>
      <w:r w:rsidRPr="00700390">
        <w:rPr>
          <w:rFonts w:ascii="Verdana" w:hAnsi="Verdana"/>
          <w:sz w:val="20"/>
          <w:szCs w:val="20"/>
        </w:rPr>
        <w:t>zoetwater</w:t>
      </w:r>
      <w:r>
        <w:rPr>
          <w:rFonts w:ascii="Verdana" w:hAnsi="Verdana"/>
          <w:sz w:val="20"/>
          <w:szCs w:val="20"/>
        </w:rPr>
        <w:t xml:space="preserve"> 2015-2021, waarvan € 1,5 miljoen in 2015, zoals opgenomen in het Deltaprogramma 2015. Het</w:t>
      </w:r>
      <w:r w:rsidRPr="00B84066">
        <w:rPr>
          <w:rFonts w:ascii="Verdana" w:hAnsi="Verdana"/>
          <w:sz w:val="20"/>
          <w:szCs w:val="20"/>
        </w:rPr>
        <w:t xml:space="preserve"> vanaf heden centraal verantwoorden van de over- en </w:t>
      </w:r>
      <w:proofErr w:type="spellStart"/>
      <w:r w:rsidRPr="00B84066">
        <w:rPr>
          <w:rFonts w:ascii="Verdana" w:hAnsi="Verdana"/>
          <w:sz w:val="20"/>
          <w:szCs w:val="20"/>
        </w:rPr>
        <w:t>onderprogrammering</w:t>
      </w:r>
      <w:r>
        <w:rPr>
          <w:rFonts w:ascii="Verdana" w:hAnsi="Verdana"/>
          <w:sz w:val="20"/>
          <w:szCs w:val="20"/>
        </w:rPr>
        <w:t>zorgt</w:t>
      </w:r>
      <w:proofErr w:type="spellEnd"/>
      <w:r>
        <w:rPr>
          <w:rFonts w:ascii="Verdana" w:hAnsi="Verdana"/>
          <w:sz w:val="20"/>
          <w:szCs w:val="20"/>
        </w:rPr>
        <w:t xml:space="preserve"> voor een verhoging van de begrotingsstand in 2015 (+ € 7,2 miljoen). Ten slotte wordt de begrotingsstand 2015 voor het saldo 2014 gecorrigeerd (+ € 5,3 miljoen).</w:t>
      </w:r>
    </w:p>
    <w:p w:rsidR="009F2ED6" w:rsidRDefault="009F2ED6" w:rsidP="009F2ED6">
      <w:pPr>
        <w:pStyle w:val="Geenafstand"/>
        <w:rPr>
          <w:rFonts w:ascii="Verdana" w:hAnsi="Verdana"/>
          <w:sz w:val="20"/>
          <w:szCs w:val="20"/>
        </w:rPr>
      </w:pPr>
    </w:p>
    <w:p w:rsidR="009F2ED6" w:rsidRPr="007D5AA2" w:rsidRDefault="009F2ED6" w:rsidP="009F2ED6">
      <w:pPr>
        <w:pStyle w:val="Geenafstand"/>
        <w:rPr>
          <w:rFonts w:ascii="Verdana" w:hAnsi="Verdana"/>
          <w:i/>
          <w:sz w:val="20"/>
          <w:szCs w:val="20"/>
        </w:rPr>
      </w:pPr>
      <w:r w:rsidRPr="007D5AA2">
        <w:rPr>
          <w:rFonts w:ascii="Verdana" w:hAnsi="Verdana"/>
          <w:i/>
          <w:sz w:val="20"/>
          <w:szCs w:val="20"/>
        </w:rPr>
        <w:t>Zoetwatermaatregelen van nationaal belang</w:t>
      </w:r>
    </w:p>
    <w:p w:rsidR="009F2ED6" w:rsidRPr="00CA70D9" w:rsidRDefault="009F2ED6" w:rsidP="009F2ED6">
      <w:pPr>
        <w:pStyle w:val="Geenafstand"/>
        <w:rPr>
          <w:rFonts w:ascii="Verdana" w:hAnsi="Verdana"/>
          <w:sz w:val="20"/>
          <w:szCs w:val="20"/>
        </w:rPr>
      </w:pPr>
      <w:r w:rsidRPr="00700390">
        <w:rPr>
          <w:rFonts w:ascii="Verdana" w:hAnsi="Verdana"/>
          <w:sz w:val="20"/>
          <w:szCs w:val="20"/>
        </w:rPr>
        <w:t>Deze maatregelen hebben als doel huidige knelpunten in de zoetwatervoorziening te verminderen en Nederland voor te bereiden op de mogelijke gevolgen van klimaatverandering. Hiertoe wordt € 145</w:t>
      </w:r>
      <w:r>
        <w:rPr>
          <w:rFonts w:ascii="Verdana" w:hAnsi="Verdana"/>
          <w:sz w:val="20"/>
          <w:szCs w:val="20"/>
        </w:rPr>
        <w:t>,1</w:t>
      </w:r>
      <w:r w:rsidRPr="00700390">
        <w:rPr>
          <w:rFonts w:ascii="Verdana" w:hAnsi="Verdana"/>
          <w:sz w:val="20"/>
          <w:szCs w:val="20"/>
        </w:rPr>
        <w:t xml:space="preserve"> </w:t>
      </w:r>
      <w:proofErr w:type="spellStart"/>
      <w:r w:rsidRPr="00700390">
        <w:rPr>
          <w:rFonts w:ascii="Verdana" w:hAnsi="Verdana"/>
          <w:sz w:val="20"/>
          <w:szCs w:val="20"/>
        </w:rPr>
        <w:t>mln</w:t>
      </w:r>
      <w:proofErr w:type="spellEnd"/>
      <w:r w:rsidRPr="00700390">
        <w:rPr>
          <w:rFonts w:ascii="Verdana" w:hAnsi="Verdana"/>
          <w:sz w:val="20"/>
          <w:szCs w:val="20"/>
        </w:rPr>
        <w:t xml:space="preserve"> van</w:t>
      </w:r>
      <w:r>
        <w:rPr>
          <w:rFonts w:ascii="Verdana" w:hAnsi="Verdana"/>
          <w:sz w:val="20"/>
          <w:szCs w:val="20"/>
        </w:rPr>
        <w:t>uit</w:t>
      </w:r>
      <w:r w:rsidRPr="00700390">
        <w:rPr>
          <w:rFonts w:ascii="Verdana" w:hAnsi="Verdana"/>
          <w:sz w:val="20"/>
          <w:szCs w:val="20"/>
        </w:rPr>
        <w:t xml:space="preserve"> de </w:t>
      </w:r>
      <w:r>
        <w:rPr>
          <w:rFonts w:ascii="Verdana" w:hAnsi="Verdana"/>
          <w:sz w:val="20"/>
          <w:szCs w:val="20"/>
        </w:rPr>
        <w:t>investerings</w:t>
      </w:r>
      <w:r w:rsidRPr="00700390">
        <w:rPr>
          <w:rFonts w:ascii="Verdana" w:hAnsi="Verdana"/>
          <w:sz w:val="20"/>
          <w:szCs w:val="20"/>
        </w:rPr>
        <w:t xml:space="preserve">ruimte (artikel 5) aan artikelonderdeel 2.02 (“waterinvesteringen zoetwater-voorziening”) toegevoegd. </w:t>
      </w:r>
      <w:r w:rsidRPr="007A69B1">
        <w:rPr>
          <w:rFonts w:ascii="Verdana" w:hAnsi="Verdana"/>
          <w:sz w:val="20"/>
          <w:szCs w:val="20"/>
        </w:rPr>
        <w:t xml:space="preserve">In de tabel budgettaire gevolgen van beleid bij dit beleidsartikel is in regel 2.02.02 realisatieprogramma zoetwatervoorziening een bedrag van 42,6 </w:t>
      </w:r>
      <w:proofErr w:type="spellStart"/>
      <w:r w:rsidRPr="007A69B1">
        <w:rPr>
          <w:rFonts w:ascii="Verdana" w:hAnsi="Verdana"/>
          <w:sz w:val="20"/>
          <w:szCs w:val="20"/>
        </w:rPr>
        <w:t>mln</w:t>
      </w:r>
      <w:proofErr w:type="spellEnd"/>
      <w:r w:rsidRPr="007A69B1">
        <w:rPr>
          <w:rFonts w:ascii="Verdana" w:hAnsi="Verdana"/>
          <w:sz w:val="20"/>
          <w:szCs w:val="20"/>
        </w:rPr>
        <w:t xml:space="preserve"> euro aan </w:t>
      </w:r>
      <w:r>
        <w:rPr>
          <w:rFonts w:ascii="Verdana" w:hAnsi="Verdana"/>
          <w:sz w:val="20"/>
          <w:szCs w:val="20"/>
        </w:rPr>
        <w:t xml:space="preserve">(incidentele) </w:t>
      </w:r>
      <w:r w:rsidRPr="007A69B1">
        <w:rPr>
          <w:rFonts w:ascii="Verdana" w:hAnsi="Verdana"/>
          <w:sz w:val="20"/>
          <w:szCs w:val="20"/>
        </w:rPr>
        <w:t>subsidieverplichtingen opgenomen voor de periode 2015 – 2021. De bedragen hebben betrekking op de mogelijke verlening van subsidies aan de volgende waterschappen:, Hollandse Delta, Delfland</w:t>
      </w:r>
      <w:r>
        <w:rPr>
          <w:rFonts w:ascii="Verdana" w:hAnsi="Verdana"/>
          <w:sz w:val="20"/>
          <w:szCs w:val="20"/>
        </w:rPr>
        <w:t>,</w:t>
      </w:r>
      <w:r w:rsidRPr="007A69B1">
        <w:rPr>
          <w:rFonts w:ascii="Verdana" w:hAnsi="Verdana"/>
          <w:sz w:val="20"/>
          <w:szCs w:val="20"/>
        </w:rPr>
        <w:t xml:space="preserve"> Rivierenland</w:t>
      </w:r>
      <w:r>
        <w:rPr>
          <w:rFonts w:ascii="Verdana" w:hAnsi="Verdana"/>
          <w:sz w:val="20"/>
          <w:szCs w:val="20"/>
        </w:rPr>
        <w:t xml:space="preserve"> en het Hoogheemraadschap De </w:t>
      </w:r>
      <w:proofErr w:type="spellStart"/>
      <w:r w:rsidRPr="007A69B1">
        <w:rPr>
          <w:rFonts w:ascii="Verdana" w:hAnsi="Verdana"/>
          <w:sz w:val="20"/>
          <w:szCs w:val="20"/>
        </w:rPr>
        <w:t>Stichtse</w:t>
      </w:r>
      <w:proofErr w:type="spellEnd"/>
      <w:r w:rsidRPr="007A69B1">
        <w:rPr>
          <w:rFonts w:ascii="Verdana" w:hAnsi="Verdana"/>
          <w:sz w:val="20"/>
          <w:szCs w:val="20"/>
        </w:rPr>
        <w:t xml:space="preserve"> Rijnlanden. Deze begrotingsvermelding vormt de wettelijke grondslag voor de hier bedoelde subsidieverlening(en) als bedoeld in artikel 4:23, derde lid, onder c, van de Algemene Wet Bestuursrecht. </w:t>
      </w:r>
    </w:p>
    <w:p w:rsidR="009F2ED6" w:rsidRPr="00CA70D9" w:rsidRDefault="009F2ED6" w:rsidP="009F2ED6">
      <w:pPr>
        <w:pStyle w:val="Geenafstand"/>
        <w:rPr>
          <w:rFonts w:ascii="Verdana" w:hAnsi="Verdana"/>
          <w:sz w:val="20"/>
          <w:szCs w:val="20"/>
        </w:rPr>
      </w:pPr>
      <w:proofErr w:type="spellStart"/>
      <w:r w:rsidRPr="007A69B1">
        <w:rPr>
          <w:rFonts w:ascii="Verdana" w:hAnsi="Verdana"/>
          <w:sz w:val="20"/>
          <w:szCs w:val="20"/>
        </w:rPr>
        <w:t>IenM</w:t>
      </w:r>
      <w:proofErr w:type="spellEnd"/>
      <w:r w:rsidRPr="007A69B1">
        <w:rPr>
          <w:rFonts w:ascii="Verdana" w:hAnsi="Verdana"/>
          <w:sz w:val="20"/>
          <w:szCs w:val="20"/>
        </w:rPr>
        <w:t xml:space="preserve"> boekt in de periode 2015 - 2021 een bedrag van in totaal </w:t>
      </w:r>
      <w:r>
        <w:rPr>
          <w:rFonts w:ascii="Verdana" w:hAnsi="Verdana"/>
          <w:sz w:val="20"/>
          <w:szCs w:val="20"/>
        </w:rPr>
        <w:t xml:space="preserve">€ </w:t>
      </w:r>
      <w:r w:rsidRPr="007A69B1">
        <w:rPr>
          <w:rFonts w:ascii="Verdana" w:hAnsi="Verdana"/>
          <w:sz w:val="20"/>
          <w:szCs w:val="20"/>
        </w:rPr>
        <w:t xml:space="preserve">62,2 </w:t>
      </w:r>
      <w:r>
        <w:rPr>
          <w:rFonts w:ascii="Verdana" w:hAnsi="Verdana"/>
          <w:sz w:val="20"/>
          <w:szCs w:val="20"/>
        </w:rPr>
        <w:t>miljoen</w:t>
      </w:r>
      <w:r w:rsidRPr="007A69B1">
        <w:rPr>
          <w:rFonts w:ascii="Verdana" w:hAnsi="Verdana"/>
          <w:sz w:val="20"/>
          <w:szCs w:val="20"/>
        </w:rPr>
        <w:t xml:space="preserve"> over naar het Provinciefonds voor het nemen van zoetwatermaatregelen. Deze zoetwatermaatregelen van nationaal belang zijn opgenomen in het Deltaplan Zoetwater, onderdeel van het Deltaprogramma 2015. </w:t>
      </w:r>
    </w:p>
    <w:p w:rsidR="009F2ED6" w:rsidRDefault="009F2ED6" w:rsidP="009F2ED6">
      <w:pPr>
        <w:pStyle w:val="Geenafstand"/>
        <w:rPr>
          <w:rFonts w:ascii="Verdana" w:hAnsi="Verdana"/>
          <w:b/>
          <w:sz w:val="20"/>
          <w:szCs w:val="20"/>
        </w:rPr>
      </w:pPr>
    </w:p>
    <w:p w:rsidR="009F2ED6" w:rsidRPr="005F6A91" w:rsidRDefault="009F2ED6" w:rsidP="009F2ED6">
      <w:pPr>
        <w:pStyle w:val="Geenafstand"/>
        <w:rPr>
          <w:rFonts w:ascii="Verdana" w:hAnsi="Verdana"/>
          <w:i/>
          <w:sz w:val="20"/>
          <w:szCs w:val="20"/>
        </w:rPr>
      </w:pPr>
      <w:r w:rsidRPr="005F6A91">
        <w:rPr>
          <w:rFonts w:ascii="Verdana" w:hAnsi="Verdana"/>
          <w:i/>
          <w:sz w:val="20"/>
          <w:szCs w:val="20"/>
        </w:rPr>
        <w:t xml:space="preserve">Verantwoorden van over- en </w:t>
      </w:r>
      <w:proofErr w:type="spellStart"/>
      <w:r w:rsidRPr="005F6A91">
        <w:rPr>
          <w:rFonts w:ascii="Verdana" w:hAnsi="Verdana"/>
          <w:i/>
          <w:sz w:val="20"/>
          <w:szCs w:val="20"/>
        </w:rPr>
        <w:t>onderprogrammering</w:t>
      </w:r>
      <w:proofErr w:type="spellEnd"/>
      <w:r w:rsidRPr="005F6A91">
        <w:rPr>
          <w:rFonts w:ascii="Verdana" w:hAnsi="Verdana"/>
          <w:i/>
          <w:sz w:val="20"/>
          <w:szCs w:val="20"/>
        </w:rPr>
        <w:t xml:space="preserve"> </w:t>
      </w:r>
    </w:p>
    <w:p w:rsidR="009F2ED6" w:rsidRDefault="009F2ED6" w:rsidP="009F2ED6">
      <w:pPr>
        <w:pStyle w:val="Geenafstand"/>
        <w:rPr>
          <w:rFonts w:ascii="Verdana" w:eastAsia="Times New Roman" w:hAnsi="Verdana"/>
          <w:sz w:val="20"/>
          <w:szCs w:val="20"/>
          <w:lang w:eastAsia="nl-NL"/>
        </w:rPr>
      </w:pPr>
      <w:r>
        <w:rPr>
          <w:rFonts w:ascii="Verdana" w:eastAsia="Times New Roman" w:hAnsi="Verdana"/>
          <w:sz w:val="20"/>
          <w:szCs w:val="20"/>
          <w:lang w:eastAsia="nl-NL"/>
        </w:rPr>
        <w:t xml:space="preserve">De meerjarige onder- en </w:t>
      </w:r>
      <w:proofErr w:type="spellStart"/>
      <w:r>
        <w:rPr>
          <w:rFonts w:ascii="Verdana" w:eastAsia="Times New Roman" w:hAnsi="Verdana"/>
          <w:sz w:val="20"/>
          <w:szCs w:val="20"/>
          <w:lang w:eastAsia="nl-NL"/>
        </w:rPr>
        <w:t>overprogammering</w:t>
      </w:r>
      <w:proofErr w:type="spellEnd"/>
      <w:r>
        <w:rPr>
          <w:rFonts w:ascii="Verdana" w:eastAsia="Times New Roman" w:hAnsi="Verdana"/>
          <w:sz w:val="20"/>
          <w:szCs w:val="20"/>
          <w:lang w:eastAsia="nl-NL"/>
        </w:rPr>
        <w:t xml:space="preserve"> van dit artikelonderdeel is naar artikelonderdeel 1.02 Overige aanlegprojecten Waterveiligheid verplaatst. Dit betekent dat vanaf heden budget en programmering op dit artikelonderdeel in alle jaren met elkaar in overeenstemming zijn. Voor het jaar 2015 betekent dit dat de begrotingstand met € 7,2 </w:t>
      </w:r>
      <w:proofErr w:type="spellStart"/>
      <w:r>
        <w:rPr>
          <w:rFonts w:ascii="Verdana" w:eastAsia="Times New Roman" w:hAnsi="Verdana"/>
          <w:sz w:val="20"/>
          <w:szCs w:val="20"/>
          <w:lang w:eastAsia="nl-NL"/>
        </w:rPr>
        <w:t>mln</w:t>
      </w:r>
      <w:proofErr w:type="spellEnd"/>
      <w:r>
        <w:rPr>
          <w:rFonts w:ascii="Verdana" w:eastAsia="Times New Roman" w:hAnsi="Verdana"/>
          <w:sz w:val="20"/>
          <w:szCs w:val="20"/>
          <w:lang w:eastAsia="nl-NL"/>
        </w:rPr>
        <w:t xml:space="preserve"> wordt verhoogd, in de jaren die daarop volgen wordt het budget verlaagd. Zie ook de uitgebreidere toelichting onder 2.1, ad 4 “Verantwoorden over- en </w:t>
      </w:r>
      <w:proofErr w:type="spellStart"/>
      <w:r>
        <w:rPr>
          <w:rFonts w:ascii="Verdana" w:eastAsia="Times New Roman" w:hAnsi="Verdana"/>
          <w:sz w:val="20"/>
          <w:szCs w:val="20"/>
          <w:lang w:eastAsia="nl-NL"/>
        </w:rPr>
        <w:t>onderprogrammering</w:t>
      </w:r>
      <w:proofErr w:type="spellEnd"/>
      <w:r>
        <w:rPr>
          <w:rFonts w:ascii="Verdana" w:eastAsia="Times New Roman" w:hAnsi="Verdana"/>
          <w:sz w:val="20"/>
          <w:szCs w:val="20"/>
          <w:lang w:eastAsia="nl-NL"/>
        </w:rPr>
        <w:t>”.</w:t>
      </w:r>
    </w:p>
    <w:p w:rsidR="009F2ED6" w:rsidRDefault="009F2ED6" w:rsidP="009F2ED6">
      <w:pPr>
        <w:rPr>
          <w:rFonts w:ascii="Verdana" w:hAnsi="Verdana"/>
        </w:rPr>
      </w:pPr>
    </w:p>
    <w:p w:rsidR="009F2ED6" w:rsidRPr="00825D0B" w:rsidRDefault="009F2ED6" w:rsidP="009F2ED6">
      <w:pPr>
        <w:rPr>
          <w:rFonts w:ascii="Verdana" w:hAnsi="Verdana"/>
          <w:i/>
        </w:rPr>
      </w:pPr>
      <w:r w:rsidRPr="00825D0B">
        <w:rPr>
          <w:rFonts w:ascii="Verdana" w:hAnsi="Verdana"/>
          <w:i/>
        </w:rPr>
        <w:t>Saldo 2014</w:t>
      </w:r>
    </w:p>
    <w:p w:rsidR="009F2ED6" w:rsidRDefault="009F2ED6" w:rsidP="009F2ED6">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5</w:t>
      </w:r>
      <w:r w:rsidRPr="00E6290C">
        <w:rPr>
          <w:rFonts w:ascii="Verdana" w:hAnsi="Verdana"/>
        </w:rPr>
        <w:t>,</w:t>
      </w:r>
      <w:r>
        <w:rPr>
          <w:rFonts w:ascii="Verdana" w:hAnsi="Verdana"/>
        </w:rPr>
        <w:t>4</w:t>
      </w:r>
      <w:r w:rsidRPr="00E6290C">
        <w:rPr>
          <w:rFonts w:ascii="Verdana" w:hAnsi="Verdana"/>
        </w:rPr>
        <w:t xml:space="preserve"> miljoen </w:t>
      </w:r>
      <w:r>
        <w:rPr>
          <w:rFonts w:ascii="Verdana" w:hAnsi="Verdana"/>
        </w:rPr>
        <w:t>verhoogd a</w:t>
      </w:r>
      <w:r w:rsidRPr="00E6290C">
        <w:rPr>
          <w:rFonts w:ascii="Verdana" w:hAnsi="Verdana"/>
        </w:rPr>
        <w:t xml:space="preserve">ls gevolg van de technische verwerking van het saldo 2014. </w:t>
      </w:r>
      <w:r>
        <w:rPr>
          <w:rFonts w:ascii="Verdana" w:hAnsi="Verdana"/>
        </w:rPr>
        <w:t xml:space="preserve">Dit betekent dat in 2014 € 5,4 miljoen minder aan de projecten van dit artikelonderdeel is uitgegeven dan oorspronkelijk begroot (het </w:t>
      </w:r>
      <w:r>
        <w:rPr>
          <w:rFonts w:ascii="Verdana" w:hAnsi="Verdana"/>
        </w:rPr>
        <w:lastRenderedPageBreak/>
        <w:t xml:space="preserve">gaat met name om Innovatie KRW, die in 2014 € 5,0 miljoen minder dan begroot uitgaf). Door de verhoging in 2015 blijft de </w:t>
      </w:r>
      <w:proofErr w:type="spellStart"/>
      <w:r>
        <w:rPr>
          <w:rFonts w:ascii="Verdana" w:hAnsi="Verdana"/>
        </w:rPr>
        <w:t>de</w:t>
      </w:r>
      <w:proofErr w:type="spellEnd"/>
      <w:r>
        <w:rPr>
          <w:rFonts w:ascii="Verdana" w:hAnsi="Verdana"/>
        </w:rPr>
        <w:t xml:space="preserve"> omvang van de </w:t>
      </w:r>
      <w:proofErr w:type="spellStart"/>
      <w:r>
        <w:rPr>
          <w:rFonts w:ascii="Verdana" w:hAnsi="Verdana"/>
        </w:rPr>
        <w:t>budgetten</w:t>
      </w:r>
      <w:proofErr w:type="spellEnd"/>
      <w:r>
        <w:rPr>
          <w:rFonts w:ascii="Verdana" w:hAnsi="Verdana"/>
        </w:rPr>
        <w:t xml:space="preserve"> meerjarig ongewijzigd. </w:t>
      </w:r>
    </w:p>
    <w:p w:rsidR="009F2ED6" w:rsidRDefault="009F2ED6" w:rsidP="009F2ED6">
      <w:pPr>
        <w:rPr>
          <w:rFonts w:ascii="Verdana" w:hAnsi="Verdana"/>
        </w:rPr>
      </w:pPr>
    </w:p>
    <w:p w:rsidR="009F2ED6" w:rsidRDefault="009F2ED6" w:rsidP="009F2ED6">
      <w:pPr>
        <w:pStyle w:val="Geenafstand"/>
        <w:rPr>
          <w:rFonts w:ascii="Verdana" w:hAnsi="Verdana"/>
          <w:b/>
          <w:sz w:val="20"/>
          <w:szCs w:val="20"/>
        </w:rPr>
      </w:pPr>
      <w:r>
        <w:rPr>
          <w:rFonts w:ascii="Verdana" w:hAnsi="Verdana"/>
          <w:b/>
          <w:sz w:val="20"/>
          <w:szCs w:val="20"/>
        </w:rPr>
        <w:t>Verplichtingen</w:t>
      </w:r>
    </w:p>
    <w:p w:rsidR="009F2ED6" w:rsidRDefault="009F2ED6" w:rsidP="009F2ED6">
      <w:pPr>
        <w:rPr>
          <w:color w:val="5F497A"/>
          <w:sz w:val="22"/>
          <w:szCs w:val="22"/>
        </w:rPr>
      </w:pPr>
      <w:r>
        <w:rPr>
          <w:rFonts w:ascii="Verdana" w:hAnsi="Verdana"/>
        </w:rPr>
        <w:t xml:space="preserve">De verlaging met € 3,0 miljoen van het verplichtingenbudget wordt met name verklaard doordat </w:t>
      </w:r>
      <w:r w:rsidRPr="00C93F26">
        <w:rPr>
          <w:rFonts w:ascii="Verdana" w:hAnsi="Verdana"/>
        </w:rPr>
        <w:t xml:space="preserve">het project Luwtemaatregelen </w:t>
      </w:r>
      <w:proofErr w:type="spellStart"/>
      <w:r w:rsidRPr="00C93F26">
        <w:rPr>
          <w:rFonts w:ascii="Verdana" w:hAnsi="Verdana"/>
        </w:rPr>
        <w:t>Hoornse</w:t>
      </w:r>
      <w:proofErr w:type="spellEnd"/>
      <w:r w:rsidRPr="00C93F26">
        <w:rPr>
          <w:rFonts w:ascii="Verdana" w:hAnsi="Verdana"/>
        </w:rPr>
        <w:t xml:space="preserve"> Hop € 4,6 miljoen aan verplichtingen naar latere jaren versch</w:t>
      </w:r>
      <w:r>
        <w:rPr>
          <w:rFonts w:ascii="Verdana" w:hAnsi="Verdana"/>
        </w:rPr>
        <w:t xml:space="preserve">uift </w:t>
      </w:r>
      <w:r w:rsidRPr="00B84066">
        <w:rPr>
          <w:rFonts w:ascii="Verdana" w:hAnsi="Verdana"/>
        </w:rPr>
        <w:t xml:space="preserve">als gevolg van vertraging in de </w:t>
      </w:r>
      <w:proofErr w:type="spellStart"/>
      <w:r w:rsidRPr="00B84066">
        <w:rPr>
          <w:rFonts w:ascii="Verdana" w:hAnsi="Verdana"/>
        </w:rPr>
        <w:t>planuitwerkingsfase</w:t>
      </w:r>
      <w:proofErr w:type="spellEnd"/>
      <w:r w:rsidRPr="00B84066">
        <w:rPr>
          <w:rFonts w:ascii="Verdana" w:hAnsi="Verdana"/>
        </w:rPr>
        <w:t xml:space="preserve"> van dit project.</w:t>
      </w:r>
      <w:r>
        <w:rPr>
          <w:color w:val="5F497A"/>
        </w:rPr>
        <w:t xml:space="preserve"> </w:t>
      </w:r>
    </w:p>
    <w:p w:rsidR="009F2ED6" w:rsidRPr="00C93F26" w:rsidRDefault="009F2ED6" w:rsidP="009F2ED6">
      <w:pPr>
        <w:pStyle w:val="Geenafstand"/>
        <w:rPr>
          <w:rFonts w:ascii="Verdana" w:hAnsi="Verdana"/>
        </w:rPr>
      </w:pPr>
      <w:r>
        <w:rPr>
          <w:rFonts w:ascii="Verdana" w:hAnsi="Verdana"/>
          <w:sz w:val="20"/>
          <w:szCs w:val="20"/>
        </w:rPr>
        <w:t xml:space="preserve"> Vanwege de toevoeging</w:t>
      </w:r>
      <w:r w:rsidRPr="00C93F26">
        <w:rPr>
          <w:rFonts w:ascii="Verdana" w:hAnsi="Verdana"/>
          <w:sz w:val="20"/>
          <w:szCs w:val="20"/>
        </w:rPr>
        <w:t xml:space="preserve"> </w:t>
      </w:r>
      <w:r>
        <w:rPr>
          <w:rFonts w:ascii="Verdana" w:hAnsi="Verdana"/>
          <w:sz w:val="20"/>
          <w:szCs w:val="20"/>
        </w:rPr>
        <w:t>van € 145 miljoen ten behoeve van de rijksbijdrage aan het investeringsprogramma zoetwater 2015-2021  wordt het verplichtingenbudget in de periode 2015-2028 ook met deze omvang verhoogd, waarvan € 1,5 miljoen in 2015.</w:t>
      </w:r>
    </w:p>
    <w:p w:rsidR="009F2ED6" w:rsidRPr="00F25442" w:rsidRDefault="009F2ED6" w:rsidP="009F2ED6">
      <w:pPr>
        <w:pStyle w:val="Geenafstand"/>
        <w:ind w:left="360"/>
        <w:rPr>
          <w:rFonts w:ascii="Verdana" w:hAnsi="Verdana"/>
          <w:b/>
          <w:sz w:val="20"/>
          <w:szCs w:val="20"/>
        </w:rPr>
      </w:pPr>
      <w:r>
        <w:rPr>
          <w:rFonts w:ascii="Verdana" w:hAnsi="Verdana"/>
          <w:b/>
          <w:sz w:val="20"/>
          <w:szCs w:val="20"/>
        </w:rPr>
        <w:br w:type="page"/>
      </w:r>
      <w:r w:rsidRPr="00F25442">
        <w:rPr>
          <w:rFonts w:ascii="Verdana" w:hAnsi="Verdana"/>
          <w:b/>
          <w:sz w:val="20"/>
          <w:szCs w:val="20"/>
        </w:rPr>
        <w:lastRenderedPageBreak/>
        <w:t>Artikel 3 Beheer, onderhoud en vervanging</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0FC1F3A9" wp14:editId="1EAD4E2D">
            <wp:extent cx="5756910" cy="1836420"/>
            <wp:effectExtent l="1905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5" cstate="print"/>
                    <a:srcRect/>
                    <a:stretch>
                      <a:fillRect/>
                    </a:stretch>
                  </pic:blipFill>
                  <pic:spPr bwMode="auto">
                    <a:xfrm>
                      <a:off x="0" y="0"/>
                      <a:ext cx="5756910" cy="183642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pStyle w:val="Geenafstand"/>
        <w:rPr>
          <w:rFonts w:ascii="Verdana" w:hAnsi="Verdana"/>
          <w:sz w:val="20"/>
          <w:szCs w:val="20"/>
          <w:u w:val="single"/>
        </w:rPr>
      </w:pPr>
      <w:r w:rsidRPr="00DB444D">
        <w:rPr>
          <w:rFonts w:ascii="Verdana" w:hAnsi="Verdana"/>
          <w:b/>
          <w:sz w:val="20"/>
          <w:szCs w:val="20"/>
        </w:rPr>
        <w:t>3.02 Beheer en Onderhoud</w:t>
      </w:r>
      <w:r>
        <w:rPr>
          <w:rFonts w:ascii="Verdana" w:hAnsi="Verdana"/>
        </w:rPr>
        <w:br/>
      </w:r>
      <w:r w:rsidRPr="00A928AA">
        <w:rPr>
          <w:rFonts w:ascii="Verdana" w:hAnsi="Verdana"/>
          <w:sz w:val="20"/>
          <w:szCs w:val="20"/>
        </w:rPr>
        <w:t xml:space="preserve">Op dit artikelonderdeel zorgen </w:t>
      </w:r>
      <w:r>
        <w:rPr>
          <w:rFonts w:ascii="Verdana" w:hAnsi="Verdana"/>
          <w:sz w:val="20"/>
          <w:szCs w:val="20"/>
        </w:rPr>
        <w:t>drie</w:t>
      </w:r>
      <w:r w:rsidRPr="00A928AA">
        <w:rPr>
          <w:rFonts w:ascii="Verdana" w:hAnsi="Verdana"/>
          <w:sz w:val="20"/>
          <w:szCs w:val="20"/>
        </w:rPr>
        <w:t xml:space="preserve"> mutatie voor een ver</w:t>
      </w:r>
      <w:r>
        <w:rPr>
          <w:rFonts w:ascii="Verdana" w:hAnsi="Verdana"/>
          <w:sz w:val="20"/>
          <w:szCs w:val="20"/>
        </w:rPr>
        <w:t>laging</w:t>
      </w:r>
      <w:r w:rsidRPr="00A928AA">
        <w:rPr>
          <w:rFonts w:ascii="Verdana" w:hAnsi="Verdana"/>
          <w:sz w:val="20"/>
          <w:szCs w:val="20"/>
        </w:rPr>
        <w:t xml:space="preserve"> van de stand met € </w:t>
      </w:r>
      <w:r>
        <w:rPr>
          <w:rFonts w:ascii="Verdana" w:hAnsi="Verdana"/>
          <w:sz w:val="20"/>
          <w:szCs w:val="20"/>
        </w:rPr>
        <w:t>22,7</w:t>
      </w:r>
      <w:r w:rsidRPr="00A928AA">
        <w:rPr>
          <w:rFonts w:ascii="Verdana" w:hAnsi="Verdana"/>
          <w:sz w:val="20"/>
          <w:szCs w:val="20"/>
        </w:rPr>
        <w:t xml:space="preserve"> miljoen. Dit komt </w:t>
      </w:r>
      <w:r>
        <w:rPr>
          <w:rFonts w:ascii="Verdana" w:hAnsi="Verdana"/>
          <w:sz w:val="20"/>
          <w:szCs w:val="20"/>
        </w:rPr>
        <w:t xml:space="preserve">door het vanaf heden centraal verantwoorden van de over- en </w:t>
      </w:r>
      <w:proofErr w:type="spellStart"/>
      <w:r>
        <w:rPr>
          <w:rFonts w:ascii="Verdana" w:hAnsi="Verdana"/>
          <w:sz w:val="20"/>
          <w:szCs w:val="20"/>
        </w:rPr>
        <w:t>overprogrammering</w:t>
      </w:r>
      <w:proofErr w:type="spellEnd"/>
      <w:r>
        <w:rPr>
          <w:rFonts w:ascii="Verdana" w:hAnsi="Verdana"/>
          <w:sz w:val="20"/>
          <w:szCs w:val="20"/>
        </w:rPr>
        <w:t xml:space="preserve"> (- € 33,1 miljoen), de verwerking van </w:t>
      </w:r>
      <w:r w:rsidRPr="00A928AA">
        <w:rPr>
          <w:rFonts w:ascii="Verdana" w:hAnsi="Verdana"/>
          <w:sz w:val="20"/>
          <w:szCs w:val="20"/>
        </w:rPr>
        <w:t>het saldo 2014 (</w:t>
      </w:r>
      <w:r>
        <w:rPr>
          <w:rFonts w:ascii="Verdana" w:hAnsi="Verdana"/>
          <w:sz w:val="20"/>
          <w:szCs w:val="20"/>
        </w:rPr>
        <w:t>€</w:t>
      </w:r>
      <w:r w:rsidRPr="00A928AA">
        <w:rPr>
          <w:rFonts w:ascii="Verdana" w:hAnsi="Verdana"/>
          <w:sz w:val="20"/>
          <w:szCs w:val="20"/>
        </w:rPr>
        <w:t xml:space="preserve"> 12, 4 miljoen) en doordat het begroot </w:t>
      </w:r>
      <w:r>
        <w:rPr>
          <w:rFonts w:ascii="Verdana" w:hAnsi="Verdana"/>
          <w:sz w:val="20"/>
          <w:szCs w:val="20"/>
        </w:rPr>
        <w:t>budget voor de Dienst Landelijk G</w:t>
      </w:r>
      <w:r w:rsidRPr="00A928AA">
        <w:rPr>
          <w:rFonts w:ascii="Verdana" w:hAnsi="Verdana"/>
          <w:sz w:val="20"/>
          <w:szCs w:val="20"/>
        </w:rPr>
        <w:t>ebied voortaan op een andere plek in de begroting verantwoord</w:t>
      </w:r>
      <w:r>
        <w:rPr>
          <w:rFonts w:ascii="Verdana" w:hAnsi="Verdana"/>
          <w:sz w:val="20"/>
          <w:szCs w:val="20"/>
        </w:rPr>
        <w:t xml:space="preserve"> </w:t>
      </w:r>
      <w:r w:rsidRPr="00A928AA">
        <w:rPr>
          <w:rFonts w:ascii="Verdana" w:hAnsi="Verdana"/>
          <w:sz w:val="20"/>
          <w:szCs w:val="20"/>
        </w:rPr>
        <w:t xml:space="preserve">wordt </w:t>
      </w:r>
      <w:r>
        <w:rPr>
          <w:rFonts w:ascii="Verdana" w:hAnsi="Verdana"/>
          <w:sz w:val="20"/>
          <w:szCs w:val="20"/>
        </w:rPr>
        <w:t>(- € 2,0 miljoen)</w:t>
      </w:r>
      <w:r w:rsidRPr="00A928AA">
        <w:rPr>
          <w:rFonts w:ascii="Verdana" w:hAnsi="Verdana"/>
          <w:sz w:val="20"/>
          <w:szCs w:val="20"/>
        </w:rPr>
        <w:t>.</w:t>
      </w:r>
      <w:r>
        <w:rPr>
          <w:rFonts w:ascii="Verdana" w:hAnsi="Verdana"/>
          <w:sz w:val="20"/>
          <w:szCs w:val="20"/>
        </w:rPr>
        <w:t xml:space="preserve"> </w:t>
      </w:r>
    </w:p>
    <w:p w:rsidR="009F2ED6" w:rsidRPr="005F21F0" w:rsidRDefault="009F2ED6" w:rsidP="009F2ED6">
      <w:pPr>
        <w:rPr>
          <w:rFonts w:ascii="Verdana" w:hAnsi="Verdana"/>
          <w:i/>
        </w:rPr>
      </w:pPr>
      <w:r>
        <w:rPr>
          <w:rFonts w:ascii="Verdana" w:hAnsi="Verdana"/>
          <w:i/>
        </w:rPr>
        <w:t xml:space="preserve">Verantwoorden over- en </w:t>
      </w:r>
      <w:proofErr w:type="spellStart"/>
      <w:r>
        <w:rPr>
          <w:rFonts w:ascii="Verdana" w:hAnsi="Verdana"/>
          <w:i/>
        </w:rPr>
        <w:t>onderprogrammering</w:t>
      </w:r>
      <w:proofErr w:type="spellEnd"/>
      <w:r>
        <w:rPr>
          <w:rFonts w:ascii="Verdana" w:hAnsi="Verdana"/>
          <w:i/>
        </w:rPr>
        <w:t xml:space="preserve"> </w:t>
      </w:r>
    </w:p>
    <w:p w:rsidR="009F2ED6" w:rsidRDefault="009F2ED6" w:rsidP="009F2ED6">
      <w:pPr>
        <w:pStyle w:val="Geenafstand"/>
        <w:rPr>
          <w:rFonts w:ascii="Verdana" w:eastAsia="Times New Roman" w:hAnsi="Verdana"/>
          <w:sz w:val="20"/>
          <w:szCs w:val="20"/>
          <w:lang w:eastAsia="nl-NL"/>
        </w:rPr>
      </w:pPr>
      <w:r>
        <w:rPr>
          <w:rFonts w:ascii="Verdana" w:eastAsia="Times New Roman" w:hAnsi="Verdana"/>
          <w:sz w:val="20"/>
          <w:szCs w:val="20"/>
          <w:lang w:eastAsia="nl-NL"/>
        </w:rPr>
        <w:t xml:space="preserve">De meerjarige onder- en </w:t>
      </w:r>
      <w:proofErr w:type="spellStart"/>
      <w:r>
        <w:rPr>
          <w:rFonts w:ascii="Verdana" w:eastAsia="Times New Roman" w:hAnsi="Verdana"/>
          <w:sz w:val="20"/>
          <w:szCs w:val="20"/>
          <w:lang w:eastAsia="nl-NL"/>
        </w:rPr>
        <w:t>overprogammering</w:t>
      </w:r>
      <w:proofErr w:type="spellEnd"/>
      <w:r>
        <w:rPr>
          <w:rFonts w:ascii="Verdana" w:eastAsia="Times New Roman" w:hAnsi="Verdana"/>
          <w:sz w:val="20"/>
          <w:szCs w:val="20"/>
          <w:lang w:eastAsia="nl-NL"/>
        </w:rPr>
        <w:t xml:space="preserve"> van dit artikelonderdeel is naar artikelonderdeel 1.02 Overige aanlegprojecten Waterveiligheid verplaatst. Dit betekent dat vanaf heden budget en programmering op dit artikelonderdeel in alle jaren met elkaar in overeenstemming zijn. Voor het jaar 2015 betekent dit dat de begrotingstand met € 33,1 </w:t>
      </w:r>
      <w:proofErr w:type="spellStart"/>
      <w:r>
        <w:rPr>
          <w:rFonts w:ascii="Verdana" w:eastAsia="Times New Roman" w:hAnsi="Verdana"/>
          <w:sz w:val="20"/>
          <w:szCs w:val="20"/>
          <w:lang w:eastAsia="nl-NL"/>
        </w:rPr>
        <w:t>mln</w:t>
      </w:r>
      <w:proofErr w:type="spellEnd"/>
      <w:r>
        <w:rPr>
          <w:rFonts w:ascii="Verdana" w:eastAsia="Times New Roman" w:hAnsi="Verdana"/>
          <w:sz w:val="20"/>
          <w:szCs w:val="20"/>
          <w:lang w:eastAsia="nl-NL"/>
        </w:rPr>
        <w:t xml:space="preserve"> wordt verlaagd, in de jaren die daarop volgen wordt het budget verhoogd. Zie ook de uitgebreidere toelichting onder 2.1, ad 4 “Verantwoorden over- en </w:t>
      </w:r>
      <w:proofErr w:type="spellStart"/>
      <w:r>
        <w:rPr>
          <w:rFonts w:ascii="Verdana" w:eastAsia="Times New Roman" w:hAnsi="Verdana"/>
          <w:sz w:val="20"/>
          <w:szCs w:val="20"/>
          <w:lang w:eastAsia="nl-NL"/>
        </w:rPr>
        <w:t>onderprogrammering</w:t>
      </w:r>
      <w:proofErr w:type="spellEnd"/>
      <w:r>
        <w:rPr>
          <w:rFonts w:ascii="Verdana" w:eastAsia="Times New Roman" w:hAnsi="Verdana"/>
          <w:sz w:val="20"/>
          <w:szCs w:val="20"/>
          <w:lang w:eastAsia="nl-NL"/>
        </w:rPr>
        <w:t>”.</w:t>
      </w:r>
    </w:p>
    <w:p w:rsidR="009F2ED6" w:rsidRDefault="009F2ED6" w:rsidP="009F2ED6">
      <w:pPr>
        <w:rPr>
          <w:rFonts w:ascii="Verdana" w:hAnsi="Verdana"/>
          <w:i/>
        </w:rPr>
      </w:pPr>
    </w:p>
    <w:p w:rsidR="009F2ED6" w:rsidRPr="00825D0B" w:rsidRDefault="009F2ED6" w:rsidP="009F2ED6">
      <w:pPr>
        <w:rPr>
          <w:rFonts w:ascii="Verdana" w:hAnsi="Verdana"/>
          <w:i/>
        </w:rPr>
      </w:pPr>
      <w:r w:rsidRPr="00825D0B">
        <w:rPr>
          <w:rFonts w:ascii="Verdana" w:hAnsi="Verdana"/>
          <w:i/>
        </w:rPr>
        <w:t>Saldo 2014</w:t>
      </w:r>
    </w:p>
    <w:p w:rsidR="009F2ED6" w:rsidRDefault="009F2ED6" w:rsidP="009F2ED6">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12</w:t>
      </w:r>
      <w:r w:rsidRPr="00E6290C">
        <w:rPr>
          <w:rFonts w:ascii="Verdana" w:hAnsi="Verdana"/>
        </w:rPr>
        <w:t>,</w:t>
      </w:r>
      <w:r>
        <w:rPr>
          <w:rFonts w:ascii="Verdana" w:hAnsi="Verdana"/>
        </w:rPr>
        <w:t>4</w:t>
      </w:r>
      <w:r w:rsidRPr="00E6290C">
        <w:rPr>
          <w:rFonts w:ascii="Verdana" w:hAnsi="Verdana"/>
        </w:rPr>
        <w:t xml:space="preserve"> miljoen </w:t>
      </w:r>
      <w:r>
        <w:rPr>
          <w:rFonts w:ascii="Verdana" w:hAnsi="Verdana"/>
        </w:rPr>
        <w:t>verhoogd a</w:t>
      </w:r>
      <w:r w:rsidRPr="00E6290C">
        <w:rPr>
          <w:rFonts w:ascii="Verdana" w:hAnsi="Verdana"/>
        </w:rPr>
        <w:t xml:space="preserve">ls gevolg van de technische verwerking van het saldo 2014. </w:t>
      </w:r>
      <w:r>
        <w:rPr>
          <w:rFonts w:ascii="Verdana" w:hAnsi="Verdana"/>
        </w:rPr>
        <w:t xml:space="preserve">Het saldo is ontstaan doordat in 2014 € 12,4 miljoen minder aan de projecten van dit artikelonderdeel is uitgegeven dan oorspronkelijk begroot. Door de verhoging in 2015 blijft de omvang van de </w:t>
      </w:r>
      <w:proofErr w:type="spellStart"/>
      <w:r>
        <w:rPr>
          <w:rFonts w:ascii="Verdana" w:hAnsi="Verdana"/>
        </w:rPr>
        <w:t>budgetten</w:t>
      </w:r>
      <w:proofErr w:type="spellEnd"/>
      <w:r>
        <w:rPr>
          <w:rFonts w:ascii="Verdana" w:hAnsi="Verdana"/>
        </w:rPr>
        <w:t xml:space="preserve"> meerjarig ongewijzigd. </w:t>
      </w:r>
    </w:p>
    <w:p w:rsidR="009F2ED6" w:rsidRDefault="009F2ED6" w:rsidP="009F2ED6">
      <w:pPr>
        <w:pStyle w:val="Geenafstand"/>
        <w:rPr>
          <w:rFonts w:ascii="Verdana" w:hAnsi="Verdana"/>
          <w:sz w:val="20"/>
          <w:szCs w:val="20"/>
          <w:u w:val="single"/>
        </w:rPr>
      </w:pPr>
    </w:p>
    <w:p w:rsidR="009F2ED6" w:rsidRPr="00CF2038" w:rsidRDefault="009F2ED6" w:rsidP="009F2ED6">
      <w:pPr>
        <w:pStyle w:val="Geenafstand"/>
        <w:rPr>
          <w:rFonts w:ascii="Verdana" w:hAnsi="Verdana"/>
          <w:i/>
          <w:sz w:val="20"/>
          <w:szCs w:val="20"/>
        </w:rPr>
      </w:pPr>
      <w:r w:rsidRPr="00CF2038">
        <w:rPr>
          <w:rFonts w:ascii="Verdana" w:hAnsi="Verdana"/>
          <w:i/>
          <w:sz w:val="20"/>
          <w:szCs w:val="20"/>
        </w:rPr>
        <w:t xml:space="preserve">Budget </w:t>
      </w:r>
      <w:r w:rsidRPr="00CF2038">
        <w:rPr>
          <w:rFonts w:ascii="Verdana" w:eastAsia="Times New Roman" w:hAnsi="Verdana"/>
          <w:i/>
          <w:sz w:val="20"/>
          <w:szCs w:val="20"/>
          <w:lang w:eastAsia="nl-NL"/>
        </w:rPr>
        <w:t>Dienst Landelijk Gebied naar Rijkswaterstaat</w:t>
      </w:r>
    </w:p>
    <w:p w:rsidR="009F2ED6" w:rsidRPr="00CF2038" w:rsidRDefault="009F2ED6" w:rsidP="009F2ED6">
      <w:pPr>
        <w:pStyle w:val="Geenafstand"/>
        <w:rPr>
          <w:rFonts w:ascii="Verdana" w:eastAsia="Times New Roman" w:hAnsi="Verdana"/>
          <w:sz w:val="20"/>
          <w:szCs w:val="20"/>
          <w:lang w:eastAsia="nl-NL"/>
        </w:rPr>
        <w:sectPr w:rsidR="009F2ED6" w:rsidRPr="00CF2038" w:rsidSect="007253A7">
          <w:type w:val="oddPage"/>
          <w:pgSz w:w="11907" w:h="16840" w:code="9"/>
          <w:pgMar w:top="1417" w:right="1417" w:bottom="1417" w:left="1417" w:header="709" w:footer="709" w:gutter="0"/>
          <w:cols w:space="708"/>
          <w:noEndnote/>
        </w:sectPr>
      </w:pPr>
      <w:r w:rsidRPr="00065E3F">
        <w:rPr>
          <w:rFonts w:ascii="Verdana" w:eastAsia="Times New Roman" w:hAnsi="Verdana"/>
          <w:sz w:val="20"/>
          <w:szCs w:val="20"/>
          <w:lang w:eastAsia="nl-NL"/>
        </w:rPr>
        <w:t>Als gevolg van het op</w:t>
      </w:r>
      <w:r>
        <w:rPr>
          <w:rFonts w:ascii="Verdana" w:eastAsia="Times New Roman" w:hAnsi="Verdana"/>
          <w:sz w:val="20"/>
          <w:szCs w:val="20"/>
          <w:lang w:eastAsia="nl-NL"/>
        </w:rPr>
        <w:t>heffen van de Dienst Landelijk G</w:t>
      </w:r>
      <w:r w:rsidRPr="00065E3F">
        <w:rPr>
          <w:rFonts w:ascii="Verdana" w:eastAsia="Times New Roman" w:hAnsi="Verdana"/>
          <w:sz w:val="20"/>
          <w:szCs w:val="20"/>
          <w:lang w:eastAsia="nl-NL"/>
        </w:rPr>
        <w:t xml:space="preserve">ebied (ministerie van Economische Zaken) komen per 1 januari 2015 20 fte over naar Rijkswaterstaat. Tot en met 2014 gaf Rijkswaterstaat jaarlijks voor circa 20 fte opdrachten aan Dienst Landelijk Gebied, die werden betaald </w:t>
      </w:r>
      <w:r>
        <w:rPr>
          <w:rFonts w:ascii="Verdana" w:eastAsia="Times New Roman" w:hAnsi="Verdana"/>
          <w:sz w:val="20"/>
          <w:szCs w:val="20"/>
          <w:lang w:eastAsia="nl-NL"/>
        </w:rPr>
        <w:t xml:space="preserve">uit </w:t>
      </w:r>
      <w:r w:rsidRPr="00065E3F">
        <w:rPr>
          <w:rFonts w:ascii="Verdana" w:eastAsia="Times New Roman" w:hAnsi="Verdana"/>
          <w:sz w:val="20"/>
          <w:szCs w:val="20"/>
          <w:lang w:eastAsia="nl-NL"/>
        </w:rPr>
        <w:t>het programmabudget</w:t>
      </w:r>
      <w:r>
        <w:rPr>
          <w:rFonts w:ascii="Verdana" w:eastAsia="Times New Roman" w:hAnsi="Verdana"/>
          <w:sz w:val="20"/>
          <w:szCs w:val="20"/>
          <w:lang w:eastAsia="nl-NL"/>
        </w:rPr>
        <w:t xml:space="preserve"> van dit artikelonderdeel</w:t>
      </w:r>
      <w:r w:rsidRPr="00065E3F">
        <w:rPr>
          <w:rFonts w:ascii="Verdana" w:eastAsia="Times New Roman" w:hAnsi="Verdana"/>
          <w:sz w:val="20"/>
          <w:szCs w:val="20"/>
          <w:lang w:eastAsia="nl-NL"/>
        </w:rPr>
        <w:t xml:space="preserve">. Die overdracht van fte en taken houdt in dat een overboeking nodig is van het budget voor externe productkosten </w:t>
      </w:r>
      <w:r>
        <w:rPr>
          <w:rFonts w:ascii="Verdana" w:eastAsia="Times New Roman" w:hAnsi="Verdana"/>
          <w:sz w:val="20"/>
          <w:szCs w:val="20"/>
          <w:lang w:eastAsia="nl-NL"/>
        </w:rPr>
        <w:t xml:space="preserve">(artikelonderdeel 5.01 Apparaat) </w:t>
      </w:r>
      <w:r w:rsidRPr="00065E3F">
        <w:rPr>
          <w:rFonts w:ascii="Verdana" w:eastAsia="Times New Roman" w:hAnsi="Verdana"/>
          <w:sz w:val="20"/>
          <w:szCs w:val="20"/>
          <w:lang w:eastAsia="nl-NL"/>
        </w:rPr>
        <w:t>naar de interne kosten van RWS ter grootte van circa € 2 miljoen</w:t>
      </w:r>
      <w:r>
        <w:rPr>
          <w:rFonts w:ascii="Verdana" w:eastAsia="Times New Roman" w:hAnsi="Verdana"/>
          <w:sz w:val="20"/>
          <w:szCs w:val="20"/>
          <w:lang w:eastAsia="nl-NL"/>
        </w:rPr>
        <w:t xml:space="preserve"> per jaar</w:t>
      </w:r>
      <w:r w:rsidRPr="00065E3F">
        <w:rPr>
          <w:rFonts w:ascii="Verdana" w:eastAsia="Times New Roman" w:hAnsi="Verdana"/>
          <w:sz w:val="20"/>
          <w:szCs w:val="20"/>
          <w:lang w:eastAsia="nl-NL"/>
        </w:rPr>
        <w:t xml:space="preserve">. </w:t>
      </w:r>
      <w:proofErr w:type="spellStart"/>
      <w:r w:rsidRPr="00065E3F">
        <w:rPr>
          <w:rFonts w:ascii="Verdana" w:eastAsia="Times New Roman" w:hAnsi="Verdana"/>
          <w:sz w:val="20"/>
          <w:szCs w:val="20"/>
          <w:lang w:eastAsia="nl-NL"/>
        </w:rPr>
        <w:t>Rijksbreed</w:t>
      </w:r>
      <w:proofErr w:type="spellEnd"/>
      <w:r w:rsidRPr="00065E3F">
        <w:rPr>
          <w:rFonts w:ascii="Verdana" w:eastAsia="Times New Roman" w:hAnsi="Verdana"/>
          <w:sz w:val="20"/>
          <w:szCs w:val="20"/>
          <w:lang w:eastAsia="nl-NL"/>
        </w:rPr>
        <w:t xml:space="preserve"> leidt deze mutatie niet tot een stijging van de apparaatskosten omdat deze overgaan van de Dienst Landelijk Gebied naar Rijkswaterstaat.</w:t>
      </w:r>
    </w:p>
    <w:p w:rsidR="009F2ED6" w:rsidRPr="00F25442" w:rsidRDefault="009F2ED6" w:rsidP="009F2ED6">
      <w:pPr>
        <w:ind w:left="709"/>
        <w:rPr>
          <w:rFonts w:ascii="Verdana" w:hAnsi="Verdana"/>
          <w:b/>
          <w:lang w:val="de-DE"/>
        </w:rPr>
      </w:pPr>
      <w:r w:rsidRPr="00F25442">
        <w:rPr>
          <w:rFonts w:ascii="Verdana" w:hAnsi="Verdana"/>
          <w:b/>
          <w:lang w:val="de-DE"/>
        </w:rPr>
        <w:lastRenderedPageBreak/>
        <w:t xml:space="preserve">Artikel 4 </w:t>
      </w:r>
      <w:proofErr w:type="spellStart"/>
      <w:r w:rsidRPr="00F25442">
        <w:rPr>
          <w:rFonts w:ascii="Verdana" w:hAnsi="Verdana"/>
          <w:b/>
          <w:lang w:val="de-DE"/>
        </w:rPr>
        <w:t>Experimenteren</w:t>
      </w:r>
      <w:proofErr w:type="spellEnd"/>
      <w:r w:rsidRPr="00F25442">
        <w:rPr>
          <w:rFonts w:ascii="Verdana" w:hAnsi="Verdana"/>
          <w:b/>
          <w:lang w:val="de-DE"/>
        </w:rPr>
        <w:t xml:space="preserve"> cf. art. III </w:t>
      </w:r>
      <w:proofErr w:type="spellStart"/>
      <w:r w:rsidRPr="00F25442">
        <w:rPr>
          <w:rFonts w:ascii="Verdana" w:hAnsi="Verdana"/>
          <w:b/>
          <w:lang w:val="de-DE"/>
        </w:rPr>
        <w:t>Deltawet</w:t>
      </w:r>
      <w:proofErr w:type="spellEnd"/>
    </w:p>
    <w:p w:rsidR="009F2ED6" w:rsidRPr="00F25442" w:rsidRDefault="009F2ED6" w:rsidP="009F2ED6">
      <w:pPr>
        <w:rPr>
          <w:rFonts w:ascii="Verdana" w:hAnsi="Verdana"/>
          <w:sz w:val="18"/>
          <w:szCs w:val="18"/>
          <w:lang w:val="de-DE"/>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401555B7" wp14:editId="0D8626F3">
            <wp:extent cx="5808345" cy="1426210"/>
            <wp:effectExtent l="19050" t="0" r="1905" b="0"/>
            <wp:docPr id="6"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6" cstate="print"/>
                    <a:srcRect/>
                    <a:stretch>
                      <a:fillRect/>
                    </a:stretch>
                  </pic:blipFill>
                  <pic:spPr bwMode="auto">
                    <a:xfrm>
                      <a:off x="0" y="0"/>
                      <a:ext cx="5808345" cy="142621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Pr="00A075F9" w:rsidRDefault="009F2ED6" w:rsidP="009F2ED6">
      <w:pPr>
        <w:pStyle w:val="Geenafstand"/>
        <w:rPr>
          <w:rFonts w:ascii="Verdana" w:eastAsia="Times New Roman" w:hAnsi="Verdana"/>
          <w:sz w:val="20"/>
          <w:szCs w:val="20"/>
          <w:lang w:eastAsia="nl-NL"/>
        </w:rPr>
      </w:pPr>
      <w:r w:rsidRPr="00DB444D">
        <w:rPr>
          <w:rFonts w:ascii="Verdana" w:hAnsi="Verdana"/>
          <w:b/>
          <w:sz w:val="20"/>
          <w:szCs w:val="20"/>
        </w:rPr>
        <w:t>4.01 Experimenteerprojecten</w:t>
      </w:r>
      <w:r w:rsidRPr="00A45F44">
        <w:rPr>
          <w:rFonts w:ascii="Verdana" w:hAnsi="Verdana"/>
        </w:rPr>
        <w:br/>
      </w:r>
      <w:r w:rsidRPr="00A075F9">
        <w:rPr>
          <w:rFonts w:ascii="Verdana" w:eastAsia="Times New Roman" w:hAnsi="Verdana"/>
          <w:sz w:val="20"/>
          <w:szCs w:val="20"/>
          <w:lang w:eastAsia="nl-NL"/>
        </w:rPr>
        <w:t xml:space="preserve">Op dit artikelonderdeel worden de standen in 2015 en 2016 </w:t>
      </w:r>
      <w:r>
        <w:rPr>
          <w:rFonts w:ascii="Verdana" w:eastAsia="Times New Roman" w:hAnsi="Verdana"/>
          <w:sz w:val="20"/>
          <w:szCs w:val="20"/>
          <w:lang w:eastAsia="nl-NL"/>
        </w:rPr>
        <w:t xml:space="preserve">in totaal </w:t>
      </w:r>
      <w:r w:rsidRPr="00A075F9">
        <w:rPr>
          <w:rFonts w:ascii="Verdana" w:eastAsia="Times New Roman" w:hAnsi="Verdana"/>
          <w:sz w:val="20"/>
          <w:szCs w:val="20"/>
          <w:lang w:eastAsia="nl-NL"/>
        </w:rPr>
        <w:t xml:space="preserve">met € 15,0 miljoen verlaagd. Dit </w:t>
      </w:r>
      <w:r>
        <w:rPr>
          <w:rFonts w:ascii="Verdana" w:eastAsia="Times New Roman" w:hAnsi="Verdana"/>
          <w:sz w:val="20"/>
          <w:szCs w:val="20"/>
          <w:lang w:eastAsia="nl-NL"/>
        </w:rPr>
        <w:t xml:space="preserve">is het gevolg van het </w:t>
      </w:r>
      <w:r w:rsidRPr="00A075F9">
        <w:rPr>
          <w:rFonts w:ascii="Verdana" w:eastAsia="Times New Roman" w:hAnsi="Verdana"/>
          <w:sz w:val="20"/>
          <w:szCs w:val="20"/>
          <w:lang w:eastAsia="nl-NL"/>
        </w:rPr>
        <w:t xml:space="preserve"> in 2014 financieren van </w:t>
      </w:r>
      <w:r>
        <w:rPr>
          <w:rFonts w:ascii="Verdana" w:eastAsia="Times New Roman" w:hAnsi="Verdana"/>
          <w:sz w:val="20"/>
          <w:szCs w:val="20"/>
          <w:lang w:eastAsia="nl-NL"/>
        </w:rPr>
        <w:t>h</w:t>
      </w:r>
      <w:r w:rsidRPr="00A075F9">
        <w:rPr>
          <w:rFonts w:ascii="Verdana" w:eastAsia="Times New Roman" w:hAnsi="Verdana"/>
          <w:sz w:val="20"/>
          <w:szCs w:val="20"/>
          <w:lang w:eastAsia="nl-NL"/>
        </w:rPr>
        <w:t>et TBES project Marker Wadden</w:t>
      </w:r>
      <w:r>
        <w:rPr>
          <w:rFonts w:ascii="Verdana" w:eastAsia="Times New Roman" w:hAnsi="Verdana"/>
          <w:sz w:val="20"/>
          <w:szCs w:val="20"/>
          <w:lang w:eastAsia="nl-NL"/>
        </w:rPr>
        <w:t>, conform de afspraken met de betrokken partijen</w:t>
      </w:r>
      <w:r w:rsidRPr="00A075F9">
        <w:rPr>
          <w:rFonts w:ascii="Verdana" w:eastAsia="Times New Roman" w:hAnsi="Verdana"/>
          <w:sz w:val="20"/>
          <w:szCs w:val="20"/>
          <w:lang w:eastAsia="nl-NL"/>
        </w:rPr>
        <w:t>.</w:t>
      </w:r>
      <w:r>
        <w:rPr>
          <w:rFonts w:ascii="Verdana" w:eastAsia="Times New Roman" w:hAnsi="Verdana"/>
          <w:sz w:val="20"/>
          <w:szCs w:val="20"/>
          <w:lang w:eastAsia="nl-NL"/>
        </w:rPr>
        <w:t xml:space="preserve"> Met deze mutatie worden de standen in 2015 en latere jaren op 0 gezet.</w:t>
      </w:r>
    </w:p>
    <w:p w:rsidR="009F2ED6" w:rsidRPr="00A075F9" w:rsidRDefault="009F2ED6" w:rsidP="009F2ED6">
      <w:pPr>
        <w:pStyle w:val="Geenafstand"/>
        <w:rPr>
          <w:rFonts w:ascii="Verdana" w:eastAsia="Times New Roman" w:hAnsi="Verdana"/>
          <w:sz w:val="20"/>
          <w:szCs w:val="20"/>
          <w:lang w:eastAsia="nl-NL"/>
        </w:rPr>
      </w:pPr>
    </w:p>
    <w:p w:rsidR="009F2ED6" w:rsidRPr="00A075F9" w:rsidRDefault="009F2ED6" w:rsidP="009F2ED6">
      <w:pPr>
        <w:autoSpaceDE w:val="0"/>
        <w:autoSpaceDN w:val="0"/>
        <w:adjustRightInd w:val="0"/>
        <w:rPr>
          <w:rFonts w:ascii="Verdana" w:hAnsi="Verdana"/>
          <w:i/>
        </w:rPr>
      </w:pPr>
      <w:r w:rsidRPr="00A075F9">
        <w:rPr>
          <w:rFonts w:ascii="Verdana" w:hAnsi="Verdana"/>
          <w:i/>
        </w:rPr>
        <w:t>Het TBES project Marker Wadden</w:t>
      </w:r>
    </w:p>
    <w:p w:rsidR="009F2ED6" w:rsidRDefault="009F2ED6" w:rsidP="009F2ED6">
      <w:pPr>
        <w:autoSpaceDE w:val="0"/>
        <w:autoSpaceDN w:val="0"/>
        <w:adjustRightInd w:val="0"/>
        <w:rPr>
          <w:rFonts w:ascii="Verdana" w:hAnsi="Verdana"/>
        </w:rPr>
      </w:pPr>
      <w:r w:rsidRPr="00A075F9">
        <w:rPr>
          <w:rFonts w:ascii="Verdana" w:hAnsi="Verdana"/>
        </w:rPr>
        <w:t>Het TBES project Marker Wadden is een initiatief van Natuurmonumenten</w:t>
      </w:r>
      <w:r>
        <w:rPr>
          <w:rFonts w:ascii="Verdana" w:hAnsi="Verdana"/>
        </w:rPr>
        <w:t xml:space="preserve"> </w:t>
      </w:r>
      <w:r w:rsidRPr="00A075F9">
        <w:rPr>
          <w:rFonts w:ascii="Verdana" w:hAnsi="Verdana"/>
        </w:rPr>
        <w:t>(NM) om in het Markermeer langs de Houtribdijk nabij Lelystad een</w:t>
      </w:r>
      <w:r>
        <w:rPr>
          <w:rFonts w:ascii="Verdana" w:hAnsi="Verdana"/>
        </w:rPr>
        <w:t xml:space="preserve"> </w:t>
      </w:r>
      <w:r w:rsidRPr="00A075F9">
        <w:rPr>
          <w:rFonts w:ascii="Verdana" w:hAnsi="Verdana"/>
        </w:rPr>
        <w:t xml:space="preserve">moeraseiland aan te leggen. De </w:t>
      </w:r>
      <w:r>
        <w:rPr>
          <w:rFonts w:ascii="Verdana" w:hAnsi="Verdana"/>
        </w:rPr>
        <w:t>v</w:t>
      </w:r>
      <w:r w:rsidRPr="00A075F9">
        <w:rPr>
          <w:rFonts w:ascii="Verdana" w:hAnsi="Verdana"/>
        </w:rPr>
        <w:t>oorbereidingen voor de uitvoering van</w:t>
      </w:r>
      <w:r>
        <w:rPr>
          <w:rFonts w:ascii="Verdana" w:hAnsi="Verdana"/>
        </w:rPr>
        <w:t xml:space="preserve"> </w:t>
      </w:r>
      <w:r w:rsidRPr="00A075F9">
        <w:rPr>
          <w:rFonts w:ascii="Verdana" w:hAnsi="Verdana"/>
        </w:rPr>
        <w:t>de eerste fase Marker Wadden zijn gestart</w:t>
      </w:r>
      <w:r>
        <w:rPr>
          <w:rFonts w:ascii="Verdana" w:hAnsi="Verdana"/>
        </w:rPr>
        <w:t xml:space="preserve">. Voor het project is momenteel </w:t>
      </w:r>
      <w:r w:rsidRPr="00A075F9">
        <w:rPr>
          <w:rFonts w:ascii="Verdana" w:hAnsi="Verdana"/>
        </w:rPr>
        <w:t>€ 50 miljoen</w:t>
      </w:r>
      <w:r>
        <w:rPr>
          <w:rFonts w:ascii="Verdana" w:hAnsi="Verdana"/>
        </w:rPr>
        <w:t xml:space="preserve"> beschikbaar</w:t>
      </w:r>
      <w:r w:rsidRPr="00A075F9">
        <w:rPr>
          <w:rFonts w:ascii="Verdana" w:hAnsi="Verdana"/>
        </w:rPr>
        <w:t xml:space="preserve">. </w:t>
      </w:r>
      <w:proofErr w:type="spellStart"/>
      <w:r w:rsidRPr="00A075F9">
        <w:rPr>
          <w:rFonts w:ascii="Verdana" w:hAnsi="Verdana"/>
        </w:rPr>
        <w:t>IenM</w:t>
      </w:r>
      <w:proofErr w:type="spellEnd"/>
      <w:r w:rsidRPr="00A075F9">
        <w:rPr>
          <w:rFonts w:ascii="Verdana" w:hAnsi="Verdana"/>
        </w:rPr>
        <w:t xml:space="preserve"> en EZ </w:t>
      </w:r>
      <w:r>
        <w:rPr>
          <w:rFonts w:ascii="Verdana" w:hAnsi="Verdana"/>
        </w:rPr>
        <w:t xml:space="preserve">hebben </w:t>
      </w:r>
      <w:r w:rsidRPr="00A075F9">
        <w:rPr>
          <w:rFonts w:ascii="Verdana" w:hAnsi="Verdana"/>
        </w:rPr>
        <w:t>ieder € 15 miljoen bij</w:t>
      </w:r>
      <w:r>
        <w:rPr>
          <w:rFonts w:ascii="Verdana" w:hAnsi="Verdana"/>
        </w:rPr>
        <w:t>gedragen</w:t>
      </w:r>
      <w:r w:rsidRPr="00A075F9">
        <w:rPr>
          <w:rFonts w:ascii="Verdana" w:hAnsi="Verdana"/>
        </w:rPr>
        <w:t xml:space="preserve"> (totaal € 30</w:t>
      </w:r>
      <w:r>
        <w:rPr>
          <w:rFonts w:ascii="Verdana" w:hAnsi="Verdana"/>
        </w:rPr>
        <w:t xml:space="preserve"> </w:t>
      </w:r>
      <w:r w:rsidRPr="00A075F9">
        <w:rPr>
          <w:rFonts w:ascii="Verdana" w:hAnsi="Verdana"/>
        </w:rPr>
        <w:t xml:space="preserve">miljoen). De Rijksbijdrage van € 15 miljoen die in de jaren 2015 en 2016begroot was </w:t>
      </w:r>
      <w:r>
        <w:rPr>
          <w:rFonts w:ascii="Verdana" w:hAnsi="Verdana"/>
        </w:rPr>
        <w:t>is</w:t>
      </w:r>
      <w:r w:rsidRPr="00A075F9">
        <w:rPr>
          <w:rFonts w:ascii="Verdana" w:hAnsi="Verdana"/>
        </w:rPr>
        <w:t xml:space="preserve"> in 2014 gerealiseerd</w:t>
      </w:r>
      <w:r>
        <w:rPr>
          <w:rFonts w:ascii="Verdana" w:hAnsi="Verdana"/>
        </w:rPr>
        <w:t>. Zie ook Kamerstukken II</w:t>
      </w:r>
      <w:r w:rsidRPr="00A075F9">
        <w:rPr>
          <w:rFonts w:ascii="Verdana" w:hAnsi="Verdana"/>
        </w:rPr>
        <w:t>, 2014–2015, 34 085 J, nr. 2, pagina 8 en 9.</w:t>
      </w:r>
    </w:p>
    <w:p w:rsidR="009F2ED6" w:rsidRPr="00A075F9" w:rsidRDefault="009F2ED6" w:rsidP="009F2ED6">
      <w:pPr>
        <w:pStyle w:val="Geenafstand"/>
        <w:rPr>
          <w:rFonts w:ascii="Verdana" w:eastAsia="Times New Roman" w:hAnsi="Verdana"/>
          <w:sz w:val="20"/>
          <w:szCs w:val="20"/>
          <w:lang w:eastAsia="nl-NL"/>
        </w:rPr>
      </w:pPr>
      <w:r w:rsidRPr="00A075F9">
        <w:rPr>
          <w:rFonts w:ascii="Verdana" w:eastAsia="Times New Roman" w:hAnsi="Verdana"/>
          <w:sz w:val="20"/>
          <w:szCs w:val="20"/>
          <w:lang w:eastAsia="nl-NL"/>
        </w:rPr>
        <w:br/>
      </w:r>
    </w:p>
    <w:p w:rsidR="009F2ED6" w:rsidRPr="00A45F44" w:rsidRDefault="009F2ED6" w:rsidP="009F2ED6">
      <w:pPr>
        <w:pStyle w:val="Geenafstand"/>
        <w:rPr>
          <w:rFonts w:ascii="Verdana" w:hAnsi="Verdana"/>
          <w:sz w:val="18"/>
          <w:szCs w:val="18"/>
        </w:rPr>
      </w:pPr>
    </w:p>
    <w:p w:rsidR="009F2ED6" w:rsidRDefault="009F2ED6" w:rsidP="009F2ED6">
      <w:pPr>
        <w:ind w:left="720"/>
        <w:rPr>
          <w:rFonts w:ascii="Verdana" w:hAnsi="Verdana"/>
          <w:sz w:val="18"/>
          <w:szCs w:val="18"/>
        </w:rPr>
      </w:pPr>
    </w:p>
    <w:p w:rsidR="009F2ED6" w:rsidRDefault="009F2ED6" w:rsidP="009F2ED6">
      <w:pPr>
        <w:ind w:left="720"/>
        <w:rPr>
          <w:rFonts w:ascii="Verdana" w:hAnsi="Verdana"/>
          <w:sz w:val="18"/>
          <w:szCs w:val="18"/>
        </w:rPr>
      </w:pPr>
    </w:p>
    <w:p w:rsidR="009F2ED6" w:rsidRDefault="009F2ED6" w:rsidP="009F2ED6">
      <w:pPr>
        <w:ind w:left="720"/>
        <w:rPr>
          <w:rFonts w:ascii="Verdana" w:hAnsi="Verdana"/>
          <w:sz w:val="18"/>
          <w:szCs w:val="18"/>
        </w:rPr>
      </w:pPr>
    </w:p>
    <w:p w:rsidR="009F2ED6" w:rsidRDefault="009F2ED6" w:rsidP="009F2ED6">
      <w:pPr>
        <w:ind w:left="720"/>
        <w:rPr>
          <w:rFonts w:ascii="Verdana" w:hAnsi="Verdana"/>
          <w:sz w:val="18"/>
          <w:szCs w:val="18"/>
        </w:rPr>
      </w:pPr>
    </w:p>
    <w:p w:rsidR="009F2ED6" w:rsidRDefault="009F2ED6" w:rsidP="009F2ED6">
      <w:pPr>
        <w:ind w:left="720"/>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Pr="001775DD" w:rsidRDefault="009F2ED6" w:rsidP="009F2ED6">
      <w:pPr>
        <w:rPr>
          <w:rFonts w:ascii="Verdana" w:hAnsi="Verdana"/>
          <w:sz w:val="18"/>
          <w:szCs w:val="18"/>
        </w:rPr>
      </w:pPr>
    </w:p>
    <w:p w:rsidR="009F2ED6" w:rsidRDefault="009F2ED6" w:rsidP="009F2ED6">
      <w:pPr>
        <w:ind w:left="720"/>
        <w:rPr>
          <w:rFonts w:ascii="Verdana" w:hAnsi="Verdana"/>
          <w:sz w:val="18"/>
          <w:szCs w:val="18"/>
        </w:rPr>
      </w:pPr>
    </w:p>
    <w:p w:rsidR="009F2ED6" w:rsidRDefault="009F2ED6" w:rsidP="009F2ED6">
      <w:pPr>
        <w:ind w:left="720"/>
        <w:rPr>
          <w:rFonts w:ascii="Verdana" w:hAnsi="Verdana"/>
          <w:sz w:val="18"/>
          <w:szCs w:val="18"/>
        </w:rPr>
        <w:sectPr w:rsidR="009F2ED6" w:rsidSect="007253A7">
          <w:type w:val="oddPage"/>
          <w:pgSz w:w="11907" w:h="16840" w:code="9"/>
          <w:pgMar w:top="1417" w:right="1417" w:bottom="1417" w:left="1417" w:header="709" w:footer="709" w:gutter="0"/>
          <w:cols w:space="708"/>
          <w:noEndnote/>
        </w:sectPr>
      </w:pPr>
    </w:p>
    <w:p w:rsidR="009F2ED6" w:rsidRDefault="009F2ED6" w:rsidP="009F2ED6">
      <w:pPr>
        <w:ind w:left="720"/>
        <w:rPr>
          <w:rFonts w:ascii="Verdana" w:hAnsi="Verdana"/>
          <w:sz w:val="18"/>
          <w:szCs w:val="18"/>
        </w:rPr>
      </w:pPr>
    </w:p>
    <w:p w:rsidR="009F2ED6" w:rsidRPr="00F25442" w:rsidRDefault="009F2ED6" w:rsidP="009F2ED6">
      <w:pPr>
        <w:pStyle w:val="Geenafstand"/>
        <w:rPr>
          <w:rFonts w:ascii="Verdana" w:hAnsi="Verdana"/>
          <w:b/>
          <w:sz w:val="20"/>
          <w:szCs w:val="20"/>
        </w:rPr>
      </w:pPr>
      <w:r w:rsidRPr="00F25442">
        <w:rPr>
          <w:rFonts w:ascii="Verdana" w:hAnsi="Verdana"/>
          <w:b/>
          <w:sz w:val="20"/>
          <w:szCs w:val="20"/>
        </w:rPr>
        <w:t xml:space="preserve">Artikel 5 </w:t>
      </w:r>
      <w:proofErr w:type="spellStart"/>
      <w:r w:rsidRPr="00F25442">
        <w:rPr>
          <w:rFonts w:ascii="Verdana" w:hAnsi="Verdana"/>
          <w:b/>
          <w:sz w:val="20"/>
          <w:szCs w:val="20"/>
        </w:rPr>
        <w:t>Netwerkgebonden</w:t>
      </w:r>
      <w:proofErr w:type="spellEnd"/>
      <w:r w:rsidRPr="00F25442">
        <w:rPr>
          <w:rFonts w:ascii="Verdana" w:hAnsi="Verdana"/>
          <w:b/>
          <w:sz w:val="20"/>
          <w:szCs w:val="20"/>
        </w:rPr>
        <w:t xml:space="preserve"> kosten en overige uitgaven</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31388209" wp14:editId="5FE1714E">
            <wp:extent cx="5779135" cy="2355215"/>
            <wp:effectExtent l="1905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7" cstate="print"/>
                    <a:srcRect/>
                    <a:stretch>
                      <a:fillRect/>
                    </a:stretch>
                  </pic:blipFill>
                  <pic:spPr bwMode="auto">
                    <a:xfrm>
                      <a:off x="0" y="0"/>
                      <a:ext cx="5779135" cy="2355215"/>
                    </a:xfrm>
                    <a:prstGeom prst="rect">
                      <a:avLst/>
                    </a:prstGeom>
                    <a:noFill/>
                    <a:ln w="9525">
                      <a:noFill/>
                      <a:miter lim="800000"/>
                      <a:headEnd/>
                      <a:tailEnd/>
                    </a:ln>
                  </pic:spPr>
                </pic:pic>
              </a:graphicData>
            </a:graphic>
          </wp:inline>
        </w:drawing>
      </w:r>
    </w:p>
    <w:p w:rsidR="009F2ED6" w:rsidRPr="00DB444D" w:rsidRDefault="009F2ED6" w:rsidP="009F2ED6">
      <w:pPr>
        <w:pStyle w:val="Geenafstand"/>
        <w:rPr>
          <w:rFonts w:ascii="Verdana" w:hAnsi="Verdana"/>
          <w:b/>
          <w:sz w:val="20"/>
          <w:szCs w:val="20"/>
        </w:rPr>
      </w:pPr>
      <w:r w:rsidRPr="00DB444D">
        <w:rPr>
          <w:rFonts w:ascii="Verdana" w:hAnsi="Verdana"/>
          <w:b/>
          <w:sz w:val="20"/>
          <w:szCs w:val="20"/>
        </w:rPr>
        <w:t>5.01 Apparaat</w:t>
      </w:r>
    </w:p>
    <w:p w:rsidR="009F2ED6" w:rsidRPr="00A075F9" w:rsidRDefault="009F2ED6" w:rsidP="009F2ED6">
      <w:pPr>
        <w:pStyle w:val="Geenafstand"/>
        <w:rPr>
          <w:rFonts w:ascii="Verdana" w:hAnsi="Verdana"/>
          <w:sz w:val="20"/>
          <w:szCs w:val="20"/>
        </w:rPr>
      </w:pPr>
      <w:r w:rsidRPr="00A075F9">
        <w:rPr>
          <w:rFonts w:ascii="Verdana" w:hAnsi="Verdana"/>
          <w:sz w:val="20"/>
          <w:szCs w:val="20"/>
        </w:rPr>
        <w:t xml:space="preserve">Op dit artikelonderdeel wordt de stand in 2015 met 4,0 miljoen verhoogd. Dit is met name het gevolg van de overheveling van het budget voor de Dienst Landelijk gebied (+ € 2,0 miljoen) aan Rijkswaterstaat en de gevolgen op het apparaat van het versneld uitvoeren </w:t>
      </w:r>
      <w:r>
        <w:rPr>
          <w:rFonts w:ascii="Verdana" w:hAnsi="Verdana"/>
          <w:sz w:val="20"/>
          <w:szCs w:val="20"/>
        </w:rPr>
        <w:t xml:space="preserve">van </w:t>
      </w:r>
      <w:r w:rsidRPr="00A075F9">
        <w:rPr>
          <w:rFonts w:ascii="Verdana" w:hAnsi="Verdana"/>
          <w:sz w:val="20"/>
          <w:szCs w:val="20"/>
        </w:rPr>
        <w:t>projecten (+ € 1,8 miljoen).</w:t>
      </w:r>
    </w:p>
    <w:p w:rsidR="009F2ED6" w:rsidRDefault="009F2ED6" w:rsidP="009F2ED6">
      <w:pPr>
        <w:pStyle w:val="Geenafstand"/>
        <w:rPr>
          <w:rFonts w:ascii="Verdana" w:hAnsi="Verdana"/>
          <w:sz w:val="20"/>
          <w:szCs w:val="20"/>
          <w:u w:val="single"/>
        </w:rPr>
      </w:pPr>
    </w:p>
    <w:p w:rsidR="009F2ED6" w:rsidRPr="00CF2038" w:rsidRDefault="009F2ED6" w:rsidP="009F2ED6">
      <w:pPr>
        <w:pStyle w:val="Geenafstand"/>
        <w:rPr>
          <w:rFonts w:ascii="Verdana" w:hAnsi="Verdana"/>
          <w:i/>
          <w:sz w:val="20"/>
          <w:szCs w:val="20"/>
        </w:rPr>
      </w:pPr>
      <w:r w:rsidRPr="00CF2038">
        <w:rPr>
          <w:rFonts w:ascii="Verdana" w:hAnsi="Verdana"/>
          <w:i/>
          <w:sz w:val="20"/>
          <w:szCs w:val="20"/>
        </w:rPr>
        <w:t xml:space="preserve">Budget </w:t>
      </w:r>
      <w:r w:rsidRPr="00CF2038">
        <w:rPr>
          <w:rFonts w:ascii="Verdana" w:eastAsia="Times New Roman" w:hAnsi="Verdana"/>
          <w:i/>
          <w:sz w:val="20"/>
          <w:szCs w:val="20"/>
          <w:lang w:eastAsia="nl-NL"/>
        </w:rPr>
        <w:t>Dienst Landelijk Gebied naar Rijkswaterstaat</w:t>
      </w:r>
    </w:p>
    <w:p w:rsidR="009F2ED6" w:rsidRDefault="009F2ED6" w:rsidP="009F2ED6">
      <w:pPr>
        <w:pStyle w:val="Geenafstand"/>
        <w:rPr>
          <w:rFonts w:ascii="Verdana" w:eastAsia="Times New Roman" w:hAnsi="Verdana"/>
          <w:sz w:val="20"/>
          <w:szCs w:val="20"/>
          <w:lang w:eastAsia="nl-NL"/>
        </w:rPr>
      </w:pPr>
      <w:r w:rsidRPr="00065E3F">
        <w:rPr>
          <w:rFonts w:ascii="Verdana" w:eastAsia="Times New Roman" w:hAnsi="Verdana"/>
          <w:sz w:val="20"/>
          <w:szCs w:val="20"/>
          <w:lang w:eastAsia="nl-NL"/>
        </w:rPr>
        <w:t>Als gevolg van het op</w:t>
      </w:r>
      <w:r>
        <w:rPr>
          <w:rFonts w:ascii="Verdana" w:eastAsia="Times New Roman" w:hAnsi="Verdana"/>
          <w:sz w:val="20"/>
          <w:szCs w:val="20"/>
          <w:lang w:eastAsia="nl-NL"/>
        </w:rPr>
        <w:t>heffen van de Dienst Landelijk G</w:t>
      </w:r>
      <w:r w:rsidRPr="00065E3F">
        <w:rPr>
          <w:rFonts w:ascii="Verdana" w:eastAsia="Times New Roman" w:hAnsi="Verdana"/>
          <w:sz w:val="20"/>
          <w:szCs w:val="20"/>
          <w:lang w:eastAsia="nl-NL"/>
        </w:rPr>
        <w:t xml:space="preserve">ebied (ministerie van Economische Zaken) komen per 1 januari 2015 20 fte over naar Rijkswaterstaat. Tot en met 2014 gaf Rijkswaterstaat jaarlijks voor circa 20 fte opdrachten aan Dienst Landelijk Gebied, die werden betaald </w:t>
      </w:r>
      <w:r>
        <w:rPr>
          <w:rFonts w:ascii="Verdana" w:eastAsia="Times New Roman" w:hAnsi="Verdana"/>
          <w:sz w:val="20"/>
          <w:szCs w:val="20"/>
          <w:lang w:eastAsia="nl-NL"/>
        </w:rPr>
        <w:t xml:space="preserve">uit </w:t>
      </w:r>
      <w:r w:rsidRPr="00065E3F">
        <w:rPr>
          <w:rFonts w:ascii="Verdana" w:eastAsia="Times New Roman" w:hAnsi="Verdana"/>
          <w:sz w:val="20"/>
          <w:szCs w:val="20"/>
          <w:lang w:eastAsia="nl-NL"/>
        </w:rPr>
        <w:t>het programmabudget</w:t>
      </w:r>
      <w:r>
        <w:rPr>
          <w:rFonts w:ascii="Verdana" w:eastAsia="Times New Roman" w:hAnsi="Verdana"/>
          <w:sz w:val="20"/>
          <w:szCs w:val="20"/>
          <w:lang w:eastAsia="nl-NL"/>
        </w:rPr>
        <w:t xml:space="preserve"> van dit artikelonderdeel</w:t>
      </w:r>
      <w:r w:rsidRPr="00065E3F">
        <w:rPr>
          <w:rFonts w:ascii="Verdana" w:eastAsia="Times New Roman" w:hAnsi="Verdana"/>
          <w:sz w:val="20"/>
          <w:szCs w:val="20"/>
          <w:lang w:eastAsia="nl-NL"/>
        </w:rPr>
        <w:t xml:space="preserve">. Die overdracht van fte en taken houdt in dat een overboeking nodig is van het budget voor externe productkosten </w:t>
      </w:r>
      <w:r>
        <w:rPr>
          <w:rFonts w:ascii="Verdana" w:eastAsia="Times New Roman" w:hAnsi="Verdana"/>
          <w:sz w:val="20"/>
          <w:szCs w:val="20"/>
          <w:lang w:eastAsia="nl-NL"/>
        </w:rPr>
        <w:t xml:space="preserve">(artikelonderdeel 5.01 Apparaat) </w:t>
      </w:r>
      <w:r w:rsidRPr="00065E3F">
        <w:rPr>
          <w:rFonts w:ascii="Verdana" w:eastAsia="Times New Roman" w:hAnsi="Verdana"/>
          <w:sz w:val="20"/>
          <w:szCs w:val="20"/>
          <w:lang w:eastAsia="nl-NL"/>
        </w:rPr>
        <w:t>naar de interne kosten van RWS ter grootte van circa € 2 miljoen</w:t>
      </w:r>
      <w:r>
        <w:rPr>
          <w:rFonts w:ascii="Verdana" w:eastAsia="Times New Roman" w:hAnsi="Verdana"/>
          <w:sz w:val="20"/>
          <w:szCs w:val="20"/>
          <w:lang w:eastAsia="nl-NL"/>
        </w:rPr>
        <w:t xml:space="preserve"> per jaar</w:t>
      </w:r>
      <w:r w:rsidRPr="00065E3F">
        <w:rPr>
          <w:rFonts w:ascii="Verdana" w:eastAsia="Times New Roman" w:hAnsi="Verdana"/>
          <w:sz w:val="20"/>
          <w:szCs w:val="20"/>
          <w:lang w:eastAsia="nl-NL"/>
        </w:rPr>
        <w:t xml:space="preserve">. </w:t>
      </w:r>
      <w:proofErr w:type="spellStart"/>
      <w:r w:rsidRPr="00065E3F">
        <w:rPr>
          <w:rFonts w:ascii="Verdana" w:eastAsia="Times New Roman" w:hAnsi="Verdana"/>
          <w:sz w:val="20"/>
          <w:szCs w:val="20"/>
          <w:lang w:eastAsia="nl-NL"/>
        </w:rPr>
        <w:t>Rijksbreed</w:t>
      </w:r>
      <w:proofErr w:type="spellEnd"/>
      <w:r w:rsidRPr="00065E3F">
        <w:rPr>
          <w:rFonts w:ascii="Verdana" w:eastAsia="Times New Roman" w:hAnsi="Verdana"/>
          <w:sz w:val="20"/>
          <w:szCs w:val="20"/>
          <w:lang w:eastAsia="nl-NL"/>
        </w:rPr>
        <w:t xml:space="preserve"> leidt deze mutatie niet tot een stijging van de apparaatskosten omdat deze overgaan van de Dienst Landelijk Gebied naar Rijkswaterstaat.</w:t>
      </w:r>
      <w:r>
        <w:rPr>
          <w:rFonts w:ascii="Verdana" w:eastAsia="Times New Roman" w:hAnsi="Verdana"/>
          <w:sz w:val="20"/>
          <w:szCs w:val="20"/>
          <w:lang w:eastAsia="nl-NL"/>
        </w:rPr>
        <w:t xml:space="preserve"> Zie ook de toelichting bij artikelonderdeel 3.02 Beheer en Onderhoud.</w:t>
      </w:r>
    </w:p>
    <w:p w:rsidR="009F2ED6" w:rsidRDefault="009F2ED6" w:rsidP="009F2ED6">
      <w:pPr>
        <w:pStyle w:val="Geenafstand"/>
        <w:rPr>
          <w:rFonts w:ascii="Verdana" w:eastAsia="Times New Roman" w:hAnsi="Verdana"/>
          <w:sz w:val="20"/>
          <w:szCs w:val="20"/>
          <w:lang w:eastAsia="nl-NL"/>
        </w:rPr>
      </w:pPr>
    </w:p>
    <w:p w:rsidR="009F2ED6" w:rsidRPr="00A075F9" w:rsidRDefault="009F2ED6" w:rsidP="009F2ED6">
      <w:pPr>
        <w:pStyle w:val="Geenafstand"/>
        <w:rPr>
          <w:rFonts w:ascii="Verdana" w:hAnsi="Verdana"/>
          <w:i/>
          <w:sz w:val="20"/>
          <w:szCs w:val="20"/>
        </w:rPr>
      </w:pPr>
      <w:r w:rsidRPr="00A075F9">
        <w:rPr>
          <w:rFonts w:ascii="Verdana" w:hAnsi="Verdana"/>
          <w:i/>
          <w:sz w:val="20"/>
          <w:szCs w:val="20"/>
        </w:rPr>
        <w:t>Capaciteit Rijkswaterstaat</w:t>
      </w:r>
    </w:p>
    <w:p w:rsidR="009F2ED6" w:rsidRDefault="009F2ED6" w:rsidP="009F2ED6">
      <w:pPr>
        <w:pStyle w:val="Geenafstand"/>
        <w:rPr>
          <w:rFonts w:ascii="Verdana" w:hAnsi="Verdana"/>
          <w:sz w:val="20"/>
          <w:szCs w:val="20"/>
          <w:u w:val="single"/>
        </w:rPr>
      </w:pPr>
      <w:r w:rsidRPr="007A69B1">
        <w:rPr>
          <w:rFonts w:ascii="Verdana" w:eastAsia="Times New Roman" w:hAnsi="Verdana"/>
          <w:sz w:val="20"/>
          <w:szCs w:val="20"/>
          <w:lang w:eastAsia="nl-NL"/>
        </w:rPr>
        <w:t xml:space="preserve">Bij </w:t>
      </w:r>
      <w:r>
        <w:rPr>
          <w:rFonts w:ascii="Verdana" w:eastAsia="Times New Roman" w:hAnsi="Verdana"/>
          <w:sz w:val="20"/>
          <w:szCs w:val="20"/>
          <w:lang w:eastAsia="nl-NL"/>
        </w:rPr>
        <w:t xml:space="preserve">ontwerpbegroting 2014 </w:t>
      </w:r>
      <w:r w:rsidRPr="007A69B1">
        <w:rPr>
          <w:rFonts w:ascii="Verdana" w:eastAsia="Times New Roman" w:hAnsi="Verdana"/>
          <w:sz w:val="20"/>
          <w:szCs w:val="20"/>
          <w:lang w:eastAsia="nl-NL"/>
        </w:rPr>
        <w:t xml:space="preserve">heeft het kabinet </w:t>
      </w:r>
      <w:r>
        <w:rPr>
          <w:rFonts w:ascii="Verdana" w:eastAsia="Times New Roman" w:hAnsi="Verdana"/>
          <w:sz w:val="20"/>
          <w:szCs w:val="20"/>
          <w:lang w:eastAsia="nl-NL"/>
        </w:rPr>
        <w:t xml:space="preserve">besloten tot de inzet van het instrument </w:t>
      </w:r>
      <w:proofErr w:type="spellStart"/>
      <w:r w:rsidRPr="007A69B1">
        <w:rPr>
          <w:rFonts w:ascii="Verdana" w:eastAsia="Times New Roman" w:hAnsi="Verdana"/>
          <w:sz w:val="20"/>
          <w:szCs w:val="20"/>
          <w:lang w:eastAsia="nl-NL"/>
        </w:rPr>
        <w:t>overprogrammering</w:t>
      </w:r>
      <w:proofErr w:type="spellEnd"/>
      <w:r>
        <w:rPr>
          <w:rFonts w:ascii="Verdana" w:eastAsia="Times New Roman" w:hAnsi="Verdana"/>
          <w:sz w:val="20"/>
          <w:szCs w:val="20"/>
          <w:lang w:eastAsia="nl-NL"/>
        </w:rPr>
        <w:t xml:space="preserve"> op zowel het Infrastructuur- als het Deltafonds</w:t>
      </w:r>
      <w:r w:rsidRPr="007A69B1">
        <w:rPr>
          <w:rFonts w:ascii="Verdana" w:eastAsia="Times New Roman" w:hAnsi="Verdana"/>
          <w:sz w:val="20"/>
          <w:szCs w:val="20"/>
          <w:lang w:eastAsia="nl-NL"/>
        </w:rPr>
        <w:t xml:space="preserve">. </w:t>
      </w:r>
      <w:r>
        <w:rPr>
          <w:rFonts w:ascii="Verdana" w:eastAsia="Times New Roman" w:hAnsi="Verdana"/>
          <w:sz w:val="20"/>
          <w:szCs w:val="20"/>
          <w:lang w:eastAsia="nl-NL"/>
        </w:rPr>
        <w:t xml:space="preserve">Het doel hiervan is het voorkomen van </w:t>
      </w:r>
      <w:r w:rsidRPr="00F97374">
        <w:rPr>
          <w:rFonts w:ascii="Verdana" w:eastAsia="Times New Roman" w:hAnsi="Verdana"/>
          <w:sz w:val="20"/>
          <w:szCs w:val="20"/>
          <w:lang w:eastAsia="nl-NL"/>
        </w:rPr>
        <w:t xml:space="preserve">onderbesteding. </w:t>
      </w:r>
      <w:r>
        <w:rPr>
          <w:rFonts w:ascii="Verdana" w:eastAsia="Times New Roman" w:hAnsi="Verdana"/>
          <w:sz w:val="20"/>
          <w:szCs w:val="20"/>
          <w:lang w:eastAsia="nl-NL"/>
        </w:rPr>
        <w:t>Dit brengt met zich mee dat R</w:t>
      </w:r>
      <w:r w:rsidRPr="00F97374">
        <w:rPr>
          <w:rFonts w:ascii="Verdana" w:eastAsia="Times New Roman" w:hAnsi="Verdana"/>
          <w:sz w:val="20"/>
          <w:szCs w:val="20"/>
          <w:lang w:eastAsia="nl-NL"/>
        </w:rPr>
        <w:t xml:space="preserve">ijkswaterstaat eerder capaciteit voor projecten </w:t>
      </w:r>
      <w:r>
        <w:rPr>
          <w:rFonts w:ascii="Verdana" w:eastAsia="Times New Roman" w:hAnsi="Verdana"/>
          <w:sz w:val="20"/>
          <w:szCs w:val="20"/>
          <w:lang w:eastAsia="nl-NL"/>
        </w:rPr>
        <w:t xml:space="preserve">moet </w:t>
      </w:r>
      <w:r w:rsidRPr="00F97374">
        <w:rPr>
          <w:rFonts w:ascii="Verdana" w:eastAsia="Times New Roman" w:hAnsi="Verdana"/>
          <w:sz w:val="20"/>
          <w:szCs w:val="20"/>
          <w:lang w:eastAsia="nl-NL"/>
        </w:rPr>
        <w:t>inzet</w:t>
      </w:r>
      <w:r>
        <w:rPr>
          <w:rFonts w:ascii="Verdana" w:eastAsia="Times New Roman" w:hAnsi="Verdana"/>
          <w:sz w:val="20"/>
          <w:szCs w:val="20"/>
          <w:lang w:eastAsia="nl-NL"/>
        </w:rPr>
        <w:t>ten</w:t>
      </w:r>
      <w:r w:rsidRPr="00F97374">
        <w:rPr>
          <w:rFonts w:ascii="Verdana" w:eastAsia="Times New Roman" w:hAnsi="Verdana"/>
          <w:sz w:val="20"/>
          <w:szCs w:val="20"/>
          <w:lang w:eastAsia="nl-NL"/>
        </w:rPr>
        <w:t xml:space="preserve"> dan oorspronkelijk begroot</w:t>
      </w:r>
      <w:r>
        <w:rPr>
          <w:rFonts w:ascii="Verdana" w:eastAsia="Times New Roman" w:hAnsi="Verdana"/>
          <w:sz w:val="20"/>
          <w:szCs w:val="20"/>
          <w:lang w:eastAsia="nl-NL"/>
        </w:rPr>
        <w:t>.</w:t>
      </w:r>
      <w:r w:rsidRPr="002B5960">
        <w:rPr>
          <w:rFonts w:ascii="Verdana" w:hAnsi="Verdana"/>
          <w:sz w:val="20"/>
          <w:szCs w:val="20"/>
        </w:rPr>
        <w:t xml:space="preserve"> Het benodigde</w:t>
      </w:r>
      <w:r>
        <w:rPr>
          <w:rFonts w:ascii="Verdana" w:hAnsi="Verdana"/>
          <w:sz w:val="20"/>
          <w:szCs w:val="20"/>
        </w:rPr>
        <w:t xml:space="preserve"> </w:t>
      </w:r>
      <w:r w:rsidRPr="002B5960">
        <w:rPr>
          <w:rFonts w:ascii="Verdana" w:hAnsi="Verdana"/>
          <w:sz w:val="20"/>
          <w:szCs w:val="20"/>
        </w:rPr>
        <w:t xml:space="preserve">apparaatsbudget </w:t>
      </w:r>
      <w:r>
        <w:rPr>
          <w:rFonts w:ascii="Verdana" w:hAnsi="Verdana"/>
          <w:sz w:val="20"/>
          <w:szCs w:val="20"/>
        </w:rPr>
        <w:t xml:space="preserve">is daarom uit latere jaren naar voren gehaald. Dat betekent dat er een </w:t>
      </w:r>
      <w:r w:rsidRPr="002A0001">
        <w:rPr>
          <w:rFonts w:ascii="Verdana" w:hAnsi="Verdana"/>
          <w:sz w:val="20"/>
          <w:szCs w:val="20"/>
        </w:rPr>
        <w:t xml:space="preserve">kasschuif </w:t>
      </w:r>
      <w:r>
        <w:rPr>
          <w:rFonts w:ascii="Verdana" w:hAnsi="Verdana"/>
          <w:sz w:val="20"/>
          <w:szCs w:val="20"/>
        </w:rPr>
        <w:t xml:space="preserve">is </w:t>
      </w:r>
      <w:r w:rsidRPr="002A0001">
        <w:rPr>
          <w:rFonts w:ascii="Verdana" w:hAnsi="Verdana"/>
          <w:sz w:val="20"/>
          <w:szCs w:val="20"/>
        </w:rPr>
        <w:t>verwerkt van de apparaatsbudgetten vanuit de periode na 2020 naar voren</w:t>
      </w:r>
      <w:r>
        <w:rPr>
          <w:rFonts w:ascii="Verdana" w:hAnsi="Verdana"/>
          <w:sz w:val="20"/>
          <w:szCs w:val="20"/>
        </w:rPr>
        <w:t xml:space="preserve">  en wordt het begrotingsbedrag 2015 met € 1,8 miljoen verhoogd</w:t>
      </w:r>
      <w:r w:rsidRPr="002A0001">
        <w:rPr>
          <w:rFonts w:ascii="Verdana" w:hAnsi="Verdana"/>
          <w:sz w:val="20"/>
          <w:szCs w:val="20"/>
        </w:rPr>
        <w:t>.</w:t>
      </w:r>
    </w:p>
    <w:p w:rsidR="009F2ED6" w:rsidRPr="00DB444D" w:rsidRDefault="009F2ED6" w:rsidP="009F2ED6">
      <w:pPr>
        <w:pStyle w:val="Geenafstand"/>
        <w:rPr>
          <w:rFonts w:ascii="Verdana" w:hAnsi="Verdana"/>
          <w:b/>
          <w:sz w:val="20"/>
          <w:szCs w:val="20"/>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5.03 Investeringsruimte</w:t>
      </w:r>
    </w:p>
    <w:p w:rsidR="009F2ED6" w:rsidRPr="00A075F9" w:rsidRDefault="009F2ED6" w:rsidP="009F2ED6">
      <w:pPr>
        <w:pStyle w:val="Geenafstand"/>
        <w:rPr>
          <w:rFonts w:ascii="Verdana" w:hAnsi="Verdana"/>
          <w:sz w:val="20"/>
          <w:szCs w:val="20"/>
        </w:rPr>
      </w:pPr>
      <w:r w:rsidRPr="00A075F9">
        <w:rPr>
          <w:rFonts w:ascii="Verdana" w:hAnsi="Verdana"/>
          <w:sz w:val="20"/>
          <w:szCs w:val="20"/>
        </w:rPr>
        <w:t>Op dit artikelonderdeel vinden drie mutaties plaats</w:t>
      </w:r>
      <w:r>
        <w:rPr>
          <w:rFonts w:ascii="Verdana" w:hAnsi="Verdana"/>
          <w:sz w:val="20"/>
          <w:szCs w:val="20"/>
        </w:rPr>
        <w:t xml:space="preserve"> die de stand in 2015 met circa € 1,2 miljoen verlagen</w:t>
      </w:r>
      <w:r w:rsidRPr="00A075F9">
        <w:rPr>
          <w:rFonts w:ascii="Verdana" w:hAnsi="Verdana"/>
          <w:sz w:val="20"/>
          <w:szCs w:val="20"/>
        </w:rPr>
        <w:t>. Het gaat om de dekking van de uitvoering van zoetwatermaatregelen van nationaal belang op artikelonderdeel 2.02 Overige waterinvesteringen zoetwatervoorziening (- € 1,5 miljoen), de verwerking van het saldo 2014 (€ 23,</w:t>
      </w:r>
      <w:r>
        <w:rPr>
          <w:rFonts w:ascii="Verdana" w:hAnsi="Verdana"/>
          <w:sz w:val="20"/>
          <w:szCs w:val="20"/>
        </w:rPr>
        <w:t>8</w:t>
      </w:r>
      <w:r w:rsidRPr="00A075F9">
        <w:rPr>
          <w:rFonts w:ascii="Verdana" w:hAnsi="Verdana"/>
          <w:sz w:val="20"/>
          <w:szCs w:val="20"/>
        </w:rPr>
        <w:t xml:space="preserve"> miljoen) en het doorschuiven van de niet opgelost</w:t>
      </w:r>
      <w:r>
        <w:rPr>
          <w:rFonts w:ascii="Verdana" w:hAnsi="Verdana"/>
          <w:sz w:val="20"/>
          <w:szCs w:val="20"/>
        </w:rPr>
        <w:t>e</w:t>
      </w:r>
      <w:r w:rsidRPr="00A075F9">
        <w:rPr>
          <w:rFonts w:ascii="Verdana" w:hAnsi="Verdana"/>
          <w:sz w:val="20"/>
          <w:szCs w:val="20"/>
        </w:rPr>
        <w:t xml:space="preserve"> </w:t>
      </w:r>
      <w:proofErr w:type="spellStart"/>
      <w:r w:rsidRPr="00A075F9">
        <w:rPr>
          <w:rFonts w:ascii="Verdana" w:hAnsi="Verdana"/>
          <w:sz w:val="20"/>
          <w:szCs w:val="20"/>
        </w:rPr>
        <w:t>minregel</w:t>
      </w:r>
      <w:proofErr w:type="spellEnd"/>
      <w:r w:rsidRPr="00A075F9">
        <w:rPr>
          <w:rFonts w:ascii="Verdana" w:hAnsi="Verdana"/>
          <w:sz w:val="20"/>
          <w:szCs w:val="20"/>
        </w:rPr>
        <w:t xml:space="preserve"> 2014 (</w:t>
      </w:r>
      <w:r>
        <w:rPr>
          <w:rFonts w:ascii="Verdana" w:hAnsi="Verdana"/>
          <w:sz w:val="20"/>
          <w:szCs w:val="20"/>
        </w:rPr>
        <w:t xml:space="preserve">- </w:t>
      </w:r>
      <w:r w:rsidRPr="00A075F9">
        <w:rPr>
          <w:rFonts w:ascii="Verdana" w:hAnsi="Verdana"/>
          <w:sz w:val="20"/>
          <w:szCs w:val="20"/>
        </w:rPr>
        <w:t>€ 23,6 miljoen).</w:t>
      </w:r>
    </w:p>
    <w:p w:rsidR="009F2ED6" w:rsidRDefault="009F2ED6" w:rsidP="009F2ED6">
      <w:pPr>
        <w:pStyle w:val="Geenafstand"/>
        <w:rPr>
          <w:rFonts w:ascii="Verdana" w:hAnsi="Verdana"/>
          <w:sz w:val="20"/>
          <w:szCs w:val="20"/>
          <w:u w:val="single"/>
        </w:rPr>
      </w:pPr>
    </w:p>
    <w:p w:rsidR="009F2ED6" w:rsidRPr="007D5AA2" w:rsidRDefault="009F2ED6" w:rsidP="009F2ED6">
      <w:pPr>
        <w:pStyle w:val="Geenafstand"/>
        <w:rPr>
          <w:rFonts w:ascii="Verdana" w:hAnsi="Verdana"/>
          <w:i/>
          <w:sz w:val="20"/>
          <w:szCs w:val="20"/>
        </w:rPr>
      </w:pPr>
      <w:r w:rsidRPr="007D5AA2">
        <w:rPr>
          <w:rFonts w:ascii="Verdana" w:hAnsi="Verdana"/>
          <w:i/>
          <w:sz w:val="20"/>
          <w:szCs w:val="20"/>
        </w:rPr>
        <w:t>Zoetwatermaatregelen van nationaal belang</w:t>
      </w:r>
    </w:p>
    <w:p w:rsidR="009F2ED6" w:rsidRPr="000106BF" w:rsidRDefault="009F2ED6" w:rsidP="009F2ED6">
      <w:pPr>
        <w:pStyle w:val="Geenafstand"/>
        <w:rPr>
          <w:rFonts w:ascii="Verdana" w:hAnsi="Verdana"/>
          <w:sz w:val="20"/>
          <w:szCs w:val="20"/>
        </w:rPr>
      </w:pPr>
      <w:r w:rsidRPr="000106BF">
        <w:rPr>
          <w:rFonts w:ascii="Verdana" w:hAnsi="Verdana"/>
          <w:sz w:val="20"/>
          <w:szCs w:val="20"/>
        </w:rPr>
        <w:t xml:space="preserve">Deze mutatie </w:t>
      </w:r>
      <w:r>
        <w:rPr>
          <w:rFonts w:ascii="Verdana" w:hAnsi="Verdana"/>
          <w:sz w:val="20"/>
          <w:szCs w:val="20"/>
        </w:rPr>
        <w:t>betreft de overheveling en het in de juiste jaren zetten van de gereserveerde investeringsruimte zoetwater naar  het</w:t>
      </w:r>
      <w:r w:rsidRPr="000106BF">
        <w:rPr>
          <w:rFonts w:ascii="Verdana" w:hAnsi="Verdana"/>
          <w:sz w:val="20"/>
          <w:szCs w:val="20"/>
        </w:rPr>
        <w:t xml:space="preserve"> artikelonderdeel 2.02 </w:t>
      </w:r>
      <w:r>
        <w:rPr>
          <w:rFonts w:ascii="Verdana" w:hAnsi="Verdana"/>
          <w:sz w:val="20"/>
          <w:szCs w:val="20"/>
        </w:rPr>
        <w:t>‘</w:t>
      </w:r>
      <w:r w:rsidRPr="002A7DBC">
        <w:rPr>
          <w:rFonts w:ascii="Verdana" w:hAnsi="Verdana"/>
          <w:sz w:val="20"/>
          <w:szCs w:val="20"/>
        </w:rPr>
        <w:t>Overige waterinvesteringen zoetwatervoorziening</w:t>
      </w:r>
      <w:r>
        <w:rPr>
          <w:rFonts w:ascii="Verdana" w:hAnsi="Verdana"/>
          <w:sz w:val="20"/>
          <w:szCs w:val="20"/>
        </w:rPr>
        <w:t>’</w:t>
      </w:r>
      <w:r w:rsidRPr="002A7DBC">
        <w:rPr>
          <w:rFonts w:ascii="Verdana" w:hAnsi="Verdana"/>
          <w:sz w:val="20"/>
          <w:szCs w:val="20"/>
        </w:rPr>
        <w:t xml:space="preserve"> ten behoeve van</w:t>
      </w:r>
      <w:r>
        <w:rPr>
          <w:rFonts w:ascii="Verdana" w:hAnsi="Verdana"/>
          <w:sz w:val="20"/>
          <w:szCs w:val="20"/>
        </w:rPr>
        <w:t xml:space="preserve"> het investeringsprogramma</w:t>
      </w:r>
      <w:r w:rsidRPr="002A7DBC">
        <w:rPr>
          <w:rFonts w:ascii="Verdana" w:hAnsi="Verdana"/>
          <w:sz w:val="20"/>
          <w:szCs w:val="20"/>
        </w:rPr>
        <w:t xml:space="preserve"> zo</w:t>
      </w:r>
      <w:r w:rsidRPr="000106BF">
        <w:rPr>
          <w:rFonts w:ascii="Verdana" w:hAnsi="Verdana"/>
          <w:sz w:val="20"/>
          <w:szCs w:val="20"/>
        </w:rPr>
        <w:t>etwater</w:t>
      </w:r>
      <w:r>
        <w:rPr>
          <w:rFonts w:ascii="Verdana" w:hAnsi="Verdana"/>
          <w:sz w:val="20"/>
          <w:szCs w:val="20"/>
        </w:rPr>
        <w:t xml:space="preserve"> (in totaal € 145,1 miljoen tussen 2015 en 2021, waarvan € 1,5 miljoen in 2015). Voor een nadere toelichting zie het genoemde artikelonderdeel.</w:t>
      </w:r>
    </w:p>
    <w:p w:rsidR="009F2ED6" w:rsidRDefault="009F2ED6" w:rsidP="009F2ED6">
      <w:pPr>
        <w:pStyle w:val="Geenafstand"/>
        <w:rPr>
          <w:rFonts w:ascii="Verdana" w:hAnsi="Verdana"/>
          <w:sz w:val="20"/>
          <w:szCs w:val="20"/>
          <w:u w:val="single"/>
        </w:rPr>
      </w:pPr>
    </w:p>
    <w:p w:rsidR="009F2ED6" w:rsidRPr="00DE0D9D" w:rsidRDefault="009F2ED6" w:rsidP="009F2ED6">
      <w:pPr>
        <w:pStyle w:val="Geenafstand"/>
        <w:rPr>
          <w:rFonts w:ascii="Verdana" w:hAnsi="Verdana"/>
          <w:i/>
          <w:sz w:val="20"/>
          <w:szCs w:val="20"/>
        </w:rPr>
      </w:pPr>
      <w:r w:rsidRPr="007A69B1">
        <w:rPr>
          <w:rFonts w:ascii="Verdana" w:hAnsi="Verdana"/>
          <w:i/>
          <w:sz w:val="20"/>
          <w:szCs w:val="20"/>
        </w:rPr>
        <w:t>Saldo 2014</w:t>
      </w:r>
    </w:p>
    <w:p w:rsidR="009F2ED6" w:rsidRDefault="009F2ED6" w:rsidP="009F2ED6">
      <w:pPr>
        <w:pStyle w:val="Geenafstand"/>
        <w:rPr>
          <w:rFonts w:ascii="Verdana" w:hAnsi="Verdana"/>
          <w:sz w:val="20"/>
          <w:szCs w:val="20"/>
        </w:rPr>
      </w:pPr>
      <w:r w:rsidRPr="00801F39">
        <w:rPr>
          <w:rFonts w:ascii="Verdana" w:hAnsi="Verdana"/>
          <w:sz w:val="20"/>
          <w:szCs w:val="20"/>
        </w:rPr>
        <w:t xml:space="preserve">De begrotingstand in 2015 wordt met € </w:t>
      </w:r>
      <w:r>
        <w:rPr>
          <w:rFonts w:ascii="Verdana" w:hAnsi="Verdana"/>
          <w:sz w:val="20"/>
          <w:szCs w:val="20"/>
        </w:rPr>
        <w:t>23,8</w:t>
      </w:r>
      <w:r w:rsidRPr="00801F39">
        <w:rPr>
          <w:rFonts w:ascii="Verdana" w:hAnsi="Verdana"/>
          <w:sz w:val="20"/>
          <w:szCs w:val="20"/>
        </w:rPr>
        <w:t xml:space="preserve"> miljoen </w:t>
      </w:r>
      <w:r>
        <w:rPr>
          <w:rFonts w:ascii="Verdana" w:hAnsi="Verdana"/>
          <w:sz w:val="20"/>
          <w:szCs w:val="20"/>
        </w:rPr>
        <w:t>verhoo</w:t>
      </w:r>
      <w:r w:rsidRPr="00801F39">
        <w:rPr>
          <w:rFonts w:ascii="Verdana" w:hAnsi="Verdana"/>
          <w:sz w:val="20"/>
          <w:szCs w:val="20"/>
        </w:rPr>
        <w:t xml:space="preserve">gd als gevolg van de technische verwerking van het saldo 2014. </w:t>
      </w:r>
      <w:r>
        <w:rPr>
          <w:rFonts w:ascii="Verdana" w:hAnsi="Verdana"/>
          <w:sz w:val="20"/>
          <w:szCs w:val="20"/>
        </w:rPr>
        <w:t xml:space="preserve">Door deze verhoging blijft de omvang van de meerjarige </w:t>
      </w:r>
      <w:proofErr w:type="spellStart"/>
      <w:r>
        <w:rPr>
          <w:rFonts w:ascii="Verdana" w:hAnsi="Verdana"/>
          <w:sz w:val="20"/>
          <w:szCs w:val="20"/>
        </w:rPr>
        <w:t>budgetten</w:t>
      </w:r>
      <w:proofErr w:type="spellEnd"/>
      <w:r>
        <w:rPr>
          <w:rFonts w:ascii="Verdana" w:hAnsi="Verdana"/>
          <w:sz w:val="20"/>
          <w:szCs w:val="20"/>
        </w:rPr>
        <w:t xml:space="preserve"> ongewijzigd.</w:t>
      </w:r>
    </w:p>
    <w:p w:rsidR="009F2ED6" w:rsidRDefault="009F2ED6" w:rsidP="009F2ED6">
      <w:pPr>
        <w:pStyle w:val="Geenafstand"/>
        <w:rPr>
          <w:rFonts w:ascii="Verdana" w:hAnsi="Verdana"/>
          <w:sz w:val="20"/>
          <w:szCs w:val="20"/>
        </w:rPr>
      </w:pPr>
    </w:p>
    <w:p w:rsidR="009F2ED6" w:rsidRPr="00660A99" w:rsidRDefault="009F2ED6" w:rsidP="009F2ED6">
      <w:pPr>
        <w:pStyle w:val="Geenafstand"/>
        <w:rPr>
          <w:rFonts w:ascii="Verdana" w:hAnsi="Verdana"/>
          <w:i/>
          <w:sz w:val="20"/>
          <w:szCs w:val="20"/>
        </w:rPr>
      </w:pPr>
      <w:r>
        <w:rPr>
          <w:rFonts w:ascii="Verdana" w:hAnsi="Verdana"/>
          <w:i/>
          <w:sz w:val="20"/>
          <w:szCs w:val="20"/>
        </w:rPr>
        <w:t>Minrege</w:t>
      </w:r>
      <w:r w:rsidRPr="003A3852">
        <w:rPr>
          <w:rFonts w:ascii="Verdana" w:hAnsi="Verdana"/>
          <w:i/>
          <w:sz w:val="20"/>
          <w:szCs w:val="20"/>
        </w:rPr>
        <w:t>l</w:t>
      </w:r>
      <w:r>
        <w:rPr>
          <w:rFonts w:ascii="Verdana" w:hAnsi="Verdana"/>
          <w:i/>
          <w:sz w:val="20"/>
          <w:szCs w:val="20"/>
        </w:rPr>
        <w:t>s prijsbijstelling 2013 en 2014</w:t>
      </w:r>
    </w:p>
    <w:p w:rsidR="009F2ED6" w:rsidRDefault="009F2ED6" w:rsidP="009F2ED6">
      <w:pPr>
        <w:pStyle w:val="Geenafstand"/>
        <w:rPr>
          <w:rFonts w:ascii="Verdana" w:hAnsi="Verdana"/>
          <w:sz w:val="20"/>
          <w:szCs w:val="20"/>
        </w:rPr>
      </w:pPr>
      <w:r w:rsidRPr="007A69B1">
        <w:rPr>
          <w:rFonts w:ascii="Verdana" w:hAnsi="Verdana"/>
          <w:sz w:val="20"/>
          <w:szCs w:val="20"/>
        </w:rPr>
        <w:t xml:space="preserve">In 2014 is gebruik gemaakt van € 23,6 miljoen van de ruimte binnen de </w:t>
      </w:r>
      <w:proofErr w:type="spellStart"/>
      <w:r w:rsidRPr="007A69B1">
        <w:rPr>
          <w:rFonts w:ascii="Verdana" w:hAnsi="Verdana"/>
          <w:sz w:val="20"/>
          <w:szCs w:val="20"/>
        </w:rPr>
        <w:t>minregel</w:t>
      </w:r>
      <w:proofErr w:type="spellEnd"/>
      <w:r w:rsidRPr="007A69B1">
        <w:rPr>
          <w:rFonts w:ascii="Verdana" w:hAnsi="Verdana"/>
          <w:sz w:val="20"/>
          <w:szCs w:val="20"/>
        </w:rPr>
        <w:t xml:space="preserve"> als gevolg van de ingehouden prijsbijstelling 2013 en 2014. De afspraak is dat het kader hiervoor in het volgende jaar technisch gecorrigeerd wordt.  Hierdoor wordt het uitgavenkader van dit artikelonderdeel in 2015 met € 2</w:t>
      </w:r>
      <w:r>
        <w:rPr>
          <w:rFonts w:ascii="Verdana" w:hAnsi="Verdana"/>
          <w:sz w:val="20"/>
          <w:szCs w:val="20"/>
        </w:rPr>
        <w:t>3,6</w:t>
      </w:r>
      <w:r w:rsidRPr="007A69B1">
        <w:rPr>
          <w:rFonts w:ascii="Verdana" w:hAnsi="Verdana"/>
          <w:sz w:val="20"/>
          <w:szCs w:val="20"/>
        </w:rPr>
        <w:t xml:space="preserve"> miljoen verlaagd. </w:t>
      </w:r>
    </w:p>
    <w:p w:rsidR="009F2ED6" w:rsidRPr="009E62F8" w:rsidRDefault="009F2ED6" w:rsidP="009F2ED6">
      <w:pPr>
        <w:autoSpaceDE w:val="0"/>
        <w:autoSpaceDN w:val="0"/>
        <w:rPr>
          <w:rFonts w:ascii="Calibri" w:hAnsi="Calibri" w:cs="Calibri"/>
          <w:sz w:val="22"/>
          <w:szCs w:val="22"/>
        </w:rPr>
      </w:pPr>
      <w:r w:rsidRPr="009E62F8">
        <w:rPr>
          <w:rFonts w:ascii="Segoe UI" w:hAnsi="Segoe UI" w:cs="Segoe UI"/>
        </w:rPr>
        <w:t> </w:t>
      </w:r>
    </w:p>
    <w:p w:rsidR="009F2ED6" w:rsidRPr="00DB444D" w:rsidRDefault="009F2ED6" w:rsidP="009F2ED6">
      <w:pPr>
        <w:pStyle w:val="Geenafstand"/>
        <w:rPr>
          <w:rFonts w:ascii="Verdana" w:hAnsi="Verdana"/>
          <w:b/>
          <w:sz w:val="20"/>
          <w:szCs w:val="20"/>
        </w:rPr>
      </w:pPr>
    </w:p>
    <w:p w:rsidR="009F2ED6" w:rsidRPr="00A41E09" w:rsidRDefault="009F2ED6" w:rsidP="009F2ED6">
      <w:pPr>
        <w:pStyle w:val="Geenafstand"/>
        <w:rPr>
          <w:rFonts w:ascii="Verdana" w:hAnsi="Verdana"/>
          <w:sz w:val="20"/>
          <w:szCs w:val="20"/>
        </w:rPr>
      </w:pPr>
      <w:r w:rsidRPr="00DB444D">
        <w:rPr>
          <w:rFonts w:ascii="Verdana" w:hAnsi="Verdana"/>
          <w:b/>
          <w:sz w:val="20"/>
          <w:szCs w:val="20"/>
        </w:rPr>
        <w:t>5.10 Saldo van afgesloten rekeningen</w:t>
      </w:r>
      <w:r w:rsidRPr="00DB444D">
        <w:rPr>
          <w:rFonts w:ascii="Verdana" w:hAnsi="Verdana"/>
          <w:b/>
          <w:sz w:val="20"/>
          <w:szCs w:val="20"/>
        </w:rPr>
        <w:br/>
      </w:r>
      <w:r w:rsidRPr="00A41E09">
        <w:rPr>
          <w:rFonts w:ascii="Verdana" w:hAnsi="Verdana"/>
          <w:sz w:val="20"/>
          <w:szCs w:val="20"/>
        </w:rPr>
        <w:t>Zo</w:t>
      </w:r>
      <w:r>
        <w:rPr>
          <w:rFonts w:ascii="Verdana" w:hAnsi="Verdana"/>
          <w:sz w:val="20"/>
          <w:szCs w:val="20"/>
        </w:rPr>
        <w:t>als in het algemene</w:t>
      </w:r>
      <w:r w:rsidRPr="00A41E09">
        <w:rPr>
          <w:rFonts w:ascii="Verdana" w:hAnsi="Verdana"/>
          <w:sz w:val="20"/>
          <w:szCs w:val="20"/>
        </w:rPr>
        <w:t xml:space="preserve"> deel van deze memorie van toelichting reeds is aangegeven, bedraagt het </w:t>
      </w:r>
      <w:r>
        <w:rPr>
          <w:rFonts w:ascii="Verdana" w:hAnsi="Verdana"/>
          <w:sz w:val="20"/>
          <w:szCs w:val="20"/>
        </w:rPr>
        <w:t>nadelig</w:t>
      </w:r>
      <w:r w:rsidRPr="00A41E09">
        <w:rPr>
          <w:rFonts w:ascii="Verdana" w:hAnsi="Verdana"/>
          <w:sz w:val="20"/>
          <w:szCs w:val="20"/>
        </w:rPr>
        <w:t xml:space="preserve"> saldo van het fonds over het jaar </w:t>
      </w:r>
      <w:r>
        <w:rPr>
          <w:rFonts w:ascii="Verdana" w:hAnsi="Verdana"/>
          <w:sz w:val="20"/>
          <w:szCs w:val="20"/>
        </w:rPr>
        <w:t>2014</w:t>
      </w:r>
      <w:r w:rsidRPr="00A41E09">
        <w:rPr>
          <w:rFonts w:ascii="Verdana" w:hAnsi="Verdana"/>
          <w:sz w:val="20"/>
          <w:szCs w:val="20"/>
        </w:rPr>
        <w:t xml:space="preserve"> </w:t>
      </w:r>
      <w:r w:rsidRPr="002A7DBC">
        <w:rPr>
          <w:rFonts w:ascii="Verdana" w:hAnsi="Verdana"/>
          <w:sz w:val="20"/>
          <w:szCs w:val="20"/>
        </w:rPr>
        <w:t>ca. € 37,9 miljoen</w:t>
      </w:r>
      <w:r w:rsidRPr="00A41E09">
        <w:rPr>
          <w:rFonts w:ascii="Verdana" w:hAnsi="Verdana"/>
          <w:sz w:val="20"/>
          <w:szCs w:val="20"/>
        </w:rPr>
        <w:t>. Dit saldo wordt gevormd door de saldering van de in dat jaar gerealiseerde uitgaven en inkomsten en wordt in 2014 geheel ten laste gebracht van de</w:t>
      </w:r>
      <w:r>
        <w:rPr>
          <w:rFonts w:ascii="Verdana" w:hAnsi="Verdana"/>
          <w:sz w:val="20"/>
          <w:szCs w:val="20"/>
        </w:rPr>
        <w:t xml:space="preserve"> het artikelonderdeel 5.10</w:t>
      </w:r>
      <w:r w:rsidRPr="00A41E09">
        <w:rPr>
          <w:rFonts w:ascii="Verdana" w:hAnsi="Verdana"/>
          <w:sz w:val="20"/>
          <w:szCs w:val="20"/>
        </w:rPr>
        <w:t xml:space="preserve"> Saldo van de afgesloten rekeningen.</w:t>
      </w:r>
      <w:r>
        <w:rPr>
          <w:rFonts w:ascii="Verdana" w:hAnsi="Verdana"/>
          <w:sz w:val="20"/>
          <w:szCs w:val="20"/>
        </w:rPr>
        <w:t xml:space="preserve"> </w:t>
      </w:r>
      <w:r w:rsidRPr="00A41E09">
        <w:rPr>
          <w:rFonts w:ascii="Verdana" w:hAnsi="Verdana"/>
          <w:sz w:val="20"/>
          <w:szCs w:val="20"/>
        </w:rPr>
        <w:t xml:space="preserve">Bij alle uitgaven- en ontvangstenartikelen zijn in dit wetsvoorstel mutaties opgenomen, die voortvloeien uit de verdeling van het </w:t>
      </w:r>
      <w:r>
        <w:rPr>
          <w:rFonts w:ascii="Verdana" w:hAnsi="Verdana"/>
          <w:sz w:val="20"/>
          <w:szCs w:val="20"/>
        </w:rPr>
        <w:t>voordelig</w:t>
      </w:r>
      <w:r w:rsidRPr="00A41E09">
        <w:rPr>
          <w:rFonts w:ascii="Verdana" w:hAnsi="Verdana"/>
          <w:sz w:val="20"/>
          <w:szCs w:val="20"/>
        </w:rPr>
        <w:t xml:space="preserve"> saldo van de afgesloten rekeningen naar de juiste artikelen en </w:t>
      </w:r>
      <w:r>
        <w:rPr>
          <w:rFonts w:ascii="Verdana" w:hAnsi="Verdana"/>
          <w:sz w:val="20"/>
          <w:szCs w:val="20"/>
        </w:rPr>
        <w:t>producten.</w:t>
      </w:r>
    </w:p>
    <w:p w:rsidR="009F2ED6" w:rsidRPr="00DB444D" w:rsidRDefault="009F2ED6" w:rsidP="009F2ED6">
      <w:pPr>
        <w:pStyle w:val="Geenafstand"/>
        <w:rPr>
          <w:rFonts w:ascii="Verdana" w:hAnsi="Verdana"/>
          <w:b/>
          <w:sz w:val="20"/>
          <w:szCs w:val="20"/>
        </w:rPr>
      </w:pPr>
    </w:p>
    <w:p w:rsidR="009F2ED6" w:rsidRPr="00DB444D" w:rsidRDefault="009F2ED6" w:rsidP="009F2ED6">
      <w:pPr>
        <w:pStyle w:val="Geenafstand"/>
        <w:rPr>
          <w:rFonts w:ascii="Verdana" w:hAnsi="Verdana"/>
          <w:b/>
          <w:sz w:val="20"/>
          <w:szCs w:val="20"/>
        </w:rPr>
      </w:pPr>
      <w:r w:rsidRPr="00DB444D">
        <w:rPr>
          <w:rFonts w:ascii="Verdana" w:hAnsi="Verdana"/>
          <w:b/>
          <w:sz w:val="20"/>
          <w:szCs w:val="20"/>
        </w:rPr>
        <w:t>Verplichtingen</w:t>
      </w:r>
    </w:p>
    <w:p w:rsidR="009F2ED6" w:rsidRPr="002A0001" w:rsidRDefault="009F2ED6" w:rsidP="009F2ED6">
      <w:pPr>
        <w:pStyle w:val="Geenafstand"/>
        <w:rPr>
          <w:rFonts w:ascii="Verdana" w:hAnsi="Verdana"/>
          <w:bCs/>
          <w:sz w:val="20"/>
          <w:szCs w:val="20"/>
        </w:rPr>
      </w:pPr>
      <w:r w:rsidRPr="002A0001">
        <w:rPr>
          <w:rFonts w:ascii="Verdana" w:hAnsi="Verdana"/>
          <w:bCs/>
          <w:sz w:val="20"/>
          <w:szCs w:val="20"/>
        </w:rPr>
        <w:t>D</w:t>
      </w:r>
      <w:r>
        <w:rPr>
          <w:rFonts w:ascii="Verdana" w:hAnsi="Verdana"/>
          <w:bCs/>
          <w:sz w:val="20"/>
          <w:szCs w:val="20"/>
        </w:rPr>
        <w:t>e</w:t>
      </w:r>
      <w:r w:rsidRPr="002A0001">
        <w:rPr>
          <w:rFonts w:ascii="Verdana" w:hAnsi="Verdana"/>
          <w:bCs/>
          <w:sz w:val="20"/>
          <w:szCs w:val="20"/>
        </w:rPr>
        <w:t xml:space="preserve"> verplichtingen</w:t>
      </w:r>
      <w:r>
        <w:rPr>
          <w:rFonts w:ascii="Verdana" w:hAnsi="Verdana"/>
          <w:bCs/>
          <w:sz w:val="20"/>
          <w:szCs w:val="20"/>
        </w:rPr>
        <w:t xml:space="preserve">mutaties zijn hoofdzakelijk een weerspiegeling van de </w:t>
      </w:r>
      <w:r w:rsidRPr="002A0001">
        <w:rPr>
          <w:rFonts w:ascii="Verdana" w:hAnsi="Verdana"/>
          <w:bCs/>
          <w:sz w:val="20"/>
          <w:szCs w:val="20"/>
        </w:rPr>
        <w:t xml:space="preserve">bovenstaande </w:t>
      </w:r>
      <w:r>
        <w:rPr>
          <w:rFonts w:ascii="Verdana" w:hAnsi="Verdana"/>
          <w:bCs/>
          <w:sz w:val="20"/>
          <w:szCs w:val="20"/>
        </w:rPr>
        <w:t>toegelichte kasmutaties.</w:t>
      </w:r>
    </w:p>
    <w:p w:rsidR="009F2ED6" w:rsidRPr="002A0001" w:rsidRDefault="009F2ED6" w:rsidP="009F2ED6">
      <w:pPr>
        <w:pStyle w:val="Geenafstand"/>
        <w:rPr>
          <w:rFonts w:ascii="Verdana" w:hAnsi="Verdana"/>
          <w:bCs/>
          <w:sz w:val="20"/>
          <w:szCs w:val="20"/>
          <w:u w:val="single"/>
        </w:rPr>
      </w:pPr>
    </w:p>
    <w:p w:rsidR="009F2ED6" w:rsidRPr="00167AF1" w:rsidRDefault="009F2ED6" w:rsidP="009F2ED6">
      <w:pPr>
        <w:rPr>
          <w:rFonts w:ascii="Verdana" w:hAnsi="Verdana"/>
          <w:sz w:val="18"/>
          <w:szCs w:val="18"/>
        </w:rPr>
      </w:pPr>
    </w:p>
    <w:p w:rsidR="009F2ED6" w:rsidRDefault="009F2ED6" w:rsidP="009F2ED6">
      <w:pPr>
        <w:rPr>
          <w:rFonts w:ascii="Verdana" w:hAnsi="Verdana"/>
          <w:sz w:val="18"/>
          <w:szCs w:val="18"/>
        </w:rPr>
        <w:sectPr w:rsidR="009F2ED6" w:rsidSect="007253A7">
          <w:type w:val="oddPage"/>
          <w:pgSz w:w="11907" w:h="16840" w:code="9"/>
          <w:pgMar w:top="1417" w:right="1417" w:bottom="1417" w:left="1417" w:header="709" w:footer="709" w:gutter="0"/>
          <w:cols w:space="708"/>
          <w:noEndnote/>
        </w:sectPr>
      </w:pPr>
    </w:p>
    <w:p w:rsidR="009F2ED6" w:rsidRPr="00167AF1" w:rsidRDefault="009F2ED6" w:rsidP="009F2ED6">
      <w:pPr>
        <w:rPr>
          <w:rFonts w:ascii="Verdana" w:hAnsi="Verdana"/>
          <w:sz w:val="18"/>
          <w:szCs w:val="18"/>
        </w:rPr>
      </w:pPr>
    </w:p>
    <w:p w:rsidR="009F2ED6" w:rsidRPr="00A742AE" w:rsidRDefault="009F2ED6" w:rsidP="009F2ED6">
      <w:pPr>
        <w:ind w:left="720"/>
        <w:rPr>
          <w:rFonts w:ascii="Verdana" w:hAnsi="Verdana"/>
          <w:b/>
        </w:rPr>
      </w:pPr>
      <w:r w:rsidRPr="00A742AE">
        <w:rPr>
          <w:rFonts w:ascii="Verdana" w:hAnsi="Verdana"/>
          <w:b/>
        </w:rPr>
        <w:t>Artikel 6 Bijdragen ten laste van begroting Hoofdstuk XII</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0175622F" wp14:editId="0F4451BC">
            <wp:extent cx="5939790" cy="1309370"/>
            <wp:effectExtent l="1905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8" cstate="print"/>
                    <a:srcRect/>
                    <a:stretch>
                      <a:fillRect/>
                    </a:stretch>
                  </pic:blipFill>
                  <pic:spPr bwMode="auto">
                    <a:xfrm>
                      <a:off x="0" y="0"/>
                      <a:ext cx="5939790" cy="130937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Pr="001902A7" w:rsidRDefault="009F2ED6" w:rsidP="009F2ED6">
      <w:pPr>
        <w:pStyle w:val="Geenafstand"/>
        <w:rPr>
          <w:rFonts w:ascii="Verdana" w:hAnsi="Verdana"/>
          <w:b/>
          <w:sz w:val="20"/>
          <w:szCs w:val="20"/>
        </w:rPr>
      </w:pPr>
      <w:r>
        <w:rPr>
          <w:rFonts w:ascii="Verdana" w:hAnsi="Verdana"/>
          <w:b/>
          <w:sz w:val="20"/>
          <w:szCs w:val="20"/>
        </w:rPr>
        <w:t>6</w:t>
      </w:r>
      <w:r w:rsidRPr="001902A7">
        <w:rPr>
          <w:rFonts w:ascii="Verdana" w:hAnsi="Verdana"/>
          <w:b/>
          <w:sz w:val="20"/>
          <w:szCs w:val="20"/>
        </w:rPr>
        <w:t xml:space="preserve">.09 </w:t>
      </w:r>
      <w:r>
        <w:rPr>
          <w:rFonts w:ascii="Verdana" w:hAnsi="Verdana"/>
          <w:b/>
          <w:sz w:val="20"/>
          <w:szCs w:val="20"/>
        </w:rPr>
        <w:t>Bijdragen t</w:t>
      </w:r>
      <w:r w:rsidRPr="001902A7">
        <w:rPr>
          <w:rFonts w:ascii="Verdana" w:hAnsi="Verdana"/>
          <w:b/>
          <w:sz w:val="20"/>
          <w:szCs w:val="20"/>
        </w:rPr>
        <w:t xml:space="preserve">en laste </w:t>
      </w:r>
      <w:r>
        <w:rPr>
          <w:rFonts w:ascii="Verdana" w:hAnsi="Verdana"/>
          <w:b/>
          <w:sz w:val="20"/>
          <w:szCs w:val="20"/>
        </w:rPr>
        <w:t xml:space="preserve">van </w:t>
      </w:r>
      <w:r w:rsidRPr="001902A7">
        <w:rPr>
          <w:rFonts w:ascii="Verdana" w:hAnsi="Verdana"/>
          <w:b/>
          <w:sz w:val="20"/>
          <w:szCs w:val="20"/>
        </w:rPr>
        <w:t xml:space="preserve">begroting </w:t>
      </w:r>
      <w:proofErr w:type="spellStart"/>
      <w:r w:rsidRPr="001902A7">
        <w:rPr>
          <w:rFonts w:ascii="Verdana" w:hAnsi="Verdana"/>
          <w:b/>
          <w:sz w:val="20"/>
          <w:szCs w:val="20"/>
        </w:rPr>
        <w:t>IenM</w:t>
      </w:r>
      <w:proofErr w:type="spellEnd"/>
    </w:p>
    <w:p w:rsidR="009F2ED6" w:rsidRPr="00B34769" w:rsidRDefault="009F2ED6" w:rsidP="009F2ED6">
      <w:pPr>
        <w:rPr>
          <w:rFonts w:ascii="Verdana" w:hAnsi="Verdana"/>
          <w:b/>
        </w:rPr>
      </w:pPr>
      <w:r w:rsidRPr="00BC733F">
        <w:rPr>
          <w:rFonts w:ascii="Verdana" w:hAnsi="Verdana"/>
        </w:rPr>
        <w:t xml:space="preserve">De neerwaartse bijstelling van de ontvangsten is het gevolg van de overboekingen met de </w:t>
      </w:r>
      <w:r w:rsidRPr="00A075F9">
        <w:rPr>
          <w:rFonts w:ascii="Verdana" w:hAnsi="Verdana"/>
        </w:rPr>
        <w:t xml:space="preserve">begroting Hoofdstuk XII. Het gaat met name om de op artikel 1 toegelichte kasschuif </w:t>
      </w:r>
      <w:r>
        <w:rPr>
          <w:rFonts w:ascii="Verdana" w:hAnsi="Verdana"/>
        </w:rPr>
        <w:t xml:space="preserve">op het Deltafonds </w:t>
      </w:r>
      <w:r w:rsidRPr="00A075F9">
        <w:rPr>
          <w:rFonts w:ascii="Verdana" w:hAnsi="Verdana"/>
        </w:rPr>
        <w:t xml:space="preserve">(€ </w:t>
      </w:r>
      <w:r>
        <w:rPr>
          <w:rFonts w:ascii="Verdana" w:hAnsi="Verdana"/>
        </w:rPr>
        <w:t xml:space="preserve">75 miljoen van 2015 naar 2019) via de algemene middelen. Daarnaast hebben </w:t>
      </w:r>
      <w:proofErr w:type="spellStart"/>
      <w:r>
        <w:rPr>
          <w:rFonts w:ascii="Verdana" w:hAnsi="Verdana"/>
        </w:rPr>
        <w:t>IenM</w:t>
      </w:r>
      <w:proofErr w:type="spellEnd"/>
      <w:r>
        <w:rPr>
          <w:rFonts w:ascii="Verdana" w:hAnsi="Verdana"/>
        </w:rPr>
        <w:t xml:space="preserve"> en EZ</w:t>
      </w:r>
      <w:r w:rsidRPr="003F4135">
        <w:rPr>
          <w:rFonts w:ascii="Verdana" w:hAnsi="Verdana"/>
        </w:rPr>
        <w:t xml:space="preserve"> afgesproken om gezamenlijk het monitoringbudget van RWS </w:t>
      </w:r>
      <w:r>
        <w:rPr>
          <w:rFonts w:ascii="Verdana" w:hAnsi="Verdana"/>
        </w:rPr>
        <w:t xml:space="preserve">in de komende jaren met € 0,8 miljoen </w:t>
      </w:r>
      <w:r w:rsidRPr="003F4135">
        <w:rPr>
          <w:rFonts w:ascii="Verdana" w:hAnsi="Verdana"/>
        </w:rPr>
        <w:t>per jaar te verhogen om aan de extra wettelijke monitoringverplichtingen te voldoen</w:t>
      </w:r>
      <w:r>
        <w:rPr>
          <w:rFonts w:ascii="Verdana" w:hAnsi="Verdana"/>
        </w:rPr>
        <w:t>. Deze noodzaak vloeit</w:t>
      </w:r>
      <w:r w:rsidRPr="003F4135">
        <w:rPr>
          <w:rFonts w:ascii="Verdana" w:hAnsi="Verdana"/>
        </w:rPr>
        <w:t xml:space="preserve"> uit de </w:t>
      </w:r>
      <w:r>
        <w:rPr>
          <w:rFonts w:ascii="Verdana" w:hAnsi="Verdana"/>
        </w:rPr>
        <w:t>V</w:t>
      </w:r>
      <w:r w:rsidRPr="003F4135">
        <w:rPr>
          <w:rFonts w:ascii="Verdana" w:hAnsi="Verdana"/>
        </w:rPr>
        <w:t xml:space="preserve">ogel- en </w:t>
      </w:r>
      <w:r>
        <w:rPr>
          <w:rFonts w:ascii="Verdana" w:hAnsi="Verdana"/>
        </w:rPr>
        <w:t>H</w:t>
      </w:r>
      <w:r w:rsidRPr="003F4135">
        <w:rPr>
          <w:rFonts w:ascii="Verdana" w:hAnsi="Verdana"/>
        </w:rPr>
        <w:t xml:space="preserve">abitatrichtlijn en de </w:t>
      </w:r>
      <w:r>
        <w:rPr>
          <w:rFonts w:ascii="Verdana" w:hAnsi="Verdana"/>
        </w:rPr>
        <w:t>K</w:t>
      </w:r>
      <w:r w:rsidRPr="003F4135">
        <w:rPr>
          <w:rFonts w:ascii="Verdana" w:hAnsi="Verdana"/>
        </w:rPr>
        <w:t xml:space="preserve">aderrichtlijn </w:t>
      </w:r>
      <w:r>
        <w:rPr>
          <w:rFonts w:ascii="Verdana" w:hAnsi="Verdana"/>
        </w:rPr>
        <w:t>M</w:t>
      </w:r>
      <w:r w:rsidRPr="003F4135">
        <w:rPr>
          <w:rFonts w:ascii="Verdana" w:hAnsi="Verdana"/>
        </w:rPr>
        <w:t xml:space="preserve">ariene </w:t>
      </w:r>
      <w:r>
        <w:rPr>
          <w:rFonts w:ascii="Verdana" w:hAnsi="Verdana"/>
        </w:rPr>
        <w:t>S</w:t>
      </w:r>
      <w:r w:rsidRPr="003F4135">
        <w:rPr>
          <w:rFonts w:ascii="Verdana" w:hAnsi="Verdana"/>
        </w:rPr>
        <w:t>trategie</w:t>
      </w:r>
      <w:r>
        <w:rPr>
          <w:rFonts w:ascii="Verdana" w:hAnsi="Verdana"/>
        </w:rPr>
        <w:t xml:space="preserve"> voort</w:t>
      </w:r>
      <w:r w:rsidRPr="003F4135">
        <w:rPr>
          <w:rFonts w:ascii="Verdana" w:hAnsi="Verdana"/>
        </w:rPr>
        <w:t>. Aangezien alle monitoring van waterbeleid in het D</w:t>
      </w:r>
      <w:r>
        <w:rPr>
          <w:rFonts w:ascii="Verdana" w:hAnsi="Verdana"/>
        </w:rPr>
        <w:t>eltafonds</w:t>
      </w:r>
      <w:r w:rsidRPr="003F4135">
        <w:rPr>
          <w:rFonts w:ascii="Verdana" w:hAnsi="Verdana"/>
        </w:rPr>
        <w:t xml:space="preserve"> zit, </w:t>
      </w:r>
      <w:r>
        <w:rPr>
          <w:rFonts w:ascii="Verdana" w:hAnsi="Verdana"/>
        </w:rPr>
        <w:t xml:space="preserve">wordt voorgesteld </w:t>
      </w:r>
      <w:r w:rsidRPr="003F4135">
        <w:rPr>
          <w:rFonts w:ascii="Verdana" w:hAnsi="Verdana"/>
        </w:rPr>
        <w:t xml:space="preserve">dat </w:t>
      </w:r>
      <w:proofErr w:type="spellStart"/>
      <w:r w:rsidRPr="003F4135">
        <w:rPr>
          <w:rFonts w:ascii="Verdana" w:hAnsi="Verdana"/>
        </w:rPr>
        <w:t>IenM</w:t>
      </w:r>
      <w:proofErr w:type="spellEnd"/>
      <w:r w:rsidRPr="003F4135">
        <w:rPr>
          <w:rFonts w:ascii="Verdana" w:hAnsi="Verdana"/>
        </w:rPr>
        <w:t xml:space="preserve"> en EZ hun deel via </w:t>
      </w:r>
      <w:r>
        <w:rPr>
          <w:rFonts w:ascii="Verdana" w:hAnsi="Verdana"/>
        </w:rPr>
        <w:t>dat fonds</w:t>
      </w:r>
      <w:r w:rsidRPr="003F4135">
        <w:rPr>
          <w:rFonts w:ascii="Verdana" w:hAnsi="Verdana"/>
        </w:rPr>
        <w:t xml:space="preserve"> beschikbaar stellen</w:t>
      </w:r>
      <w:r>
        <w:rPr>
          <w:rFonts w:ascii="Verdana" w:hAnsi="Verdana"/>
        </w:rPr>
        <w:t>.</w:t>
      </w:r>
    </w:p>
    <w:p w:rsidR="009F2ED6" w:rsidRPr="00BC733F" w:rsidRDefault="009F2ED6" w:rsidP="009F2ED6">
      <w:pPr>
        <w:rPr>
          <w:rFonts w:ascii="Verdana" w:hAnsi="Verdana"/>
          <w:bCs/>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sectPr w:rsidR="009F2ED6" w:rsidSect="007253A7">
          <w:type w:val="oddPage"/>
          <w:pgSz w:w="11907" w:h="16840" w:code="9"/>
          <w:pgMar w:top="1417" w:right="1417" w:bottom="1417" w:left="1417" w:header="709" w:footer="709" w:gutter="0"/>
          <w:cols w:space="708"/>
          <w:noEndnote/>
        </w:sectPr>
      </w:pPr>
    </w:p>
    <w:p w:rsidR="009F2ED6" w:rsidRDefault="009F2ED6" w:rsidP="009F2ED6">
      <w:pPr>
        <w:rPr>
          <w:rFonts w:ascii="Verdana" w:hAnsi="Verdana"/>
          <w:sz w:val="18"/>
          <w:szCs w:val="18"/>
        </w:rPr>
      </w:pPr>
    </w:p>
    <w:p w:rsidR="009F2ED6" w:rsidRPr="00A339B6" w:rsidRDefault="009F2ED6" w:rsidP="009F2ED6">
      <w:pPr>
        <w:rPr>
          <w:rFonts w:ascii="Verdana" w:hAnsi="Verdana"/>
          <w:b/>
        </w:rPr>
      </w:pPr>
      <w:r w:rsidRPr="00A339B6">
        <w:rPr>
          <w:rFonts w:ascii="Verdana" w:hAnsi="Verdana"/>
          <w:b/>
        </w:rPr>
        <w:t>Artikel 7 Investeren in waterkwaliteit</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2DA4FD31" wp14:editId="2D921060">
            <wp:extent cx="5779135" cy="1572895"/>
            <wp:effectExtent l="1905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9" cstate="print"/>
                    <a:srcRect/>
                    <a:stretch>
                      <a:fillRect/>
                    </a:stretch>
                  </pic:blipFill>
                  <pic:spPr bwMode="auto">
                    <a:xfrm>
                      <a:off x="0" y="0"/>
                      <a:ext cx="5779135" cy="1572895"/>
                    </a:xfrm>
                    <a:prstGeom prst="rect">
                      <a:avLst/>
                    </a:prstGeom>
                    <a:noFill/>
                    <a:ln w="9525">
                      <a:noFill/>
                      <a:miter lim="800000"/>
                      <a:headEnd/>
                      <a:tailEnd/>
                    </a:ln>
                  </pic:spPr>
                </pic:pic>
              </a:graphicData>
            </a:graphic>
          </wp:inline>
        </w:drawing>
      </w:r>
    </w:p>
    <w:p w:rsidR="009F2ED6" w:rsidRPr="00DB444D" w:rsidRDefault="009F2ED6" w:rsidP="009F2ED6">
      <w:pPr>
        <w:pStyle w:val="Geenafstand"/>
        <w:rPr>
          <w:rFonts w:ascii="Verdana" w:hAnsi="Verdana"/>
          <w:b/>
          <w:sz w:val="20"/>
          <w:szCs w:val="20"/>
        </w:rPr>
      </w:pPr>
      <w:r>
        <w:rPr>
          <w:rFonts w:ascii="Verdana" w:hAnsi="Verdana"/>
          <w:b/>
          <w:sz w:val="20"/>
          <w:szCs w:val="20"/>
        </w:rPr>
        <w:t>7</w:t>
      </w:r>
      <w:r w:rsidRPr="00DB444D">
        <w:rPr>
          <w:rFonts w:ascii="Verdana" w:hAnsi="Verdana"/>
          <w:b/>
          <w:sz w:val="20"/>
          <w:szCs w:val="20"/>
        </w:rPr>
        <w:t xml:space="preserve">.01 </w:t>
      </w:r>
      <w:r>
        <w:rPr>
          <w:rFonts w:ascii="Verdana" w:hAnsi="Verdana"/>
          <w:b/>
          <w:sz w:val="20"/>
          <w:szCs w:val="20"/>
        </w:rPr>
        <w:t>Realisatieprogramma Kaderrichtlijn water</w:t>
      </w:r>
    </w:p>
    <w:p w:rsidR="009F2ED6" w:rsidRDefault="009F2ED6" w:rsidP="009F2ED6">
      <w:pPr>
        <w:pStyle w:val="Geenafstand"/>
        <w:rPr>
          <w:rFonts w:ascii="Verdana" w:hAnsi="Verdana"/>
          <w:sz w:val="20"/>
          <w:szCs w:val="20"/>
        </w:rPr>
      </w:pPr>
      <w:r>
        <w:rPr>
          <w:rFonts w:ascii="Verdana" w:hAnsi="Verdana"/>
          <w:sz w:val="20"/>
          <w:szCs w:val="20"/>
        </w:rPr>
        <w:t>Op dit artikelonderdeel vindt één mutatie plaats die de stand in 2015 met</w:t>
      </w:r>
      <w:r w:rsidRPr="001806C0">
        <w:rPr>
          <w:rFonts w:ascii="Verdana" w:hAnsi="Verdana"/>
          <w:sz w:val="20"/>
          <w:szCs w:val="20"/>
        </w:rPr>
        <w:t xml:space="preserve"> € 1,0 miljoen </w:t>
      </w:r>
      <w:r>
        <w:rPr>
          <w:rFonts w:ascii="Verdana" w:hAnsi="Verdana"/>
          <w:sz w:val="20"/>
          <w:szCs w:val="20"/>
        </w:rPr>
        <w:t xml:space="preserve">verhoogt en in latere jaren met dezelfde waarde verlaagt. Dit gebeurt in het kader </w:t>
      </w:r>
      <w:r w:rsidRPr="001806C0">
        <w:rPr>
          <w:rFonts w:ascii="Verdana" w:hAnsi="Verdana"/>
          <w:sz w:val="20"/>
          <w:szCs w:val="20"/>
        </w:rPr>
        <w:t>van het in lijn brengen van programmering en begrotingstanden.</w:t>
      </w:r>
      <w:r>
        <w:rPr>
          <w:rFonts w:ascii="Verdana" w:hAnsi="Verdana"/>
          <w:sz w:val="20"/>
          <w:szCs w:val="20"/>
        </w:rPr>
        <w:t xml:space="preserve"> </w:t>
      </w:r>
    </w:p>
    <w:p w:rsidR="009F2ED6" w:rsidRDefault="009F2ED6" w:rsidP="009F2ED6">
      <w:pPr>
        <w:pStyle w:val="Geenafstand"/>
        <w:rPr>
          <w:rFonts w:ascii="Verdana" w:hAnsi="Verdana"/>
          <w:sz w:val="20"/>
          <w:szCs w:val="20"/>
          <w:u w:val="single"/>
        </w:rPr>
      </w:pPr>
    </w:p>
    <w:p w:rsidR="009F2ED6" w:rsidRDefault="009F2ED6" w:rsidP="009F2ED6">
      <w:pPr>
        <w:rPr>
          <w:rFonts w:ascii="Verdana" w:hAnsi="Verdana"/>
          <w:i/>
        </w:rPr>
      </w:pPr>
      <w:r>
        <w:rPr>
          <w:rFonts w:ascii="Verdana" w:hAnsi="Verdana"/>
          <w:i/>
        </w:rPr>
        <w:t xml:space="preserve">Verantwoorden van over- en </w:t>
      </w:r>
      <w:proofErr w:type="spellStart"/>
      <w:r>
        <w:rPr>
          <w:rFonts w:ascii="Verdana" w:hAnsi="Verdana"/>
          <w:i/>
        </w:rPr>
        <w:t>onderprogrammering</w:t>
      </w:r>
      <w:proofErr w:type="spellEnd"/>
      <w:r>
        <w:rPr>
          <w:rFonts w:ascii="Verdana" w:hAnsi="Verdana"/>
          <w:i/>
        </w:rPr>
        <w:t xml:space="preserve"> </w:t>
      </w:r>
    </w:p>
    <w:p w:rsidR="009F2ED6" w:rsidRDefault="009F2ED6" w:rsidP="009F2ED6">
      <w:pPr>
        <w:pStyle w:val="Geenafstand"/>
        <w:rPr>
          <w:rFonts w:ascii="Verdana" w:eastAsia="Times New Roman" w:hAnsi="Verdana"/>
          <w:sz w:val="20"/>
          <w:szCs w:val="20"/>
          <w:lang w:eastAsia="nl-NL"/>
        </w:rPr>
      </w:pPr>
      <w:r>
        <w:rPr>
          <w:rFonts w:ascii="Verdana" w:eastAsia="Times New Roman" w:hAnsi="Verdana"/>
          <w:sz w:val="20"/>
          <w:szCs w:val="20"/>
          <w:lang w:eastAsia="nl-NL"/>
        </w:rPr>
        <w:t xml:space="preserve">De meerjarige onder- en </w:t>
      </w:r>
      <w:proofErr w:type="spellStart"/>
      <w:r>
        <w:rPr>
          <w:rFonts w:ascii="Verdana" w:eastAsia="Times New Roman" w:hAnsi="Verdana"/>
          <w:sz w:val="20"/>
          <w:szCs w:val="20"/>
          <w:lang w:eastAsia="nl-NL"/>
        </w:rPr>
        <w:t>overprogammering</w:t>
      </w:r>
      <w:proofErr w:type="spellEnd"/>
      <w:r>
        <w:rPr>
          <w:rFonts w:ascii="Verdana" w:eastAsia="Times New Roman" w:hAnsi="Verdana"/>
          <w:sz w:val="20"/>
          <w:szCs w:val="20"/>
          <w:lang w:eastAsia="nl-NL"/>
        </w:rPr>
        <w:t xml:space="preserve"> van dit artikelonderdeel is naar artikelonderdeel 1.02 Overige aanlegprojecten Waterveiligheid verplaatst. Dit betekent dat vanaf heden budget en programmering op dit artikelonderdeel in alle jaren met elkaar in overeenstemming zijn. Voor het jaar 2015 betekent dit dat de begrotingstand met € 1,0 miljoen wordt verhoogd, in de jaren die daarop volgen wordt het budget verlaagd. Zie ook de uitgebreidere toelichting onder 2.1, ad 4 “Verantwoorden over- en </w:t>
      </w:r>
      <w:proofErr w:type="spellStart"/>
      <w:r>
        <w:rPr>
          <w:rFonts w:ascii="Verdana" w:eastAsia="Times New Roman" w:hAnsi="Verdana"/>
          <w:sz w:val="20"/>
          <w:szCs w:val="20"/>
          <w:lang w:eastAsia="nl-NL"/>
        </w:rPr>
        <w:t>onderprogrammering</w:t>
      </w:r>
      <w:proofErr w:type="spellEnd"/>
      <w:r>
        <w:rPr>
          <w:rFonts w:ascii="Verdana" w:eastAsia="Times New Roman" w:hAnsi="Verdana"/>
          <w:sz w:val="20"/>
          <w:szCs w:val="20"/>
          <w:lang w:eastAsia="nl-NL"/>
        </w:rPr>
        <w:t>”.</w:t>
      </w:r>
    </w:p>
    <w:p w:rsidR="009F2ED6" w:rsidRDefault="009F2ED6" w:rsidP="009F2ED6">
      <w:pPr>
        <w:rPr>
          <w:rFonts w:ascii="Verdana" w:hAnsi="Verdana"/>
        </w:rPr>
      </w:pPr>
    </w:p>
    <w:p w:rsidR="009F2ED6" w:rsidRPr="002A0001" w:rsidRDefault="009F2ED6" w:rsidP="009F2ED6">
      <w:pPr>
        <w:pStyle w:val="Geenafstand"/>
        <w:rPr>
          <w:rFonts w:ascii="Verdana" w:hAnsi="Verdana"/>
          <w:sz w:val="20"/>
          <w:szCs w:val="20"/>
          <w:u w:val="single"/>
        </w:rPr>
      </w:pPr>
    </w:p>
    <w:p w:rsidR="009F2ED6" w:rsidRPr="00A45F44" w:rsidRDefault="009F2ED6" w:rsidP="009F2ED6">
      <w:pPr>
        <w:ind w:right="-935"/>
        <w:rPr>
          <w:rFonts w:ascii="Verdana" w:hAnsi="Verdana"/>
          <w:sz w:val="18"/>
          <w:szCs w:val="18"/>
        </w:rPr>
      </w:pPr>
      <w:r w:rsidRPr="00A45F44">
        <w:rPr>
          <w:rFonts w:ascii="Verdana" w:hAnsi="Verdana"/>
          <w:sz w:val="18"/>
          <w:szCs w:val="18"/>
        </w:rPr>
        <w:br/>
      </w:r>
      <w:r w:rsidRPr="00A45F44">
        <w:rPr>
          <w:rFonts w:ascii="Verdana" w:hAnsi="Verdana"/>
          <w:sz w:val="18"/>
          <w:szCs w:val="18"/>
        </w:rPr>
        <w:br/>
      </w:r>
    </w:p>
    <w:p w:rsidR="009F2ED6" w:rsidRDefault="009F2ED6" w:rsidP="009F2ED6">
      <w:pPr>
        <w:ind w:right="-935"/>
        <w:rPr>
          <w:rFonts w:ascii="Verdana" w:hAnsi="Verdana"/>
          <w:b/>
          <w:sz w:val="18"/>
          <w:szCs w:val="18"/>
        </w:rPr>
      </w:pPr>
      <w:r w:rsidRPr="00A45F44">
        <w:rPr>
          <w:rFonts w:ascii="Verdana" w:hAnsi="Verdana"/>
          <w:sz w:val="18"/>
          <w:szCs w:val="18"/>
        </w:rPr>
        <w:br w:type="page"/>
      </w:r>
      <w:r w:rsidRPr="00A45F44">
        <w:rPr>
          <w:rFonts w:ascii="Verdana" w:hAnsi="Verdana"/>
          <w:b/>
          <w:sz w:val="18"/>
          <w:szCs w:val="18"/>
        </w:rPr>
        <w:lastRenderedPageBreak/>
        <w:t>2.3</w:t>
      </w:r>
      <w:r>
        <w:rPr>
          <w:rFonts w:ascii="Verdana" w:hAnsi="Verdana"/>
          <w:b/>
          <w:sz w:val="18"/>
          <w:szCs w:val="18"/>
        </w:rPr>
        <w:t xml:space="preserve"> Bijlagen</w:t>
      </w:r>
    </w:p>
    <w:p w:rsidR="009F2ED6" w:rsidRDefault="009F2ED6" w:rsidP="009F2ED6">
      <w:pPr>
        <w:rPr>
          <w:rFonts w:ascii="Verdana" w:hAnsi="Verdana"/>
          <w:sz w:val="18"/>
          <w:szCs w:val="18"/>
        </w:rPr>
      </w:pPr>
    </w:p>
    <w:p w:rsidR="009F2ED6" w:rsidRDefault="009F2ED6" w:rsidP="009F2ED6">
      <w:pPr>
        <w:pStyle w:val="Geenafstand"/>
        <w:rPr>
          <w:rFonts w:ascii="Verdana" w:hAnsi="Verdana"/>
          <w:sz w:val="18"/>
          <w:szCs w:val="18"/>
        </w:rPr>
        <w:sectPr w:rsidR="009F2ED6" w:rsidSect="007253A7">
          <w:type w:val="oddPage"/>
          <w:pgSz w:w="11907" w:h="16840" w:code="9"/>
          <w:pgMar w:top="1417" w:right="1417" w:bottom="1417" w:left="1417" w:header="709" w:footer="709" w:gutter="0"/>
          <w:cols w:space="708"/>
          <w:noEndnote/>
        </w:sectPr>
      </w:pPr>
    </w:p>
    <w:p w:rsidR="009F2ED6" w:rsidRPr="004D420C" w:rsidRDefault="009F2ED6" w:rsidP="009F2ED6">
      <w:pPr>
        <w:pStyle w:val="Geenafstand"/>
        <w:rPr>
          <w:rFonts w:ascii="Verdana" w:hAnsi="Verdana"/>
          <w:b/>
          <w:sz w:val="20"/>
          <w:szCs w:val="20"/>
        </w:rPr>
      </w:pPr>
      <w:r>
        <w:rPr>
          <w:rFonts w:ascii="Verdana" w:hAnsi="Verdana"/>
          <w:b/>
          <w:sz w:val="20"/>
          <w:szCs w:val="20"/>
        </w:rPr>
        <w:lastRenderedPageBreak/>
        <w:t>A. Verdiepingsbijlage</w:t>
      </w:r>
    </w:p>
    <w:p w:rsidR="009F2ED6" w:rsidRDefault="009F2ED6" w:rsidP="009F2ED6">
      <w:pPr>
        <w:rPr>
          <w:rFonts w:ascii="Verdana" w:hAnsi="Verdana"/>
        </w:rPr>
      </w:pPr>
      <w:r>
        <w:rPr>
          <w:rFonts w:ascii="Verdana" w:hAnsi="Verdana"/>
        </w:rPr>
        <w:t xml:space="preserve">In deze bijlage is per modaliteit </w:t>
      </w:r>
      <w:r w:rsidRPr="00C35E5D">
        <w:rPr>
          <w:rFonts w:ascii="Verdana" w:hAnsi="Verdana"/>
        </w:rPr>
        <w:t>een meerjarige mutatietabel op</w:t>
      </w:r>
      <w:r>
        <w:rPr>
          <w:rFonts w:ascii="Verdana" w:hAnsi="Verdana"/>
        </w:rPr>
        <w:t>genomen</w:t>
      </w:r>
      <w:r w:rsidRPr="00C35E5D">
        <w:rPr>
          <w:rFonts w:ascii="Verdana" w:hAnsi="Verdana"/>
        </w:rPr>
        <w:t xml:space="preserve"> </w:t>
      </w:r>
      <w:r>
        <w:rPr>
          <w:rFonts w:ascii="Verdana" w:hAnsi="Verdana"/>
        </w:rPr>
        <w:t xml:space="preserve">op </w:t>
      </w:r>
      <w:r w:rsidRPr="00C35E5D">
        <w:rPr>
          <w:rFonts w:ascii="Verdana" w:hAnsi="Verdana"/>
        </w:rPr>
        <w:t xml:space="preserve">artikelonderdeelniveau </w:t>
      </w:r>
      <w:r>
        <w:rPr>
          <w:rFonts w:ascii="Verdana" w:hAnsi="Verdana"/>
        </w:rPr>
        <w:t xml:space="preserve">met daarbij </w:t>
      </w:r>
      <w:r w:rsidRPr="00C35E5D">
        <w:rPr>
          <w:rFonts w:ascii="Verdana" w:hAnsi="Verdana"/>
        </w:rPr>
        <w:t>de aansluiting tussen de vorige stand van de begroting en de nu voorgestelde stand. Dit voor de volledige looptijd van het fonds.</w:t>
      </w:r>
    </w:p>
    <w:p w:rsidR="009F2ED6" w:rsidRDefault="009F2ED6" w:rsidP="009F2ED6">
      <w:pPr>
        <w:rPr>
          <w:rFonts w:ascii="Verdana" w:hAnsi="Verdana"/>
        </w:rPr>
      </w:pPr>
      <w:r>
        <w:rPr>
          <w:rFonts w:ascii="Verdana" w:hAnsi="Verdana"/>
        </w:rPr>
        <w:t>De mutaties zijn gerangschikt naar het soort mutatie, bijvoorbeeld overboekingen met de begroting Hoofdstuk XII, overboekingen binnen of over de artikelen, kasschuiven (over de looptijd op nul) en bijdragen van derden aan projecten (zogeheten desalderingen).</w:t>
      </w:r>
    </w:p>
    <w:p w:rsidR="009F2ED6" w:rsidRDefault="009F2ED6" w:rsidP="009F2ED6">
      <w:pPr>
        <w:rPr>
          <w:rFonts w:ascii="Verdana" w:hAnsi="Verdana"/>
          <w:sz w:val="18"/>
          <w:szCs w:val="18"/>
        </w:rPr>
      </w:pPr>
    </w:p>
    <w:p w:rsidR="009F2ED6" w:rsidRPr="00DC35A0" w:rsidRDefault="009F2ED6" w:rsidP="009F2ED6">
      <w:pPr>
        <w:rPr>
          <w:rFonts w:ascii="Verdana" w:hAnsi="Verdana"/>
          <w:b/>
          <w:sz w:val="18"/>
          <w:szCs w:val="18"/>
        </w:rPr>
      </w:pPr>
      <w:r>
        <w:rPr>
          <w:rFonts w:ascii="Verdana" w:hAnsi="Verdana"/>
          <w:b/>
          <w:sz w:val="18"/>
          <w:szCs w:val="18"/>
        </w:rPr>
        <w:br w:type="page"/>
      </w:r>
      <w:r w:rsidRPr="00DC35A0">
        <w:rPr>
          <w:rFonts w:ascii="Verdana" w:hAnsi="Verdana"/>
          <w:b/>
          <w:sz w:val="18"/>
          <w:szCs w:val="18"/>
        </w:rPr>
        <w:lastRenderedPageBreak/>
        <w:t>Artikel 1 Investeren in waterveiligheid</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514C276F" wp14:editId="7191BC84">
            <wp:extent cx="8602980" cy="4879340"/>
            <wp:effectExtent l="19050" t="0" r="7620" b="0"/>
            <wp:docPr id="10"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20" cstate="print"/>
                    <a:srcRect/>
                    <a:stretch>
                      <a:fillRect/>
                    </a:stretch>
                  </pic:blipFill>
                  <pic:spPr bwMode="auto">
                    <a:xfrm>
                      <a:off x="0" y="0"/>
                      <a:ext cx="8602980" cy="4879340"/>
                    </a:xfrm>
                    <a:prstGeom prst="rect">
                      <a:avLst/>
                    </a:prstGeom>
                    <a:noFill/>
                    <a:ln w="9525">
                      <a:noFill/>
                      <a:miter lim="800000"/>
                      <a:headEnd/>
                      <a:tailEnd/>
                    </a:ln>
                  </pic:spPr>
                </pic:pic>
              </a:graphicData>
            </a:graphic>
          </wp:inline>
        </w:drawing>
      </w:r>
    </w:p>
    <w:p w:rsidR="009F2ED6" w:rsidRPr="00DC35A0" w:rsidRDefault="009F2ED6" w:rsidP="009F2ED6">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Artikel 2 Investeren in waterkwantiteit</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2C18BBEA" wp14:editId="4BEDC551">
            <wp:extent cx="8266430" cy="4352290"/>
            <wp:effectExtent l="19050" t="0" r="1270" b="0"/>
            <wp:docPr id="11"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21" cstate="print"/>
                    <a:srcRect/>
                    <a:stretch>
                      <a:fillRect/>
                    </a:stretch>
                  </pic:blipFill>
                  <pic:spPr bwMode="auto">
                    <a:xfrm>
                      <a:off x="0" y="0"/>
                      <a:ext cx="8266430" cy="4352290"/>
                    </a:xfrm>
                    <a:prstGeom prst="rect">
                      <a:avLst/>
                    </a:prstGeom>
                    <a:noFill/>
                    <a:ln w="9525">
                      <a:noFill/>
                      <a:miter lim="800000"/>
                      <a:headEnd/>
                      <a:tailEnd/>
                    </a:ln>
                  </pic:spPr>
                </pic:pic>
              </a:graphicData>
            </a:graphic>
          </wp:inline>
        </w:drawing>
      </w:r>
    </w:p>
    <w:p w:rsidR="009F2ED6" w:rsidRPr="00DC35A0" w:rsidRDefault="009F2ED6" w:rsidP="009F2ED6">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Artikel 3 Beheer, onderhoud en vervanging</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37A5D4A0" wp14:editId="6FDACC6C">
            <wp:extent cx="8266430" cy="3035935"/>
            <wp:effectExtent l="19050" t="0" r="1270" b="0"/>
            <wp:docPr id="12" name="Objec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22" cstate="print"/>
                    <a:srcRect/>
                    <a:stretch>
                      <a:fillRect/>
                    </a:stretch>
                  </pic:blipFill>
                  <pic:spPr bwMode="auto">
                    <a:xfrm>
                      <a:off x="0" y="0"/>
                      <a:ext cx="8266430" cy="3035935"/>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Pr="00DC35A0" w:rsidRDefault="009F2ED6" w:rsidP="009F2ED6">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 xml:space="preserve">Artikel 4 Experimenteren </w:t>
      </w:r>
      <w:proofErr w:type="spellStart"/>
      <w:r w:rsidRPr="00DC35A0">
        <w:rPr>
          <w:rFonts w:ascii="Verdana" w:hAnsi="Verdana"/>
          <w:b/>
          <w:sz w:val="18"/>
          <w:szCs w:val="18"/>
        </w:rPr>
        <w:t>cf</w:t>
      </w:r>
      <w:proofErr w:type="spellEnd"/>
      <w:r w:rsidRPr="00DC35A0">
        <w:rPr>
          <w:rFonts w:ascii="Verdana" w:hAnsi="Verdana"/>
          <w:b/>
          <w:sz w:val="18"/>
          <w:szCs w:val="18"/>
        </w:rPr>
        <w:t xml:space="preserve"> art. III </w:t>
      </w:r>
      <w:proofErr w:type="spellStart"/>
      <w:r w:rsidRPr="00DC35A0">
        <w:rPr>
          <w:rFonts w:ascii="Verdana" w:hAnsi="Verdana"/>
          <w:b/>
          <w:sz w:val="18"/>
          <w:szCs w:val="18"/>
        </w:rPr>
        <w:t>Deltawet</w:t>
      </w:r>
      <w:proofErr w:type="spellEnd"/>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64823794" wp14:editId="729B1782">
            <wp:extent cx="8266430" cy="2026285"/>
            <wp:effectExtent l="19050" t="0" r="1270" b="0"/>
            <wp:docPr id="13" name="Objec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23" cstate="print"/>
                    <a:srcRect/>
                    <a:stretch>
                      <a:fillRect/>
                    </a:stretch>
                  </pic:blipFill>
                  <pic:spPr bwMode="auto">
                    <a:xfrm>
                      <a:off x="0" y="0"/>
                      <a:ext cx="8266430" cy="2026285"/>
                    </a:xfrm>
                    <a:prstGeom prst="rect">
                      <a:avLst/>
                    </a:prstGeom>
                    <a:noFill/>
                    <a:ln w="9525">
                      <a:noFill/>
                      <a:miter lim="800000"/>
                      <a:headEnd/>
                      <a:tailEnd/>
                    </a:ln>
                  </pic:spPr>
                </pic:pic>
              </a:graphicData>
            </a:graphic>
          </wp:inline>
        </w:drawing>
      </w:r>
    </w:p>
    <w:p w:rsidR="009F2ED6" w:rsidRPr="009A341D" w:rsidRDefault="009F2ED6" w:rsidP="009F2ED6">
      <w:pPr>
        <w:rPr>
          <w:rFonts w:ascii="Verdana" w:hAnsi="Verdana"/>
          <w:b/>
          <w:sz w:val="18"/>
          <w:szCs w:val="18"/>
        </w:rPr>
      </w:pPr>
      <w:r>
        <w:rPr>
          <w:rFonts w:ascii="Verdana" w:hAnsi="Verdana"/>
          <w:sz w:val="18"/>
          <w:szCs w:val="18"/>
        </w:rPr>
        <w:br w:type="page"/>
      </w:r>
      <w:r w:rsidRPr="009A341D">
        <w:rPr>
          <w:rFonts w:ascii="Verdana" w:hAnsi="Verdana"/>
          <w:b/>
          <w:sz w:val="18"/>
          <w:szCs w:val="18"/>
        </w:rPr>
        <w:lastRenderedPageBreak/>
        <w:t xml:space="preserve">Artikel 5 </w:t>
      </w:r>
      <w:proofErr w:type="spellStart"/>
      <w:r w:rsidRPr="009A341D">
        <w:rPr>
          <w:rFonts w:ascii="Verdana" w:hAnsi="Verdana"/>
          <w:b/>
          <w:sz w:val="18"/>
          <w:szCs w:val="18"/>
        </w:rPr>
        <w:t>Netwerkgebonden</w:t>
      </w:r>
      <w:proofErr w:type="spellEnd"/>
      <w:r w:rsidRPr="009A341D">
        <w:rPr>
          <w:rFonts w:ascii="Verdana" w:hAnsi="Verdana"/>
          <w:b/>
          <w:sz w:val="18"/>
          <w:szCs w:val="18"/>
        </w:rPr>
        <w:t xml:space="preserve"> kosten en overige uitgaven</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5F5EEE14" wp14:editId="57E06D99">
            <wp:extent cx="8083550" cy="5449570"/>
            <wp:effectExtent l="1905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24" cstate="print"/>
                    <a:srcRect/>
                    <a:stretch>
                      <a:fillRect/>
                    </a:stretch>
                  </pic:blipFill>
                  <pic:spPr bwMode="auto">
                    <a:xfrm>
                      <a:off x="0" y="0"/>
                      <a:ext cx="8083550" cy="5449570"/>
                    </a:xfrm>
                    <a:prstGeom prst="rect">
                      <a:avLst/>
                    </a:prstGeom>
                    <a:noFill/>
                    <a:ln w="9525">
                      <a:noFill/>
                      <a:miter lim="800000"/>
                      <a:headEnd/>
                      <a:tailEnd/>
                    </a:ln>
                  </pic:spPr>
                </pic:pic>
              </a:graphicData>
            </a:graphic>
          </wp:inline>
        </w:drawing>
      </w:r>
      <w:r>
        <w:rPr>
          <w:rFonts w:ascii="Verdana" w:hAnsi="Verdana"/>
          <w:sz w:val="18"/>
          <w:szCs w:val="18"/>
        </w:rPr>
        <w:br w:type="page"/>
      </w:r>
      <w:r w:rsidRPr="009A341D">
        <w:rPr>
          <w:rFonts w:ascii="Verdana" w:hAnsi="Verdana"/>
          <w:b/>
          <w:sz w:val="18"/>
          <w:szCs w:val="18"/>
        </w:rPr>
        <w:lastRenderedPageBreak/>
        <w:t>Artikel 6 Bijdragen andere begrotingen Rijk</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00F061A8" wp14:editId="20DF27ED">
            <wp:extent cx="8221980" cy="1865630"/>
            <wp:effectExtent l="19050" t="0" r="7620" b="0"/>
            <wp:docPr id="15" name="Objec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25" cstate="print"/>
                    <a:srcRect/>
                    <a:stretch>
                      <a:fillRect/>
                    </a:stretch>
                  </pic:blipFill>
                  <pic:spPr bwMode="auto">
                    <a:xfrm>
                      <a:off x="0" y="0"/>
                      <a:ext cx="8221980" cy="1865630"/>
                    </a:xfrm>
                    <a:prstGeom prst="rect">
                      <a:avLst/>
                    </a:prstGeom>
                    <a:noFill/>
                    <a:ln w="9525">
                      <a:noFill/>
                      <a:miter lim="800000"/>
                      <a:headEnd/>
                      <a:tailEnd/>
                    </a:ln>
                  </pic:spPr>
                </pic:pic>
              </a:graphicData>
            </a:graphic>
          </wp:inline>
        </w:drawing>
      </w:r>
    </w:p>
    <w:p w:rsidR="009F2ED6" w:rsidRPr="00DC35A0" w:rsidRDefault="009F2ED6" w:rsidP="009F2ED6">
      <w:pPr>
        <w:rPr>
          <w:rFonts w:ascii="Verdana" w:hAnsi="Verdana"/>
          <w:b/>
          <w:sz w:val="18"/>
          <w:szCs w:val="18"/>
        </w:rPr>
      </w:pPr>
      <w:r>
        <w:rPr>
          <w:rFonts w:ascii="Verdana" w:hAnsi="Verdana"/>
          <w:sz w:val="18"/>
          <w:szCs w:val="18"/>
        </w:rPr>
        <w:br w:type="page"/>
      </w:r>
      <w:r w:rsidRPr="00DC35A0">
        <w:rPr>
          <w:rFonts w:ascii="Verdana" w:hAnsi="Verdana"/>
          <w:b/>
          <w:sz w:val="18"/>
          <w:szCs w:val="18"/>
        </w:rPr>
        <w:lastRenderedPageBreak/>
        <w:t>Artikel 7 Investeren in waterkwaliteit</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15282261" wp14:editId="3FBB9969">
            <wp:extent cx="8134350" cy="2450465"/>
            <wp:effectExtent l="1905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6" cstate="print"/>
                    <a:srcRect/>
                    <a:stretch>
                      <a:fillRect/>
                    </a:stretch>
                  </pic:blipFill>
                  <pic:spPr bwMode="auto">
                    <a:xfrm>
                      <a:off x="0" y="0"/>
                      <a:ext cx="8134350" cy="2450465"/>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sectPr w:rsidR="009F2ED6" w:rsidSect="00B528C1">
          <w:type w:val="oddPage"/>
          <w:pgSz w:w="16840" w:h="11907" w:orient="landscape" w:code="9"/>
          <w:pgMar w:top="1418" w:right="1418" w:bottom="1418" w:left="1418" w:header="709" w:footer="709" w:gutter="0"/>
          <w:cols w:space="708"/>
          <w:noEndnote/>
        </w:sectPr>
      </w:pPr>
    </w:p>
    <w:p w:rsidR="009F2ED6" w:rsidRDefault="009F2ED6" w:rsidP="009F2ED6">
      <w:pPr>
        <w:ind w:right="-935"/>
        <w:rPr>
          <w:rFonts w:ascii="Verdana" w:hAnsi="Verdana"/>
          <w:b/>
          <w:sz w:val="18"/>
          <w:szCs w:val="18"/>
        </w:rPr>
      </w:pPr>
      <w:r>
        <w:rPr>
          <w:rFonts w:ascii="Verdana" w:hAnsi="Verdana"/>
          <w:b/>
          <w:sz w:val="18"/>
          <w:szCs w:val="18"/>
        </w:rPr>
        <w:lastRenderedPageBreak/>
        <w:t>B. Project overzichten</w:t>
      </w:r>
    </w:p>
    <w:p w:rsidR="009F2ED6" w:rsidRPr="004D420C" w:rsidRDefault="009F2ED6" w:rsidP="009F2ED6">
      <w:pPr>
        <w:pStyle w:val="Geenafstand"/>
        <w:rPr>
          <w:rFonts w:ascii="Verdana" w:hAnsi="Verdana"/>
          <w:sz w:val="20"/>
          <w:szCs w:val="20"/>
        </w:rPr>
      </w:pPr>
      <w:r w:rsidRPr="004D420C">
        <w:rPr>
          <w:rFonts w:ascii="Verdana" w:hAnsi="Verdana"/>
          <w:sz w:val="20"/>
          <w:szCs w:val="20"/>
        </w:rPr>
        <w:t xml:space="preserve">In deze bijlage zijn de MIRT projecttabellen met de realisatieprojecten alsmede de verkenningen en planuitwerking programma’s opgenomen waarin de begrotingsmutaties op projectniveau zichtbaar zijn gemaakt. Deze (meerjarige) MIRT- tabellen zijn voorzien van toelichtingen indien sprake is van een wijziging in het taakstellend projectbudget (anders dan door de verwerking van prijsbijstelling) en/of als wijzigingen optreden in de oplevering van het project. </w:t>
      </w:r>
    </w:p>
    <w:p w:rsidR="009F2ED6" w:rsidRPr="00A45F44" w:rsidRDefault="009F2ED6" w:rsidP="009F2ED6">
      <w:pPr>
        <w:ind w:right="-935"/>
        <w:rPr>
          <w:rFonts w:ascii="Verdana" w:hAnsi="Verdana"/>
          <w:b/>
          <w:sz w:val="18"/>
          <w:szCs w:val="18"/>
        </w:rPr>
      </w:pPr>
    </w:p>
    <w:p w:rsidR="009F2ED6" w:rsidRDefault="009F2ED6" w:rsidP="009F2ED6">
      <w:pPr>
        <w:ind w:left="-1418" w:right="-935"/>
        <w:rPr>
          <w:rFonts w:ascii="Verdana" w:hAnsi="Verdana"/>
          <w:sz w:val="18"/>
          <w:szCs w:val="18"/>
        </w:rPr>
      </w:pPr>
    </w:p>
    <w:p w:rsidR="009F2ED6" w:rsidRPr="00245184" w:rsidRDefault="009F2ED6" w:rsidP="009F2ED6">
      <w:pPr>
        <w:rPr>
          <w:rFonts w:ascii="Verdana" w:hAnsi="Verdana"/>
          <w:b/>
          <w:sz w:val="18"/>
          <w:szCs w:val="18"/>
        </w:rPr>
      </w:pPr>
      <w:r w:rsidRPr="00245184">
        <w:rPr>
          <w:rFonts w:ascii="Verdana" w:hAnsi="Verdana"/>
          <w:b/>
          <w:sz w:val="18"/>
          <w:szCs w:val="18"/>
        </w:rPr>
        <w:t>Artikel 1 Investeren in waterveiligheid</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6EC603DA" wp14:editId="3D8EB60A">
            <wp:extent cx="5742305" cy="2136140"/>
            <wp:effectExtent l="1905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7" cstate="print"/>
                    <a:srcRect/>
                    <a:stretch>
                      <a:fillRect/>
                    </a:stretch>
                  </pic:blipFill>
                  <pic:spPr bwMode="auto">
                    <a:xfrm>
                      <a:off x="0" y="0"/>
                      <a:ext cx="5742305" cy="213614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r>
        <w:rPr>
          <w:rFonts w:ascii="Verdana" w:hAnsi="Verdana"/>
          <w:sz w:val="18"/>
          <w:szCs w:val="18"/>
        </w:rPr>
        <w:t xml:space="preserve">1. De afronding van het project </w:t>
      </w:r>
      <w:proofErr w:type="spellStart"/>
      <w:r>
        <w:rPr>
          <w:rFonts w:ascii="Verdana" w:hAnsi="Verdana"/>
          <w:sz w:val="18"/>
          <w:szCs w:val="18"/>
        </w:rPr>
        <w:t>Markermeerdijk</w:t>
      </w:r>
      <w:proofErr w:type="spellEnd"/>
      <w:r>
        <w:rPr>
          <w:rFonts w:ascii="Verdana" w:hAnsi="Verdana"/>
          <w:sz w:val="18"/>
          <w:szCs w:val="18"/>
        </w:rPr>
        <w:t xml:space="preserve"> Hoorn – Edam – Amsterdam is voorzien in 2021. Dit is aan Tweede Kamer gemeld bij VGR 5, 6 en 7 van het HWBP-2. </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3A5D89E8" wp14:editId="31805509">
            <wp:extent cx="5654675" cy="1616710"/>
            <wp:effectExtent l="19050" t="0" r="3175" b="0"/>
            <wp:docPr id="18" name="Objec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8" cstate="print"/>
                    <a:srcRect/>
                    <a:stretch>
                      <a:fillRect/>
                    </a:stretch>
                  </pic:blipFill>
                  <pic:spPr bwMode="auto">
                    <a:xfrm>
                      <a:off x="0" y="0"/>
                      <a:ext cx="5654675" cy="161671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Pr="00A92F44" w:rsidRDefault="009F2ED6" w:rsidP="009F2ED6">
      <w:pPr>
        <w:pStyle w:val="Default"/>
        <w:rPr>
          <w:rFonts w:cs="Verdana"/>
          <w:sz w:val="18"/>
          <w:szCs w:val="18"/>
        </w:rPr>
      </w:pPr>
      <w:r>
        <w:rPr>
          <w:sz w:val="18"/>
          <w:szCs w:val="18"/>
        </w:rPr>
        <w:t>1.</w:t>
      </w:r>
      <w:r w:rsidRPr="00A92F44">
        <w:rPr>
          <w:sz w:val="18"/>
          <w:szCs w:val="18"/>
        </w:rPr>
        <w:t xml:space="preserve"> </w:t>
      </w:r>
      <w:r>
        <w:rPr>
          <w:sz w:val="18"/>
          <w:szCs w:val="18"/>
        </w:rPr>
        <w:t xml:space="preserve">De </w:t>
      </w:r>
      <w:r w:rsidRPr="00A92F44">
        <w:rPr>
          <w:rFonts w:cs="Verdana"/>
          <w:sz w:val="18"/>
          <w:szCs w:val="18"/>
        </w:rPr>
        <w:t>maatregel IJsseldelta</w:t>
      </w:r>
      <w:r>
        <w:rPr>
          <w:rFonts w:cs="Verdana"/>
          <w:sz w:val="18"/>
          <w:szCs w:val="18"/>
        </w:rPr>
        <w:t xml:space="preserve"> Kampen  is toegevoegd aan de scope van het programma </w:t>
      </w:r>
      <w:r w:rsidRPr="00A92F44">
        <w:rPr>
          <w:rFonts w:cs="Verdana"/>
          <w:sz w:val="18"/>
          <w:szCs w:val="18"/>
        </w:rPr>
        <w:t>Ruimte voor de Rivier</w:t>
      </w:r>
      <w:r>
        <w:rPr>
          <w:rFonts w:cs="Verdana"/>
          <w:sz w:val="18"/>
          <w:szCs w:val="18"/>
        </w:rPr>
        <w:t xml:space="preserve"> (zie voortgangsrapportage 22). Doordat dit project in 2019 wordt opgeleverd, is de oplevering van Ruimte voor de Rivier ook verschoven naar dat jaar.</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6F0BE267" wp14:editId="35F980EE">
            <wp:extent cx="5786120" cy="1821180"/>
            <wp:effectExtent l="19050" t="0" r="5080" b="0"/>
            <wp:docPr id="19" name="Objec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9" cstate="print"/>
                    <a:srcRect/>
                    <a:stretch>
                      <a:fillRect/>
                    </a:stretch>
                  </pic:blipFill>
                  <pic:spPr bwMode="auto">
                    <a:xfrm>
                      <a:off x="0" y="0"/>
                      <a:ext cx="5786120" cy="182118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29503614" wp14:editId="05375BE9">
            <wp:extent cx="5779135" cy="4579620"/>
            <wp:effectExtent l="1905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30" cstate="print"/>
                    <a:srcRect/>
                    <a:stretch>
                      <a:fillRect/>
                    </a:stretch>
                  </pic:blipFill>
                  <pic:spPr bwMode="auto">
                    <a:xfrm>
                      <a:off x="0" y="0"/>
                      <a:ext cx="5779135" cy="457962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465705CC" wp14:editId="13862DF7">
            <wp:extent cx="5786120" cy="3108960"/>
            <wp:effectExtent l="19050" t="0" r="5080" b="0"/>
            <wp:docPr id="21" name="Objec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cstate="print"/>
                    <a:srcRect/>
                    <a:stretch>
                      <a:fillRect/>
                    </a:stretch>
                  </pic:blipFill>
                  <pic:spPr bwMode="auto">
                    <a:xfrm>
                      <a:off x="0" y="0"/>
                      <a:ext cx="5786120" cy="310896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pStyle w:val="Geenafstand"/>
        <w:rPr>
          <w:rFonts w:ascii="Verdana" w:hAnsi="Verdana"/>
          <w:sz w:val="20"/>
          <w:szCs w:val="20"/>
        </w:rPr>
      </w:pPr>
      <w:r>
        <w:rPr>
          <w:rFonts w:ascii="Verdana" w:hAnsi="Verdana"/>
          <w:sz w:val="18"/>
          <w:szCs w:val="18"/>
        </w:rPr>
        <w:t xml:space="preserve">1. </w:t>
      </w:r>
      <w:r>
        <w:rPr>
          <w:rFonts w:ascii="Verdana" w:hAnsi="Verdana"/>
          <w:b/>
          <w:sz w:val="20"/>
          <w:szCs w:val="20"/>
        </w:rPr>
        <w:t xml:space="preserve"> </w:t>
      </w:r>
      <w:r>
        <w:rPr>
          <w:rFonts w:ascii="Verdana" w:hAnsi="Verdana"/>
          <w:sz w:val="20"/>
          <w:szCs w:val="20"/>
        </w:rPr>
        <w:t>De vertraging wordt veroorzaak door twee NURG deelprojecten:</w:t>
      </w:r>
    </w:p>
    <w:p w:rsidR="009F2ED6" w:rsidRDefault="009F2ED6" w:rsidP="009F2ED6">
      <w:pPr>
        <w:pStyle w:val="Geenafstand"/>
        <w:numPr>
          <w:ilvl w:val="0"/>
          <w:numId w:val="4"/>
        </w:numPr>
        <w:rPr>
          <w:rFonts w:ascii="Verdana" w:hAnsi="Verdana"/>
          <w:sz w:val="20"/>
          <w:szCs w:val="20"/>
        </w:rPr>
      </w:pPr>
      <w:r>
        <w:rPr>
          <w:bCs/>
        </w:rPr>
        <w:lastRenderedPageBreak/>
        <w:t xml:space="preserve">Het project </w:t>
      </w:r>
      <w:proofErr w:type="spellStart"/>
      <w:r w:rsidRPr="007A69B1">
        <w:rPr>
          <w:bCs/>
        </w:rPr>
        <w:t>Afferdense</w:t>
      </w:r>
      <w:proofErr w:type="spellEnd"/>
      <w:r w:rsidRPr="007A69B1">
        <w:rPr>
          <w:bCs/>
        </w:rPr>
        <w:t xml:space="preserve"> en </w:t>
      </w:r>
      <w:proofErr w:type="spellStart"/>
      <w:r w:rsidRPr="007A69B1">
        <w:rPr>
          <w:bCs/>
        </w:rPr>
        <w:t>Deestse</w:t>
      </w:r>
      <w:proofErr w:type="spellEnd"/>
      <w:r w:rsidRPr="007A69B1">
        <w:rPr>
          <w:bCs/>
        </w:rPr>
        <w:t xml:space="preserve"> Waarden is vertraagd als gevolg van niet voorziene kwelproblematiek. </w:t>
      </w:r>
      <w:r>
        <w:t xml:space="preserve">Kwel is grondwater dat onder druk uit de grond komt. </w:t>
      </w:r>
      <w:r w:rsidRPr="007A69B1">
        <w:rPr>
          <w:bCs/>
        </w:rPr>
        <w:t>Deze is inmiddels opgelost en het project is nu herstart.</w:t>
      </w:r>
    </w:p>
    <w:p w:rsidR="009F2ED6" w:rsidRDefault="009F2ED6" w:rsidP="009F2ED6">
      <w:pPr>
        <w:pStyle w:val="Geenafstand"/>
        <w:numPr>
          <w:ilvl w:val="0"/>
          <w:numId w:val="4"/>
        </w:numPr>
        <w:rPr>
          <w:rFonts w:ascii="Verdana" w:hAnsi="Verdana"/>
          <w:sz w:val="20"/>
          <w:szCs w:val="20"/>
        </w:rPr>
      </w:pPr>
      <w:r>
        <w:rPr>
          <w:bCs/>
        </w:rPr>
        <w:t xml:space="preserve">Bij het project </w:t>
      </w:r>
      <w:proofErr w:type="spellStart"/>
      <w:r w:rsidRPr="007A69B1">
        <w:rPr>
          <w:bCs/>
        </w:rPr>
        <w:t>Heesseltsche</w:t>
      </w:r>
      <w:proofErr w:type="spellEnd"/>
      <w:r w:rsidRPr="007A69B1">
        <w:rPr>
          <w:bCs/>
        </w:rPr>
        <w:t xml:space="preserve"> Uiterwaarden </w:t>
      </w:r>
      <w:r>
        <w:rPr>
          <w:bCs/>
        </w:rPr>
        <w:t>is er sprake van</w:t>
      </w:r>
      <w:r w:rsidRPr="007A69B1">
        <w:rPr>
          <w:bCs/>
        </w:rPr>
        <w:t xml:space="preserve"> vertraging in de bestemmingsplanprocedure en de daaraan gekoppelde grondverwerving</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Pr="00245184" w:rsidRDefault="009F2ED6" w:rsidP="009F2ED6">
      <w:pPr>
        <w:rPr>
          <w:rFonts w:ascii="Verdana" w:hAnsi="Verdana"/>
          <w:b/>
          <w:sz w:val="18"/>
          <w:szCs w:val="18"/>
        </w:rPr>
      </w:pPr>
      <w:r>
        <w:rPr>
          <w:rFonts w:ascii="Verdana" w:hAnsi="Verdana"/>
          <w:sz w:val="18"/>
          <w:szCs w:val="18"/>
        </w:rPr>
        <w:br w:type="page"/>
      </w:r>
      <w:r w:rsidRPr="00245184">
        <w:rPr>
          <w:rFonts w:ascii="Verdana" w:hAnsi="Verdana"/>
          <w:b/>
          <w:sz w:val="18"/>
          <w:szCs w:val="18"/>
        </w:rPr>
        <w:lastRenderedPageBreak/>
        <w:t>Artikel 2 Investeren in zoetwatervoorziening</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43C22F92" wp14:editId="0BA7C005">
            <wp:extent cx="5706110" cy="2918460"/>
            <wp:effectExtent l="19050" t="0" r="8890" b="0"/>
            <wp:docPr id="22" name="Objec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32" cstate="print"/>
                    <a:srcRect/>
                    <a:stretch>
                      <a:fillRect/>
                    </a:stretch>
                  </pic:blipFill>
                  <pic:spPr bwMode="auto">
                    <a:xfrm>
                      <a:off x="0" y="0"/>
                      <a:ext cx="5706110" cy="291846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0399137D" wp14:editId="228D4721">
            <wp:extent cx="5756910" cy="2296795"/>
            <wp:effectExtent l="19050" t="0" r="0" b="0"/>
            <wp:docPr id="23" name="Objec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3" cstate="print"/>
                    <a:srcRect/>
                    <a:stretch>
                      <a:fillRect/>
                    </a:stretch>
                  </pic:blipFill>
                  <pic:spPr bwMode="auto">
                    <a:xfrm>
                      <a:off x="0" y="0"/>
                      <a:ext cx="5756910" cy="2296795"/>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Pr="00245184" w:rsidRDefault="009F2ED6" w:rsidP="009F2ED6">
      <w:pPr>
        <w:rPr>
          <w:rFonts w:ascii="Verdana" w:hAnsi="Verdana"/>
          <w:b/>
          <w:sz w:val="18"/>
          <w:szCs w:val="18"/>
        </w:rPr>
      </w:pPr>
      <w:r>
        <w:rPr>
          <w:rFonts w:ascii="Verdana" w:hAnsi="Verdana"/>
          <w:b/>
          <w:sz w:val="18"/>
          <w:szCs w:val="18"/>
        </w:rPr>
        <w:br w:type="page"/>
      </w:r>
      <w:r w:rsidRPr="00245184">
        <w:rPr>
          <w:rFonts w:ascii="Verdana" w:hAnsi="Verdana"/>
          <w:b/>
          <w:sz w:val="18"/>
          <w:szCs w:val="18"/>
        </w:rPr>
        <w:lastRenderedPageBreak/>
        <w:t xml:space="preserve">Artikel 4 Experimenteren </w:t>
      </w:r>
      <w:proofErr w:type="spellStart"/>
      <w:r w:rsidRPr="00245184">
        <w:rPr>
          <w:rFonts w:ascii="Verdana" w:hAnsi="Verdana"/>
          <w:b/>
          <w:sz w:val="18"/>
          <w:szCs w:val="18"/>
        </w:rPr>
        <w:t>cf</w:t>
      </w:r>
      <w:proofErr w:type="spellEnd"/>
      <w:r w:rsidRPr="00245184">
        <w:rPr>
          <w:rFonts w:ascii="Verdana" w:hAnsi="Verdana"/>
          <w:b/>
          <w:sz w:val="18"/>
          <w:szCs w:val="18"/>
        </w:rPr>
        <w:t xml:space="preserve"> art. III </w:t>
      </w:r>
      <w:proofErr w:type="spellStart"/>
      <w:r w:rsidRPr="00245184">
        <w:rPr>
          <w:rFonts w:ascii="Verdana" w:hAnsi="Verdana"/>
          <w:b/>
          <w:sz w:val="18"/>
          <w:szCs w:val="18"/>
        </w:rPr>
        <w:t>Deltawet</w:t>
      </w:r>
      <w:proofErr w:type="spellEnd"/>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3CA95FA8" wp14:editId="48C79017">
            <wp:extent cx="5749925" cy="1316990"/>
            <wp:effectExtent l="19050" t="0" r="3175" b="0"/>
            <wp:docPr id="24" name="Objec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34" cstate="print"/>
                    <a:srcRect/>
                    <a:stretch>
                      <a:fillRect/>
                    </a:stretch>
                  </pic:blipFill>
                  <pic:spPr bwMode="auto">
                    <a:xfrm>
                      <a:off x="0" y="0"/>
                      <a:ext cx="5749925" cy="131699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Pr="00B946F6" w:rsidRDefault="009F2ED6" w:rsidP="009F2ED6">
      <w:pPr>
        <w:autoSpaceDE w:val="0"/>
        <w:autoSpaceDN w:val="0"/>
        <w:adjustRightInd w:val="0"/>
        <w:rPr>
          <w:rFonts w:ascii="Verdana" w:hAnsi="Verdana"/>
        </w:rPr>
      </w:pPr>
      <w:r>
        <w:rPr>
          <w:rFonts w:ascii="Verdana" w:hAnsi="Verdana"/>
          <w:sz w:val="18"/>
          <w:szCs w:val="18"/>
        </w:rPr>
        <w:t>1.</w:t>
      </w:r>
      <w:r w:rsidRPr="00764A13">
        <w:rPr>
          <w:rFonts w:ascii="Verdana" w:hAnsi="Verdana"/>
        </w:rPr>
        <w:t xml:space="preserve"> </w:t>
      </w:r>
      <w:r w:rsidRPr="00A075F9">
        <w:rPr>
          <w:rFonts w:ascii="Verdana" w:hAnsi="Verdana"/>
        </w:rPr>
        <w:t>Het TBES project Marker Wadden is een initiatief van Natuurmonumenten</w:t>
      </w:r>
      <w:r>
        <w:rPr>
          <w:rFonts w:ascii="Verdana" w:hAnsi="Verdana"/>
        </w:rPr>
        <w:t xml:space="preserve"> </w:t>
      </w:r>
      <w:r w:rsidRPr="00A075F9">
        <w:rPr>
          <w:rFonts w:ascii="Verdana" w:hAnsi="Verdana"/>
        </w:rPr>
        <w:t>(NM) om in het Markermeer langs de Houtribdijk nabij Lelystad een</w:t>
      </w:r>
      <w:r>
        <w:rPr>
          <w:rFonts w:ascii="Verdana" w:hAnsi="Verdana"/>
        </w:rPr>
        <w:t xml:space="preserve"> </w:t>
      </w:r>
      <w:r w:rsidRPr="00A075F9">
        <w:rPr>
          <w:rFonts w:ascii="Verdana" w:hAnsi="Verdana"/>
        </w:rPr>
        <w:t xml:space="preserve">moeraseiland aan te leggen. De </w:t>
      </w:r>
      <w:r>
        <w:rPr>
          <w:rFonts w:ascii="Verdana" w:hAnsi="Verdana"/>
        </w:rPr>
        <w:t>v</w:t>
      </w:r>
      <w:r w:rsidRPr="00A075F9">
        <w:rPr>
          <w:rFonts w:ascii="Verdana" w:hAnsi="Verdana"/>
        </w:rPr>
        <w:t>oorbereidingen voor de uitvoering van</w:t>
      </w:r>
      <w:r>
        <w:rPr>
          <w:rFonts w:ascii="Verdana" w:hAnsi="Verdana"/>
        </w:rPr>
        <w:t xml:space="preserve"> </w:t>
      </w:r>
      <w:r w:rsidRPr="00A075F9">
        <w:rPr>
          <w:rFonts w:ascii="Verdana" w:hAnsi="Verdana"/>
        </w:rPr>
        <w:t>de eerste fase Marker Wadden zijn gestart</w:t>
      </w:r>
      <w:r>
        <w:rPr>
          <w:rFonts w:ascii="Verdana" w:hAnsi="Verdana"/>
        </w:rPr>
        <w:t xml:space="preserve">. Voor dit project is </w:t>
      </w:r>
      <w:r w:rsidRPr="00A075F9">
        <w:rPr>
          <w:rFonts w:ascii="Verdana" w:hAnsi="Verdana"/>
        </w:rPr>
        <w:t>€ 50 miljoen</w:t>
      </w:r>
      <w:r>
        <w:rPr>
          <w:rFonts w:ascii="Verdana" w:hAnsi="Verdana"/>
        </w:rPr>
        <w:t xml:space="preserve"> beschikbaar</w:t>
      </w:r>
      <w:r w:rsidRPr="00A075F9">
        <w:rPr>
          <w:rFonts w:ascii="Verdana" w:hAnsi="Verdana"/>
        </w:rPr>
        <w:t xml:space="preserve">. </w:t>
      </w:r>
      <w:proofErr w:type="spellStart"/>
      <w:r w:rsidRPr="00A075F9">
        <w:rPr>
          <w:rFonts w:ascii="Verdana" w:hAnsi="Verdana"/>
        </w:rPr>
        <w:t>IenM</w:t>
      </w:r>
      <w:proofErr w:type="spellEnd"/>
      <w:r w:rsidRPr="00A075F9">
        <w:rPr>
          <w:rFonts w:ascii="Verdana" w:hAnsi="Verdana"/>
        </w:rPr>
        <w:t xml:space="preserve"> en EZ </w:t>
      </w:r>
      <w:r>
        <w:rPr>
          <w:rFonts w:ascii="Verdana" w:hAnsi="Verdana"/>
        </w:rPr>
        <w:t xml:space="preserve">hebben </w:t>
      </w:r>
      <w:r w:rsidRPr="00A075F9">
        <w:rPr>
          <w:rFonts w:ascii="Verdana" w:hAnsi="Verdana"/>
        </w:rPr>
        <w:t xml:space="preserve">ieder € 15 miljoen </w:t>
      </w:r>
      <w:r>
        <w:rPr>
          <w:rFonts w:ascii="Verdana" w:hAnsi="Verdana"/>
        </w:rPr>
        <w:t xml:space="preserve">hieraan </w:t>
      </w:r>
      <w:r w:rsidRPr="00A075F9">
        <w:rPr>
          <w:rFonts w:ascii="Verdana" w:hAnsi="Verdana"/>
        </w:rPr>
        <w:t>bij</w:t>
      </w:r>
      <w:r>
        <w:rPr>
          <w:rFonts w:ascii="Verdana" w:hAnsi="Verdana"/>
        </w:rPr>
        <w:t>gedragen</w:t>
      </w:r>
      <w:r w:rsidRPr="00A075F9">
        <w:rPr>
          <w:rFonts w:ascii="Verdana" w:hAnsi="Verdana"/>
        </w:rPr>
        <w:t xml:space="preserve"> (totaal € 30</w:t>
      </w:r>
      <w:r>
        <w:rPr>
          <w:rFonts w:ascii="Verdana" w:hAnsi="Verdana"/>
        </w:rPr>
        <w:t xml:space="preserve"> </w:t>
      </w:r>
      <w:r w:rsidRPr="00A075F9">
        <w:rPr>
          <w:rFonts w:ascii="Verdana" w:hAnsi="Verdana"/>
        </w:rPr>
        <w:t xml:space="preserve">miljoen). </w:t>
      </w:r>
      <w:r>
        <w:rPr>
          <w:rFonts w:ascii="Verdana" w:hAnsi="Verdana"/>
        </w:rPr>
        <w:t>De</w:t>
      </w:r>
      <w:r w:rsidRPr="00A075F9">
        <w:rPr>
          <w:rFonts w:ascii="Verdana" w:hAnsi="Verdana"/>
        </w:rPr>
        <w:t xml:space="preserve"> Rijksbijdrage van € </w:t>
      </w:r>
      <w:r>
        <w:rPr>
          <w:rFonts w:ascii="Verdana" w:hAnsi="Verdana"/>
        </w:rPr>
        <w:t>30</w:t>
      </w:r>
      <w:r w:rsidRPr="00A075F9">
        <w:rPr>
          <w:rFonts w:ascii="Verdana" w:hAnsi="Verdana"/>
        </w:rPr>
        <w:t xml:space="preserve"> miljoen </w:t>
      </w:r>
      <w:r>
        <w:rPr>
          <w:rFonts w:ascii="Verdana" w:hAnsi="Verdana"/>
        </w:rPr>
        <w:t xml:space="preserve">is </w:t>
      </w:r>
      <w:r w:rsidRPr="00A075F9">
        <w:rPr>
          <w:rFonts w:ascii="Verdana" w:hAnsi="Verdana"/>
        </w:rPr>
        <w:t>in 2014 gerealiseerd</w:t>
      </w:r>
      <w:r>
        <w:rPr>
          <w:rFonts w:ascii="Verdana" w:hAnsi="Verdana"/>
        </w:rPr>
        <w:t>. Zie ook Kamerstukken II</w:t>
      </w:r>
      <w:r w:rsidRPr="00A075F9">
        <w:rPr>
          <w:rFonts w:ascii="Verdana" w:hAnsi="Verdana"/>
        </w:rPr>
        <w:t>, 2014–2015, 34 085 J, nr. 2, pagina 8 en 9.</w:t>
      </w:r>
      <w:r>
        <w:rPr>
          <w:rFonts w:ascii="Verdana" w:hAnsi="Verdana"/>
          <w:sz w:val="18"/>
          <w:szCs w:val="18"/>
        </w:rPr>
        <w:br w:type="page"/>
      </w:r>
      <w:r w:rsidRPr="00245184">
        <w:rPr>
          <w:rFonts w:ascii="Verdana" w:hAnsi="Verdana"/>
          <w:b/>
          <w:sz w:val="18"/>
          <w:szCs w:val="18"/>
        </w:rPr>
        <w:lastRenderedPageBreak/>
        <w:t>Artikel 7 Investeren in waterkwaliteit</w:t>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23E9FBD8" wp14:editId="626F5E51">
            <wp:extent cx="5735320" cy="1799590"/>
            <wp:effectExtent l="19050" t="0" r="0" b="0"/>
            <wp:docPr id="25" name="Objec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35" cstate="print"/>
                    <a:srcRect/>
                    <a:stretch>
                      <a:fillRect/>
                    </a:stretch>
                  </pic:blipFill>
                  <pic:spPr bwMode="auto">
                    <a:xfrm>
                      <a:off x="0" y="0"/>
                      <a:ext cx="5735320" cy="1799590"/>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Default="009F2ED6" w:rsidP="009F2ED6">
      <w:pPr>
        <w:rPr>
          <w:rFonts w:ascii="Verdana" w:hAnsi="Verdana"/>
          <w:sz w:val="18"/>
          <w:szCs w:val="18"/>
        </w:rPr>
      </w:pPr>
      <w:r>
        <w:rPr>
          <w:rFonts w:ascii="Verdana" w:hAnsi="Verdana"/>
          <w:noProof/>
          <w:sz w:val="18"/>
          <w:szCs w:val="18"/>
        </w:rPr>
        <w:drawing>
          <wp:inline distT="0" distB="0" distL="0" distR="0" wp14:anchorId="2DD37AEA" wp14:editId="251F405F">
            <wp:extent cx="5735320" cy="1960245"/>
            <wp:effectExtent l="19050" t="0" r="0" b="0"/>
            <wp:docPr id="26" name="Objec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36" cstate="print"/>
                    <a:srcRect/>
                    <a:stretch>
                      <a:fillRect/>
                    </a:stretch>
                  </pic:blipFill>
                  <pic:spPr bwMode="auto">
                    <a:xfrm>
                      <a:off x="0" y="0"/>
                      <a:ext cx="5735320" cy="1960245"/>
                    </a:xfrm>
                    <a:prstGeom prst="rect">
                      <a:avLst/>
                    </a:prstGeom>
                    <a:noFill/>
                    <a:ln w="9525">
                      <a:noFill/>
                      <a:miter lim="800000"/>
                      <a:headEnd/>
                      <a:tailEnd/>
                    </a:ln>
                  </pic:spPr>
                </pic:pic>
              </a:graphicData>
            </a:graphic>
          </wp:inline>
        </w:drawing>
      </w:r>
    </w:p>
    <w:p w:rsidR="009F2ED6" w:rsidRDefault="009F2ED6" w:rsidP="009F2ED6">
      <w:pPr>
        <w:rPr>
          <w:rFonts w:ascii="Verdana" w:hAnsi="Verdana"/>
          <w:sz w:val="18"/>
          <w:szCs w:val="18"/>
        </w:rPr>
      </w:pPr>
    </w:p>
    <w:p w:rsidR="009F2ED6" w:rsidRDefault="009F2ED6" w:rsidP="009F2ED6">
      <w:pPr>
        <w:rPr>
          <w:rFonts w:ascii="Verdana" w:hAnsi="Verdana"/>
          <w:sz w:val="18"/>
          <w:szCs w:val="18"/>
        </w:rPr>
      </w:pPr>
    </w:p>
    <w:p w:rsidR="009F2ED6" w:rsidRPr="008E0F39" w:rsidRDefault="009F2ED6" w:rsidP="009F2ED6">
      <w:pPr>
        <w:rPr>
          <w:rFonts w:ascii="Verdana" w:hAnsi="Verdana"/>
          <w:sz w:val="18"/>
          <w:szCs w:val="18"/>
        </w:rPr>
      </w:pPr>
    </w:p>
    <w:p w:rsidR="006C11B8" w:rsidRDefault="006C11B8"/>
    <w:sectPr w:rsidR="006C11B8" w:rsidSect="009A341D">
      <w:pgSz w:w="11907" w:h="16840" w:code="9"/>
      <w:pgMar w:top="1418" w:right="1418" w:bottom="1418" w:left="1418"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4" w:rsidRDefault="009F2ED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CC2" w:rsidRDefault="009F2ED6">
    <w:pPr>
      <w:pStyle w:val="Voettekst"/>
      <w:jc w:val="right"/>
    </w:pPr>
  </w:p>
  <w:p w:rsidR="007F1195" w:rsidRDefault="009F2ED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4" w:rsidRDefault="009F2ED6">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4" w:rsidRDefault="009F2ED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4" w:rsidRDefault="009F2ED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4" w:rsidRDefault="009F2ED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2B3A"/>
    <w:multiLevelType w:val="hybridMultilevel"/>
    <w:tmpl w:val="D8EA371E"/>
    <w:lvl w:ilvl="0" w:tplc="0413000F">
      <w:start w:val="1"/>
      <w:numFmt w:val="decimal"/>
      <w:lvlText w:val="%1."/>
      <w:lvlJc w:val="left"/>
      <w:pPr>
        <w:ind w:left="1260" w:hanging="360"/>
      </w:p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
    <w:nsid w:val="3B1E1DAB"/>
    <w:multiLevelType w:val="hybridMultilevel"/>
    <w:tmpl w:val="E8FA8032"/>
    <w:lvl w:ilvl="0" w:tplc="8550C736">
      <w:start w:val="1"/>
      <w:numFmt w:val="decimal"/>
      <w:lvlText w:val="%1."/>
      <w:lvlJc w:val="left"/>
      <w:pPr>
        <w:ind w:left="1267" w:hanging="360"/>
      </w:pPr>
      <w:rPr>
        <w:rFonts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2">
    <w:nsid w:val="40A3662B"/>
    <w:multiLevelType w:val="hybridMultilevel"/>
    <w:tmpl w:val="9022CAAA"/>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3">
    <w:nsid w:val="44484900"/>
    <w:multiLevelType w:val="hybridMultilevel"/>
    <w:tmpl w:val="81D66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D6"/>
    <w:rsid w:val="00433D6E"/>
    <w:rsid w:val="006C11B8"/>
    <w:rsid w:val="009F2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ED6"/>
    <w:rPr>
      <w:rFonts w:ascii="Arial" w:hAnsi="Arial"/>
    </w:rPr>
  </w:style>
  <w:style w:type="paragraph" w:styleId="Kop1">
    <w:name w:val="heading 1"/>
    <w:basedOn w:val="Standaard"/>
    <w:next w:val="Standaard"/>
    <w:link w:val="Kop1Char"/>
    <w:qFormat/>
    <w:rsid w:val="009F2ED6"/>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9F2ED6"/>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2ED6"/>
    <w:rPr>
      <w:rFonts w:ascii="Arial" w:hAnsi="Arial" w:cs="Arial"/>
      <w:b/>
      <w:bCs/>
    </w:rPr>
  </w:style>
  <w:style w:type="character" w:customStyle="1" w:styleId="Kop5Char">
    <w:name w:val="Kop 5 Char"/>
    <w:basedOn w:val="Standaardalinea-lettertype"/>
    <w:link w:val="Kop5"/>
    <w:rsid w:val="009F2ED6"/>
    <w:rPr>
      <w:rFonts w:ascii="Arial" w:hAnsi="Arial"/>
      <w:b/>
      <w:bCs/>
      <w:lang w:val="en-GB"/>
    </w:rPr>
  </w:style>
  <w:style w:type="paragraph" w:styleId="Voettekst">
    <w:name w:val="footer"/>
    <w:basedOn w:val="Standaard"/>
    <w:link w:val="VoettekstChar"/>
    <w:uiPriority w:val="99"/>
    <w:rsid w:val="009F2ED6"/>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9F2ED6"/>
    <w:rPr>
      <w:sz w:val="24"/>
      <w:szCs w:val="24"/>
    </w:rPr>
  </w:style>
  <w:style w:type="paragraph" w:styleId="Koptekst">
    <w:name w:val="header"/>
    <w:basedOn w:val="Standaard"/>
    <w:link w:val="KoptekstChar"/>
    <w:uiPriority w:val="99"/>
    <w:rsid w:val="009F2ED6"/>
    <w:pPr>
      <w:tabs>
        <w:tab w:val="center" w:pos="4153"/>
        <w:tab w:val="right" w:pos="8306"/>
      </w:tabs>
    </w:pPr>
  </w:style>
  <w:style w:type="character" w:customStyle="1" w:styleId="KoptekstChar">
    <w:name w:val="Koptekst Char"/>
    <w:basedOn w:val="Standaardalinea-lettertype"/>
    <w:link w:val="Koptekst"/>
    <w:uiPriority w:val="99"/>
    <w:rsid w:val="009F2ED6"/>
    <w:rPr>
      <w:rFonts w:ascii="Arial" w:hAnsi="Arial"/>
    </w:rPr>
  </w:style>
  <w:style w:type="paragraph" w:styleId="Plattetekst3">
    <w:name w:val="Body Text 3"/>
    <w:basedOn w:val="Standaard"/>
    <w:link w:val="Plattetekst3Char"/>
    <w:rsid w:val="009F2ED6"/>
    <w:rPr>
      <w:rFonts w:ascii="Verdana" w:hAnsi="Verdana"/>
      <w:b/>
      <w:bCs/>
      <w:sz w:val="24"/>
    </w:rPr>
  </w:style>
  <w:style w:type="character" w:customStyle="1" w:styleId="Plattetekst3Char">
    <w:name w:val="Platte tekst 3 Char"/>
    <w:basedOn w:val="Standaardalinea-lettertype"/>
    <w:link w:val="Plattetekst3"/>
    <w:rsid w:val="009F2ED6"/>
    <w:rPr>
      <w:rFonts w:ascii="Verdana" w:hAnsi="Verdana"/>
      <w:b/>
      <w:bCs/>
      <w:sz w:val="24"/>
    </w:rPr>
  </w:style>
  <w:style w:type="paragraph" w:styleId="Geenafstand">
    <w:name w:val="No Spacing"/>
    <w:link w:val="GeenafstandChar"/>
    <w:uiPriority w:val="1"/>
    <w:qFormat/>
    <w:rsid w:val="009F2ED6"/>
    <w:rPr>
      <w:rFonts w:ascii="Calibri" w:eastAsia="Calibri" w:hAnsi="Calibri"/>
      <w:sz w:val="22"/>
      <w:szCs w:val="22"/>
      <w:lang w:eastAsia="en-US"/>
    </w:rPr>
  </w:style>
  <w:style w:type="paragraph" w:styleId="Lijstalinea">
    <w:name w:val="List Paragraph"/>
    <w:basedOn w:val="Standaard"/>
    <w:uiPriority w:val="34"/>
    <w:qFormat/>
    <w:rsid w:val="009F2ED6"/>
    <w:pPr>
      <w:spacing w:after="200" w:line="276" w:lineRule="auto"/>
      <w:ind w:left="720"/>
    </w:pPr>
    <w:rPr>
      <w:rFonts w:ascii="Calibri" w:eastAsia="Calibri" w:hAnsi="Calibri"/>
      <w:sz w:val="22"/>
      <w:szCs w:val="22"/>
    </w:rPr>
  </w:style>
  <w:style w:type="paragraph" w:customStyle="1" w:styleId="Default">
    <w:name w:val="Default"/>
    <w:rsid w:val="009F2ED6"/>
    <w:pPr>
      <w:autoSpaceDE w:val="0"/>
      <w:autoSpaceDN w:val="0"/>
      <w:adjustRightInd w:val="0"/>
    </w:pPr>
    <w:rPr>
      <w:rFonts w:ascii="Verdana" w:hAnsi="Verdana"/>
      <w:color w:val="000000"/>
      <w:sz w:val="24"/>
      <w:szCs w:val="24"/>
    </w:rPr>
  </w:style>
  <w:style w:type="character" w:customStyle="1" w:styleId="GeenafstandChar">
    <w:name w:val="Geen afstand Char"/>
    <w:basedOn w:val="Standaardalinea-lettertype"/>
    <w:link w:val="Geenafstand"/>
    <w:uiPriority w:val="1"/>
    <w:rsid w:val="009F2ED6"/>
    <w:rPr>
      <w:rFonts w:ascii="Calibri" w:eastAsia="Calibri" w:hAnsi="Calibri"/>
      <w:sz w:val="22"/>
      <w:szCs w:val="22"/>
      <w:lang w:eastAsia="en-US"/>
    </w:rPr>
  </w:style>
  <w:style w:type="paragraph" w:styleId="Ballontekst">
    <w:name w:val="Balloon Text"/>
    <w:basedOn w:val="Standaard"/>
    <w:link w:val="BallontekstChar"/>
    <w:rsid w:val="009F2ED6"/>
    <w:rPr>
      <w:rFonts w:ascii="Tahoma" w:hAnsi="Tahoma" w:cs="Tahoma"/>
      <w:sz w:val="16"/>
      <w:szCs w:val="16"/>
    </w:rPr>
  </w:style>
  <w:style w:type="character" w:customStyle="1" w:styleId="BallontekstChar">
    <w:name w:val="Ballontekst Char"/>
    <w:basedOn w:val="Standaardalinea-lettertype"/>
    <w:link w:val="Ballontekst"/>
    <w:rsid w:val="009F2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2ED6"/>
    <w:rPr>
      <w:rFonts w:ascii="Arial" w:hAnsi="Arial"/>
    </w:rPr>
  </w:style>
  <w:style w:type="paragraph" w:styleId="Kop1">
    <w:name w:val="heading 1"/>
    <w:basedOn w:val="Standaard"/>
    <w:next w:val="Standaard"/>
    <w:link w:val="Kop1Char"/>
    <w:qFormat/>
    <w:rsid w:val="009F2ED6"/>
    <w:pPr>
      <w:keepNext/>
      <w:widowControl w:val="0"/>
      <w:autoSpaceDE w:val="0"/>
      <w:autoSpaceDN w:val="0"/>
      <w:adjustRightInd w:val="0"/>
      <w:outlineLvl w:val="0"/>
    </w:pPr>
    <w:rPr>
      <w:rFonts w:cs="Arial"/>
      <w:b/>
      <w:bCs/>
    </w:rPr>
  </w:style>
  <w:style w:type="paragraph" w:styleId="Kop5">
    <w:name w:val="heading 5"/>
    <w:basedOn w:val="Standaard"/>
    <w:next w:val="Standaard"/>
    <w:link w:val="Kop5Char"/>
    <w:qFormat/>
    <w:rsid w:val="009F2ED6"/>
    <w:pPr>
      <w:keepNext/>
      <w:jc w:val="right"/>
      <w:outlineLvl w:val="4"/>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2ED6"/>
    <w:rPr>
      <w:rFonts w:ascii="Arial" w:hAnsi="Arial" w:cs="Arial"/>
      <w:b/>
      <w:bCs/>
    </w:rPr>
  </w:style>
  <w:style w:type="character" w:customStyle="1" w:styleId="Kop5Char">
    <w:name w:val="Kop 5 Char"/>
    <w:basedOn w:val="Standaardalinea-lettertype"/>
    <w:link w:val="Kop5"/>
    <w:rsid w:val="009F2ED6"/>
    <w:rPr>
      <w:rFonts w:ascii="Arial" w:hAnsi="Arial"/>
      <w:b/>
      <w:bCs/>
      <w:lang w:val="en-GB"/>
    </w:rPr>
  </w:style>
  <w:style w:type="paragraph" w:styleId="Voettekst">
    <w:name w:val="footer"/>
    <w:basedOn w:val="Standaard"/>
    <w:link w:val="VoettekstChar"/>
    <w:uiPriority w:val="99"/>
    <w:rsid w:val="009F2ED6"/>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9F2ED6"/>
    <w:rPr>
      <w:sz w:val="24"/>
      <w:szCs w:val="24"/>
    </w:rPr>
  </w:style>
  <w:style w:type="paragraph" w:styleId="Koptekst">
    <w:name w:val="header"/>
    <w:basedOn w:val="Standaard"/>
    <w:link w:val="KoptekstChar"/>
    <w:uiPriority w:val="99"/>
    <w:rsid w:val="009F2ED6"/>
    <w:pPr>
      <w:tabs>
        <w:tab w:val="center" w:pos="4153"/>
        <w:tab w:val="right" w:pos="8306"/>
      </w:tabs>
    </w:pPr>
  </w:style>
  <w:style w:type="character" w:customStyle="1" w:styleId="KoptekstChar">
    <w:name w:val="Koptekst Char"/>
    <w:basedOn w:val="Standaardalinea-lettertype"/>
    <w:link w:val="Koptekst"/>
    <w:uiPriority w:val="99"/>
    <w:rsid w:val="009F2ED6"/>
    <w:rPr>
      <w:rFonts w:ascii="Arial" w:hAnsi="Arial"/>
    </w:rPr>
  </w:style>
  <w:style w:type="paragraph" w:styleId="Plattetekst3">
    <w:name w:val="Body Text 3"/>
    <w:basedOn w:val="Standaard"/>
    <w:link w:val="Plattetekst3Char"/>
    <w:rsid w:val="009F2ED6"/>
    <w:rPr>
      <w:rFonts w:ascii="Verdana" w:hAnsi="Verdana"/>
      <w:b/>
      <w:bCs/>
      <w:sz w:val="24"/>
    </w:rPr>
  </w:style>
  <w:style w:type="character" w:customStyle="1" w:styleId="Plattetekst3Char">
    <w:name w:val="Platte tekst 3 Char"/>
    <w:basedOn w:val="Standaardalinea-lettertype"/>
    <w:link w:val="Plattetekst3"/>
    <w:rsid w:val="009F2ED6"/>
    <w:rPr>
      <w:rFonts w:ascii="Verdana" w:hAnsi="Verdana"/>
      <w:b/>
      <w:bCs/>
      <w:sz w:val="24"/>
    </w:rPr>
  </w:style>
  <w:style w:type="paragraph" w:styleId="Geenafstand">
    <w:name w:val="No Spacing"/>
    <w:link w:val="GeenafstandChar"/>
    <w:uiPriority w:val="1"/>
    <w:qFormat/>
    <w:rsid w:val="009F2ED6"/>
    <w:rPr>
      <w:rFonts w:ascii="Calibri" w:eastAsia="Calibri" w:hAnsi="Calibri"/>
      <w:sz w:val="22"/>
      <w:szCs w:val="22"/>
      <w:lang w:eastAsia="en-US"/>
    </w:rPr>
  </w:style>
  <w:style w:type="paragraph" w:styleId="Lijstalinea">
    <w:name w:val="List Paragraph"/>
    <w:basedOn w:val="Standaard"/>
    <w:uiPriority w:val="34"/>
    <w:qFormat/>
    <w:rsid w:val="009F2ED6"/>
    <w:pPr>
      <w:spacing w:after="200" w:line="276" w:lineRule="auto"/>
      <w:ind w:left="720"/>
    </w:pPr>
    <w:rPr>
      <w:rFonts w:ascii="Calibri" w:eastAsia="Calibri" w:hAnsi="Calibri"/>
      <w:sz w:val="22"/>
      <w:szCs w:val="22"/>
    </w:rPr>
  </w:style>
  <w:style w:type="paragraph" w:customStyle="1" w:styleId="Default">
    <w:name w:val="Default"/>
    <w:rsid w:val="009F2ED6"/>
    <w:pPr>
      <w:autoSpaceDE w:val="0"/>
      <w:autoSpaceDN w:val="0"/>
      <w:adjustRightInd w:val="0"/>
    </w:pPr>
    <w:rPr>
      <w:rFonts w:ascii="Verdana" w:hAnsi="Verdana"/>
      <w:color w:val="000000"/>
      <w:sz w:val="24"/>
      <w:szCs w:val="24"/>
    </w:rPr>
  </w:style>
  <w:style w:type="character" w:customStyle="1" w:styleId="GeenafstandChar">
    <w:name w:val="Geen afstand Char"/>
    <w:basedOn w:val="Standaardalinea-lettertype"/>
    <w:link w:val="Geenafstand"/>
    <w:uiPriority w:val="1"/>
    <w:rsid w:val="009F2ED6"/>
    <w:rPr>
      <w:rFonts w:ascii="Calibri" w:eastAsia="Calibri" w:hAnsi="Calibri"/>
      <w:sz w:val="22"/>
      <w:szCs w:val="22"/>
      <w:lang w:eastAsia="en-US"/>
    </w:rPr>
  </w:style>
  <w:style w:type="paragraph" w:styleId="Ballontekst">
    <w:name w:val="Balloon Text"/>
    <w:basedOn w:val="Standaard"/>
    <w:link w:val="BallontekstChar"/>
    <w:rsid w:val="009F2ED6"/>
    <w:rPr>
      <w:rFonts w:ascii="Tahoma" w:hAnsi="Tahoma" w:cs="Tahoma"/>
      <w:sz w:val="16"/>
      <w:szCs w:val="16"/>
    </w:rPr>
  </w:style>
  <w:style w:type="character" w:customStyle="1" w:styleId="BallontekstChar">
    <w:name w:val="Ballontekst Char"/>
    <w:basedOn w:val="Standaardalinea-lettertype"/>
    <w:link w:val="Ballontekst"/>
    <w:rsid w:val="009F2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1.xml"/><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64DD3-A6F5-4C72-A9A5-2EDC643A68DE}"/>
</file>

<file path=customXml/itemProps2.xml><?xml version="1.0" encoding="utf-8"?>
<ds:datastoreItem xmlns:ds="http://schemas.openxmlformats.org/officeDocument/2006/customXml" ds:itemID="{C976F601-E15C-440A-B870-A6D4104FB923}"/>
</file>

<file path=customXml/itemProps3.xml><?xml version="1.0" encoding="utf-8"?>
<ds:datastoreItem xmlns:ds="http://schemas.openxmlformats.org/officeDocument/2006/customXml" ds:itemID="{CD24220B-B5F7-44E0-BC8A-240AA98FB69D}"/>
</file>

<file path=docProps/app.xml><?xml version="1.0" encoding="utf-8"?>
<Properties xmlns="http://schemas.openxmlformats.org/officeDocument/2006/extended-properties" xmlns:vt="http://schemas.openxmlformats.org/officeDocument/2006/docPropsVTypes">
  <Template>7FA34374</Template>
  <TotalTime>1</TotalTime>
  <Pages>32</Pages>
  <Words>4273</Words>
  <Characters>23502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2015-06-01T15:54:00Z</dcterms:created>
  <dcterms:modified xsi:type="dcterms:W3CDTF">2015-06-01T15:55:00Z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