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2F" w:rsidRPr="006D035E" w:rsidRDefault="00C10C2F" w:rsidP="00C10C2F">
      <w:pPr>
        <w:spacing w:line="360" w:lineRule="auto"/>
        <w:rPr>
          <w:rFonts w:ascii="Arial" w:hAnsi="Arial" w:cs="Arial"/>
          <w:b/>
          <w:sz w:val="20"/>
          <w:szCs w:val="20"/>
          <w:lang w:val="nl"/>
        </w:rPr>
      </w:pPr>
      <w:r>
        <w:rPr>
          <w:rFonts w:ascii="Arial" w:hAnsi="Arial" w:cs="Arial"/>
          <w:b/>
          <w:sz w:val="20"/>
          <w:szCs w:val="20"/>
          <w:lang w:val="nl"/>
        </w:rPr>
        <w:t>Memorie van toelichting (Eerste suppletoire begroting)</w:t>
      </w:r>
    </w:p>
    <w:p w:rsidR="00C10C2F" w:rsidRPr="006D035E" w:rsidRDefault="00C10C2F" w:rsidP="00C10C2F">
      <w:pPr>
        <w:spacing w:line="360" w:lineRule="auto"/>
        <w:rPr>
          <w:rFonts w:ascii="Arial" w:hAnsi="Arial" w:cs="Arial"/>
          <w:b/>
          <w:sz w:val="20"/>
          <w:szCs w:val="20"/>
          <w:lang w:val="nl"/>
        </w:rPr>
      </w:pPr>
    </w:p>
    <w:p w:rsidR="00C10C2F" w:rsidRPr="006D035E" w:rsidRDefault="00C10C2F" w:rsidP="00C10C2F">
      <w:pPr>
        <w:spacing w:line="360" w:lineRule="auto"/>
        <w:rPr>
          <w:rFonts w:ascii="Arial" w:hAnsi="Arial" w:cs="Arial"/>
          <w:b/>
          <w:sz w:val="20"/>
          <w:szCs w:val="20"/>
          <w:lang w:val="nl"/>
        </w:rPr>
      </w:pPr>
    </w:p>
    <w:p w:rsidR="00C10C2F" w:rsidRPr="006D035E" w:rsidRDefault="00C10C2F" w:rsidP="00C10C2F">
      <w:pPr>
        <w:spacing w:line="360" w:lineRule="auto"/>
        <w:rPr>
          <w:rFonts w:ascii="Arial" w:hAnsi="Arial" w:cs="Arial"/>
          <w:b/>
          <w:sz w:val="20"/>
          <w:szCs w:val="20"/>
          <w:lang w:val="nl"/>
        </w:rPr>
      </w:pPr>
      <w:r w:rsidRPr="006D035E">
        <w:rPr>
          <w:rFonts w:ascii="Arial" w:hAnsi="Arial" w:cs="Arial"/>
          <w:b/>
          <w:sz w:val="20"/>
          <w:szCs w:val="20"/>
          <w:lang w:val="nl"/>
        </w:rPr>
        <w:t>A. ARTIKELSGEWIJZE TOELICHTING BIJ HET WETSVOORSTEL</w:t>
      </w:r>
    </w:p>
    <w:p w:rsidR="00C10C2F" w:rsidRPr="006D035E" w:rsidRDefault="00C10C2F" w:rsidP="00C10C2F">
      <w:pPr>
        <w:spacing w:line="360" w:lineRule="auto"/>
        <w:rPr>
          <w:rFonts w:ascii="Arial" w:hAnsi="Arial" w:cs="Arial"/>
          <w:sz w:val="20"/>
          <w:szCs w:val="20"/>
        </w:rPr>
      </w:pPr>
    </w:p>
    <w:p w:rsidR="00C10C2F" w:rsidRPr="006D035E" w:rsidRDefault="00C10C2F" w:rsidP="00C10C2F">
      <w:pPr>
        <w:spacing w:line="360" w:lineRule="auto"/>
        <w:rPr>
          <w:rFonts w:ascii="Arial" w:hAnsi="Arial" w:cs="Arial"/>
          <w:b/>
          <w:sz w:val="20"/>
          <w:szCs w:val="20"/>
          <w:lang w:val="nl"/>
        </w:rPr>
      </w:pPr>
      <w:r w:rsidRPr="006D035E">
        <w:rPr>
          <w:rFonts w:ascii="Arial" w:hAnsi="Arial" w:cs="Arial"/>
          <w:b/>
          <w:sz w:val="20"/>
          <w:szCs w:val="20"/>
          <w:lang w:val="nl"/>
        </w:rPr>
        <w:t>Wetsartikel 1</w:t>
      </w:r>
    </w:p>
    <w:p w:rsidR="00C10C2F" w:rsidRPr="006D035E" w:rsidRDefault="00C10C2F" w:rsidP="00C10C2F">
      <w:pPr>
        <w:spacing w:line="360" w:lineRule="auto"/>
        <w:rPr>
          <w:rFonts w:ascii="Arial" w:hAnsi="Arial" w:cs="Arial"/>
          <w:sz w:val="20"/>
          <w:szCs w:val="20"/>
        </w:rPr>
      </w:pPr>
    </w:p>
    <w:p w:rsidR="00C10C2F" w:rsidRPr="006D035E" w:rsidRDefault="00C10C2F" w:rsidP="00C10C2F">
      <w:pPr>
        <w:spacing w:line="360" w:lineRule="auto"/>
        <w:rPr>
          <w:rFonts w:ascii="Arial" w:hAnsi="Arial" w:cs="Arial"/>
          <w:sz w:val="20"/>
          <w:szCs w:val="20"/>
          <w:lang w:val="nl"/>
        </w:rPr>
      </w:pPr>
      <w:r w:rsidRPr="006D035E">
        <w:rPr>
          <w:rFonts w:ascii="Arial" w:hAnsi="Arial" w:cs="Arial"/>
          <w:sz w:val="20"/>
          <w:szCs w:val="20"/>
          <w:lang w:val="nl"/>
        </w:rPr>
        <w:t>De begrotingsstaten die onderdeel zijn van de Rijksbegroting, worden op grond van artikel 1, derde lid, van de Comptabiliteitswet 2001 elk afzonderlijk bij de wet vastgesteld en derhalve ook gewijzigd. Het onderhavige wetsvoorstel strekt ertoe om voor het jaar 201</w:t>
      </w:r>
      <w:r>
        <w:rPr>
          <w:rFonts w:ascii="Arial" w:hAnsi="Arial" w:cs="Arial"/>
          <w:sz w:val="20"/>
          <w:szCs w:val="20"/>
          <w:lang w:val="nl"/>
        </w:rPr>
        <w:t>5</w:t>
      </w:r>
      <w:r w:rsidRPr="006D035E">
        <w:rPr>
          <w:rFonts w:ascii="Arial" w:hAnsi="Arial" w:cs="Arial"/>
          <w:sz w:val="20"/>
          <w:szCs w:val="20"/>
          <w:lang w:val="nl"/>
        </w:rPr>
        <w:t xml:space="preserve"> wijzigingen aan te brengen in de begrotingsstaat van de begroting van de Koning.</w:t>
      </w:r>
    </w:p>
    <w:p w:rsidR="00C10C2F" w:rsidRPr="006D035E" w:rsidRDefault="00C10C2F" w:rsidP="00C10C2F">
      <w:pPr>
        <w:spacing w:line="360" w:lineRule="auto"/>
        <w:rPr>
          <w:rFonts w:ascii="Arial" w:hAnsi="Arial" w:cs="Arial"/>
          <w:sz w:val="20"/>
          <w:szCs w:val="20"/>
          <w:lang w:val="nl"/>
        </w:rPr>
      </w:pPr>
    </w:p>
    <w:p w:rsidR="00C10C2F" w:rsidRPr="006D035E" w:rsidRDefault="00C10C2F" w:rsidP="00C10C2F">
      <w:pPr>
        <w:spacing w:line="360" w:lineRule="auto"/>
        <w:rPr>
          <w:rFonts w:ascii="Arial" w:hAnsi="Arial" w:cs="Arial"/>
          <w:sz w:val="20"/>
          <w:szCs w:val="20"/>
          <w:lang w:val="nl"/>
        </w:rPr>
      </w:pPr>
      <w:r w:rsidRPr="006D035E">
        <w:rPr>
          <w:rFonts w:ascii="Arial" w:hAnsi="Arial" w:cs="Arial"/>
          <w:sz w:val="20"/>
          <w:szCs w:val="20"/>
          <w:lang w:val="nl"/>
        </w:rPr>
        <w:t>De in de begrotingsstaat opgenomen begrotingsartikelen worden in onderdeel B van deze memorie van toelichting toegelicht (de zgn. begrotingstoelichting).</w:t>
      </w:r>
    </w:p>
    <w:p w:rsidR="00C10C2F" w:rsidRDefault="00C10C2F" w:rsidP="00C10C2F">
      <w:pPr>
        <w:spacing w:line="360" w:lineRule="auto"/>
        <w:rPr>
          <w:rFonts w:ascii="Arial" w:hAnsi="Arial" w:cs="Arial"/>
          <w:sz w:val="20"/>
          <w:szCs w:val="20"/>
          <w:lang w:val="nl"/>
        </w:rPr>
      </w:pPr>
    </w:p>
    <w:p w:rsidR="00C10C2F" w:rsidRPr="006D035E" w:rsidRDefault="00C10C2F" w:rsidP="00C10C2F">
      <w:pPr>
        <w:spacing w:line="360" w:lineRule="auto"/>
        <w:rPr>
          <w:rFonts w:ascii="Arial" w:hAnsi="Arial" w:cs="Arial"/>
          <w:sz w:val="20"/>
          <w:szCs w:val="20"/>
          <w:lang w:val="nl"/>
        </w:rPr>
      </w:pPr>
    </w:p>
    <w:p w:rsidR="00C10C2F" w:rsidRPr="006D035E" w:rsidRDefault="00C10C2F" w:rsidP="00C10C2F">
      <w:pPr>
        <w:spacing w:line="360" w:lineRule="auto"/>
        <w:rPr>
          <w:rFonts w:ascii="Arial" w:hAnsi="Arial" w:cs="Arial"/>
          <w:sz w:val="20"/>
          <w:szCs w:val="20"/>
          <w:lang w:val="nl"/>
        </w:rPr>
      </w:pPr>
      <w:r w:rsidRPr="006D035E">
        <w:rPr>
          <w:rFonts w:ascii="Arial" w:hAnsi="Arial" w:cs="Arial"/>
          <w:sz w:val="20"/>
          <w:szCs w:val="20"/>
          <w:lang w:val="nl"/>
        </w:rPr>
        <w:t>De Minister-President,</w:t>
      </w:r>
    </w:p>
    <w:p w:rsidR="00C10C2F" w:rsidRPr="006D035E" w:rsidRDefault="00C10C2F" w:rsidP="00C10C2F">
      <w:pPr>
        <w:spacing w:line="360" w:lineRule="auto"/>
        <w:rPr>
          <w:rFonts w:ascii="Arial" w:hAnsi="Arial" w:cs="Arial"/>
          <w:sz w:val="20"/>
          <w:szCs w:val="20"/>
          <w:lang w:val="nl"/>
        </w:rPr>
      </w:pPr>
      <w:r w:rsidRPr="006D035E">
        <w:rPr>
          <w:rFonts w:ascii="Arial" w:hAnsi="Arial" w:cs="Arial"/>
          <w:sz w:val="20"/>
          <w:szCs w:val="20"/>
          <w:lang w:val="nl"/>
        </w:rPr>
        <w:t>Minister van Algemene Zaken,</w:t>
      </w:r>
    </w:p>
    <w:p w:rsidR="00C10C2F" w:rsidRPr="006D035E" w:rsidRDefault="00C10C2F" w:rsidP="00C10C2F">
      <w:pPr>
        <w:spacing w:line="360" w:lineRule="auto"/>
        <w:rPr>
          <w:rFonts w:ascii="Arial" w:hAnsi="Arial" w:cs="Arial"/>
          <w:sz w:val="20"/>
          <w:szCs w:val="20"/>
          <w:lang w:val="nl"/>
        </w:rPr>
      </w:pPr>
    </w:p>
    <w:p w:rsidR="00C10C2F" w:rsidRPr="006D035E" w:rsidRDefault="00C10C2F" w:rsidP="00C10C2F">
      <w:pPr>
        <w:spacing w:line="360" w:lineRule="auto"/>
        <w:rPr>
          <w:rFonts w:ascii="Arial" w:hAnsi="Arial" w:cs="Arial"/>
          <w:sz w:val="20"/>
          <w:szCs w:val="20"/>
          <w:lang w:val="nl"/>
        </w:rPr>
      </w:pPr>
    </w:p>
    <w:p w:rsidR="00C10C2F" w:rsidRPr="006D035E" w:rsidRDefault="00C10C2F" w:rsidP="00C10C2F">
      <w:pPr>
        <w:spacing w:line="360" w:lineRule="auto"/>
        <w:rPr>
          <w:rFonts w:ascii="Arial" w:hAnsi="Arial" w:cs="Arial"/>
          <w:sz w:val="20"/>
          <w:szCs w:val="20"/>
          <w:lang w:val="nl"/>
        </w:rPr>
      </w:pPr>
    </w:p>
    <w:p w:rsidR="00C10C2F" w:rsidRPr="006D035E" w:rsidRDefault="00C10C2F" w:rsidP="00C10C2F">
      <w:pPr>
        <w:spacing w:line="360" w:lineRule="auto"/>
        <w:rPr>
          <w:rFonts w:ascii="Arial" w:hAnsi="Arial" w:cs="Arial"/>
          <w:sz w:val="20"/>
          <w:szCs w:val="20"/>
          <w:lang w:val="nl"/>
        </w:rPr>
      </w:pPr>
    </w:p>
    <w:p w:rsidR="00C10C2F" w:rsidRPr="006D035E" w:rsidRDefault="00C10C2F" w:rsidP="00C10C2F">
      <w:pPr>
        <w:spacing w:line="360" w:lineRule="auto"/>
        <w:rPr>
          <w:rFonts w:ascii="Arial" w:hAnsi="Arial" w:cs="Arial"/>
          <w:sz w:val="20"/>
          <w:szCs w:val="20"/>
          <w:lang w:val="nl"/>
        </w:rPr>
      </w:pPr>
    </w:p>
    <w:p w:rsidR="00C10C2F" w:rsidRPr="006D035E" w:rsidRDefault="00C10C2F" w:rsidP="00C10C2F">
      <w:pPr>
        <w:spacing w:line="360" w:lineRule="auto"/>
        <w:rPr>
          <w:rFonts w:ascii="Arial" w:hAnsi="Arial" w:cs="Arial"/>
          <w:sz w:val="20"/>
          <w:szCs w:val="20"/>
          <w:lang w:val="nl"/>
        </w:rPr>
      </w:pPr>
      <w:r w:rsidRPr="006D035E">
        <w:rPr>
          <w:rFonts w:ascii="Arial" w:hAnsi="Arial" w:cs="Arial"/>
          <w:sz w:val="20"/>
          <w:szCs w:val="20"/>
          <w:lang w:val="nl"/>
        </w:rPr>
        <w:t>Mark Rutte</w:t>
      </w:r>
    </w:p>
    <w:p w:rsidR="00C10C2F" w:rsidRPr="006D035E" w:rsidRDefault="00C10C2F" w:rsidP="00C10C2F">
      <w:pPr>
        <w:spacing w:line="360" w:lineRule="auto"/>
        <w:rPr>
          <w:rFonts w:ascii="Arial" w:hAnsi="Arial" w:cs="Arial"/>
          <w:b/>
          <w:sz w:val="20"/>
          <w:szCs w:val="20"/>
          <w:lang w:val="nl"/>
        </w:rPr>
      </w:pPr>
      <w:r w:rsidRPr="001741B6">
        <w:rPr>
          <w:color w:val="FF0000"/>
        </w:rPr>
        <w:br w:type="page"/>
      </w:r>
      <w:r w:rsidRPr="006D035E">
        <w:rPr>
          <w:rFonts w:ascii="Arial" w:hAnsi="Arial" w:cs="Arial"/>
          <w:b/>
          <w:sz w:val="20"/>
          <w:szCs w:val="20"/>
          <w:lang w:val="nl"/>
        </w:rPr>
        <w:lastRenderedPageBreak/>
        <w:t>B. BEGROTINGSTOELICHTING</w:t>
      </w:r>
    </w:p>
    <w:p w:rsidR="00C10C2F" w:rsidRPr="001741B6" w:rsidRDefault="00C10C2F" w:rsidP="00C10C2F">
      <w:pPr>
        <w:spacing w:line="360" w:lineRule="auto"/>
        <w:rPr>
          <w:rFonts w:ascii="Arial" w:hAnsi="Arial" w:cs="Arial"/>
          <w:color w:val="FF0000"/>
          <w:sz w:val="20"/>
          <w:szCs w:val="20"/>
          <w:lang w:val="nl"/>
        </w:rPr>
      </w:pPr>
    </w:p>
    <w:p w:rsidR="00C10C2F" w:rsidRDefault="00C10C2F" w:rsidP="00C10C2F">
      <w:pPr>
        <w:spacing w:line="360" w:lineRule="auto"/>
        <w:rPr>
          <w:rFonts w:ascii="Arial" w:hAnsi="Arial" w:cs="Arial"/>
          <w:b/>
          <w:sz w:val="20"/>
          <w:szCs w:val="20"/>
          <w:lang w:val="nl"/>
        </w:rPr>
      </w:pPr>
      <w:r w:rsidRPr="006D035E">
        <w:rPr>
          <w:rFonts w:ascii="Arial" w:hAnsi="Arial" w:cs="Arial"/>
          <w:b/>
          <w:sz w:val="20"/>
          <w:szCs w:val="20"/>
          <w:lang w:val="nl"/>
        </w:rPr>
        <w:t>1. Suppletoire mutaties</w:t>
      </w:r>
    </w:p>
    <w:p w:rsidR="00C10C2F" w:rsidRDefault="00C10C2F" w:rsidP="00C10C2F">
      <w:pPr>
        <w:spacing w:line="360" w:lineRule="auto"/>
      </w:pPr>
      <w:r w:rsidRPr="00095BAF">
        <w:rPr>
          <w:rFonts w:ascii="Arial" w:hAnsi="Arial" w:cs="Arial"/>
          <w:sz w:val="20"/>
          <w:szCs w:val="20"/>
        </w:rPr>
        <w:t>De uitgavenmutaties die voor 2015 op de eerste suppletoire begroting van de Koning staan, zijn in relatie tot de Rijksbegroting budgetneutraal. De Rijksbegroting gaat dus als geheel niet omhoog, wel vinden er enkele budgettaire verschuivingen plaats binnen de Rijksbegroting t.b.v. de begroting van de Koning. Deze worden onderstaand afzonderlijk toegelicht.</w:t>
      </w:r>
      <w:r>
        <w:rPr>
          <w:rFonts w:ascii="Arial" w:hAnsi="Arial" w:cs="Arial"/>
          <w:sz w:val="20"/>
          <w:szCs w:val="20"/>
        </w:rPr>
        <w:t xml:space="preserve"> </w:t>
      </w:r>
    </w:p>
    <w:p w:rsidR="00C10C2F" w:rsidRDefault="00C10C2F" w:rsidP="00C10C2F">
      <w:pPr>
        <w:spacing w:line="360" w:lineRule="auto"/>
        <w:rPr>
          <w:rFonts w:ascii="Arial" w:hAnsi="Arial" w:cs="Arial"/>
          <w:b/>
          <w:sz w:val="20"/>
          <w:szCs w:val="20"/>
          <w:lang w:val="nl"/>
        </w:rPr>
      </w:pPr>
    </w:p>
    <w:tbl>
      <w:tblPr>
        <w:tblW w:w="7513" w:type="dxa"/>
        <w:tblInd w:w="70" w:type="dxa"/>
        <w:tblCellMar>
          <w:left w:w="70" w:type="dxa"/>
          <w:right w:w="70" w:type="dxa"/>
        </w:tblCellMar>
        <w:tblLook w:val="04A0" w:firstRow="1" w:lastRow="0" w:firstColumn="1" w:lastColumn="0" w:noHBand="0" w:noVBand="1"/>
      </w:tblPr>
      <w:tblGrid>
        <w:gridCol w:w="5299"/>
        <w:gridCol w:w="938"/>
        <w:gridCol w:w="1276"/>
      </w:tblGrid>
      <w:tr w:rsidR="00C10C2F" w:rsidRPr="00D17FFA" w:rsidTr="00175626">
        <w:trPr>
          <w:trHeight w:val="315"/>
        </w:trPr>
        <w:tc>
          <w:tcPr>
            <w:tcW w:w="7513" w:type="dxa"/>
            <w:gridSpan w:val="3"/>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b/>
                <w:bCs/>
                <w:sz w:val="20"/>
                <w:szCs w:val="20"/>
              </w:rPr>
            </w:pPr>
            <w:r w:rsidRPr="00D17FFA">
              <w:rPr>
                <w:rFonts w:ascii="Arial" w:hAnsi="Arial" w:cs="Arial"/>
                <w:b/>
                <w:bCs/>
                <w:sz w:val="20"/>
                <w:szCs w:val="20"/>
              </w:rPr>
              <w:t xml:space="preserve">Overzicht suppletoire uitgavenmutaties 2015 (Eerste suppletoire begroting) </w:t>
            </w:r>
          </w:p>
        </w:tc>
      </w:tr>
      <w:tr w:rsidR="00C10C2F" w:rsidRPr="00D17FFA" w:rsidTr="00175626">
        <w:trPr>
          <w:trHeight w:val="330"/>
        </w:trPr>
        <w:tc>
          <w:tcPr>
            <w:tcW w:w="5299" w:type="dxa"/>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b/>
                <w:bCs/>
                <w:sz w:val="20"/>
                <w:szCs w:val="20"/>
              </w:rPr>
            </w:pPr>
            <w:r w:rsidRPr="00D17FFA">
              <w:rPr>
                <w:rFonts w:ascii="Arial" w:hAnsi="Arial" w:cs="Arial"/>
                <w:b/>
                <w:bCs/>
                <w:sz w:val="20"/>
                <w:szCs w:val="20"/>
              </w:rPr>
              <w:t>(bedragen x € 1.000)</w:t>
            </w:r>
          </w:p>
        </w:tc>
        <w:tc>
          <w:tcPr>
            <w:tcW w:w="938" w:type="dxa"/>
            <w:tcBorders>
              <w:top w:val="nil"/>
              <w:left w:val="nil"/>
              <w:bottom w:val="nil"/>
              <w:right w:val="nil"/>
            </w:tcBorders>
            <w:shd w:val="clear" w:color="auto" w:fill="auto"/>
            <w:noWrap/>
            <w:vAlign w:val="bottom"/>
            <w:hideMark/>
          </w:tcPr>
          <w:p w:rsidR="00C10C2F" w:rsidRPr="00D17FFA" w:rsidRDefault="00C10C2F" w:rsidP="00175626">
            <w:pPr>
              <w:rPr>
                <w:rFonts w:ascii="Garamond" w:hAnsi="Garamond"/>
              </w:rPr>
            </w:pPr>
          </w:p>
        </w:tc>
        <w:tc>
          <w:tcPr>
            <w:tcW w:w="1276" w:type="dxa"/>
            <w:tcBorders>
              <w:top w:val="nil"/>
              <w:left w:val="nil"/>
              <w:bottom w:val="nil"/>
              <w:right w:val="nil"/>
            </w:tcBorders>
            <w:shd w:val="clear" w:color="auto" w:fill="auto"/>
            <w:noWrap/>
            <w:vAlign w:val="bottom"/>
            <w:hideMark/>
          </w:tcPr>
          <w:p w:rsidR="00C10C2F" w:rsidRPr="00D17FFA" w:rsidRDefault="00C10C2F" w:rsidP="00175626">
            <w:pPr>
              <w:rPr>
                <w:rFonts w:ascii="Garamond" w:hAnsi="Garamond"/>
              </w:rPr>
            </w:pPr>
          </w:p>
        </w:tc>
      </w:tr>
      <w:tr w:rsidR="00C10C2F" w:rsidRPr="00D17FFA" w:rsidTr="00175626">
        <w:trPr>
          <w:trHeight w:val="330"/>
        </w:trPr>
        <w:tc>
          <w:tcPr>
            <w:tcW w:w="5299" w:type="dxa"/>
            <w:tcBorders>
              <w:top w:val="single" w:sz="8" w:space="0" w:color="auto"/>
              <w:left w:val="nil"/>
              <w:bottom w:val="single" w:sz="8" w:space="0" w:color="auto"/>
              <w:right w:val="nil"/>
            </w:tcBorders>
            <w:shd w:val="clear" w:color="auto" w:fill="auto"/>
            <w:noWrap/>
            <w:vAlign w:val="bottom"/>
            <w:hideMark/>
          </w:tcPr>
          <w:p w:rsidR="00C10C2F" w:rsidRPr="00D17FFA" w:rsidRDefault="00C10C2F" w:rsidP="00175626">
            <w:pPr>
              <w:rPr>
                <w:rFonts w:ascii="Arial" w:hAnsi="Arial" w:cs="Arial"/>
                <w:sz w:val="20"/>
                <w:szCs w:val="20"/>
              </w:rPr>
            </w:pPr>
            <w:r w:rsidRPr="00D17FFA">
              <w:rPr>
                <w:rFonts w:ascii="Arial" w:hAnsi="Arial" w:cs="Arial"/>
                <w:sz w:val="20"/>
                <w:szCs w:val="20"/>
              </w:rPr>
              <w:t> </w:t>
            </w:r>
          </w:p>
        </w:tc>
        <w:tc>
          <w:tcPr>
            <w:tcW w:w="938" w:type="dxa"/>
            <w:tcBorders>
              <w:top w:val="single" w:sz="8" w:space="0" w:color="auto"/>
              <w:left w:val="nil"/>
              <w:bottom w:val="single" w:sz="8" w:space="0" w:color="auto"/>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Art. nr.</w:t>
            </w:r>
          </w:p>
        </w:tc>
        <w:tc>
          <w:tcPr>
            <w:tcW w:w="1276" w:type="dxa"/>
            <w:tcBorders>
              <w:top w:val="single" w:sz="8" w:space="0" w:color="auto"/>
              <w:left w:val="nil"/>
              <w:bottom w:val="single" w:sz="8" w:space="0" w:color="auto"/>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Uitgaven</w:t>
            </w:r>
          </w:p>
        </w:tc>
      </w:tr>
      <w:tr w:rsidR="00C10C2F" w:rsidRPr="00D17FFA" w:rsidTr="00175626">
        <w:trPr>
          <w:trHeight w:val="315"/>
        </w:trPr>
        <w:tc>
          <w:tcPr>
            <w:tcW w:w="5299" w:type="dxa"/>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b/>
                <w:bCs/>
                <w:sz w:val="20"/>
                <w:szCs w:val="20"/>
              </w:rPr>
            </w:pPr>
            <w:r w:rsidRPr="00D17FFA">
              <w:rPr>
                <w:rFonts w:ascii="Arial" w:hAnsi="Arial" w:cs="Arial"/>
                <w:b/>
                <w:bCs/>
                <w:sz w:val="20"/>
                <w:szCs w:val="20"/>
              </w:rPr>
              <w:t>Stand oorspronkelijk vastgestelde begroting 2015</w:t>
            </w:r>
          </w:p>
        </w:tc>
        <w:tc>
          <w:tcPr>
            <w:tcW w:w="938" w:type="dxa"/>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b/>
                <w:bCs/>
                <w:sz w:val="20"/>
                <w:szCs w:val="20"/>
              </w:rPr>
            </w:pPr>
            <w:r w:rsidRPr="00D17FFA">
              <w:rPr>
                <w:rFonts w:ascii="Arial" w:hAnsi="Arial" w:cs="Arial"/>
                <w:b/>
                <w:bCs/>
                <w:sz w:val="20"/>
                <w:szCs w:val="20"/>
              </w:rPr>
              <w:t>40.085</w:t>
            </w:r>
          </w:p>
        </w:tc>
      </w:tr>
      <w:tr w:rsidR="00C10C2F" w:rsidRPr="00D17FFA" w:rsidTr="00175626">
        <w:trPr>
          <w:trHeight w:val="315"/>
        </w:trPr>
        <w:tc>
          <w:tcPr>
            <w:tcW w:w="5299" w:type="dxa"/>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b/>
                <w:bCs/>
                <w:sz w:val="20"/>
                <w:szCs w:val="20"/>
              </w:rPr>
            </w:pPr>
          </w:p>
        </w:tc>
        <w:tc>
          <w:tcPr>
            <w:tcW w:w="938" w:type="dxa"/>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b/>
                <w:bCs/>
                <w:sz w:val="20"/>
                <w:szCs w:val="20"/>
              </w:rPr>
            </w:pPr>
          </w:p>
        </w:tc>
      </w:tr>
      <w:tr w:rsidR="00C10C2F" w:rsidRPr="00D17FFA" w:rsidTr="00175626">
        <w:trPr>
          <w:trHeight w:val="315"/>
        </w:trPr>
        <w:tc>
          <w:tcPr>
            <w:tcW w:w="5299" w:type="dxa"/>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sz w:val="20"/>
                <w:szCs w:val="20"/>
              </w:rPr>
            </w:pPr>
            <w:r w:rsidRPr="00D17FFA">
              <w:rPr>
                <w:rFonts w:ascii="Arial" w:hAnsi="Arial" w:cs="Arial"/>
                <w:sz w:val="20"/>
                <w:szCs w:val="20"/>
              </w:rPr>
              <w:t>Suppletoire mutaties:</w:t>
            </w:r>
          </w:p>
        </w:tc>
        <w:tc>
          <w:tcPr>
            <w:tcW w:w="938" w:type="dxa"/>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sz w:val="20"/>
                <w:szCs w:val="20"/>
              </w:rPr>
            </w:pPr>
          </w:p>
        </w:tc>
      </w:tr>
      <w:tr w:rsidR="00C10C2F" w:rsidRPr="00D17FFA" w:rsidTr="00175626">
        <w:trPr>
          <w:trHeight w:val="330"/>
        </w:trPr>
        <w:tc>
          <w:tcPr>
            <w:tcW w:w="5299" w:type="dxa"/>
            <w:tcBorders>
              <w:top w:val="nil"/>
              <w:left w:val="nil"/>
              <w:bottom w:val="nil"/>
              <w:right w:val="nil"/>
            </w:tcBorders>
            <w:shd w:val="clear" w:color="auto" w:fill="auto"/>
            <w:vAlign w:val="bottom"/>
            <w:hideMark/>
          </w:tcPr>
          <w:p w:rsidR="00C10C2F" w:rsidRPr="00D17FFA" w:rsidRDefault="00C10C2F" w:rsidP="00175626">
            <w:pPr>
              <w:rPr>
                <w:rFonts w:ascii="Arial" w:hAnsi="Arial" w:cs="Arial"/>
                <w:sz w:val="20"/>
                <w:szCs w:val="20"/>
              </w:rPr>
            </w:pPr>
            <w:r w:rsidRPr="00D17FFA">
              <w:rPr>
                <w:rFonts w:ascii="Arial" w:hAnsi="Arial" w:cs="Arial"/>
                <w:sz w:val="20"/>
                <w:szCs w:val="20"/>
              </w:rPr>
              <w:t>1. Loon- en prijsbijstelling 2015</w:t>
            </w:r>
          </w:p>
        </w:tc>
        <w:tc>
          <w:tcPr>
            <w:tcW w:w="938"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2</w:t>
            </w:r>
          </w:p>
        </w:tc>
        <w:tc>
          <w:tcPr>
            <w:tcW w:w="1276"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103</w:t>
            </w:r>
          </w:p>
        </w:tc>
      </w:tr>
      <w:tr w:rsidR="00C10C2F" w:rsidRPr="00D17FFA" w:rsidTr="00175626">
        <w:trPr>
          <w:trHeight w:val="330"/>
        </w:trPr>
        <w:tc>
          <w:tcPr>
            <w:tcW w:w="5299" w:type="dxa"/>
            <w:tcBorders>
              <w:top w:val="nil"/>
              <w:left w:val="nil"/>
              <w:bottom w:val="nil"/>
              <w:right w:val="nil"/>
            </w:tcBorders>
            <w:shd w:val="clear" w:color="auto" w:fill="auto"/>
            <w:vAlign w:val="bottom"/>
            <w:hideMark/>
          </w:tcPr>
          <w:p w:rsidR="00C10C2F" w:rsidRPr="00D17FFA" w:rsidRDefault="00C10C2F" w:rsidP="00175626">
            <w:pPr>
              <w:rPr>
                <w:rFonts w:ascii="Arial" w:hAnsi="Arial" w:cs="Arial"/>
                <w:sz w:val="20"/>
                <w:szCs w:val="20"/>
              </w:rPr>
            </w:pPr>
            <w:r w:rsidRPr="00D17FFA">
              <w:rPr>
                <w:rFonts w:ascii="Arial" w:hAnsi="Arial" w:cs="Arial"/>
                <w:sz w:val="20"/>
                <w:szCs w:val="20"/>
              </w:rPr>
              <w:t>2. Loon- en prijsbijstelling 2015</w:t>
            </w:r>
          </w:p>
        </w:tc>
        <w:tc>
          <w:tcPr>
            <w:tcW w:w="938"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3</w:t>
            </w:r>
          </w:p>
        </w:tc>
        <w:tc>
          <w:tcPr>
            <w:tcW w:w="1276"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23</w:t>
            </w:r>
          </w:p>
        </w:tc>
      </w:tr>
      <w:tr w:rsidR="00C10C2F" w:rsidRPr="00D17FFA" w:rsidTr="00175626">
        <w:trPr>
          <w:trHeight w:val="330"/>
        </w:trPr>
        <w:tc>
          <w:tcPr>
            <w:tcW w:w="5299" w:type="dxa"/>
            <w:tcBorders>
              <w:top w:val="nil"/>
              <w:left w:val="nil"/>
              <w:bottom w:val="nil"/>
              <w:right w:val="nil"/>
            </w:tcBorders>
            <w:shd w:val="clear" w:color="auto" w:fill="auto"/>
            <w:vAlign w:val="bottom"/>
            <w:hideMark/>
          </w:tcPr>
          <w:p w:rsidR="00C10C2F" w:rsidRPr="00D17FFA" w:rsidRDefault="00C10C2F" w:rsidP="00175626">
            <w:pPr>
              <w:rPr>
                <w:rFonts w:ascii="Arial" w:hAnsi="Arial" w:cs="Arial"/>
                <w:sz w:val="20"/>
                <w:szCs w:val="20"/>
              </w:rPr>
            </w:pPr>
            <w:r w:rsidRPr="00D17FFA">
              <w:rPr>
                <w:rFonts w:ascii="Arial" w:hAnsi="Arial" w:cs="Arial"/>
                <w:sz w:val="20"/>
                <w:szCs w:val="20"/>
              </w:rPr>
              <w:t>3. Communicatie Koninklijk Huis</w:t>
            </w:r>
          </w:p>
        </w:tc>
        <w:tc>
          <w:tcPr>
            <w:tcW w:w="938"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3</w:t>
            </w:r>
          </w:p>
        </w:tc>
        <w:tc>
          <w:tcPr>
            <w:tcW w:w="1276"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86</w:t>
            </w:r>
          </w:p>
        </w:tc>
      </w:tr>
      <w:tr w:rsidR="00C10C2F" w:rsidRPr="00D17FFA" w:rsidTr="00175626">
        <w:trPr>
          <w:trHeight w:val="315"/>
        </w:trPr>
        <w:tc>
          <w:tcPr>
            <w:tcW w:w="5299" w:type="dxa"/>
            <w:tcBorders>
              <w:top w:val="nil"/>
              <w:left w:val="nil"/>
              <w:bottom w:val="nil"/>
              <w:right w:val="nil"/>
            </w:tcBorders>
            <w:shd w:val="clear" w:color="auto" w:fill="auto"/>
            <w:vAlign w:val="bottom"/>
            <w:hideMark/>
          </w:tcPr>
          <w:p w:rsidR="00C10C2F" w:rsidRPr="00D17FFA" w:rsidRDefault="00C10C2F" w:rsidP="00175626">
            <w:pPr>
              <w:rPr>
                <w:rFonts w:ascii="Arial" w:hAnsi="Arial" w:cs="Arial"/>
                <w:sz w:val="20"/>
                <w:szCs w:val="20"/>
              </w:rPr>
            </w:pPr>
            <w:r w:rsidRPr="00D17FFA">
              <w:rPr>
                <w:rFonts w:ascii="Arial" w:hAnsi="Arial" w:cs="Arial"/>
                <w:sz w:val="20"/>
                <w:szCs w:val="20"/>
              </w:rPr>
              <w:t>4. Eindejaarsmarge 2014 Kabinet van de Koning</w:t>
            </w:r>
          </w:p>
        </w:tc>
        <w:tc>
          <w:tcPr>
            <w:tcW w:w="938"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3</w:t>
            </w:r>
          </w:p>
        </w:tc>
        <w:tc>
          <w:tcPr>
            <w:tcW w:w="1276"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23</w:t>
            </w:r>
          </w:p>
        </w:tc>
      </w:tr>
      <w:tr w:rsidR="00C10C2F" w:rsidRPr="00D17FFA" w:rsidTr="00175626">
        <w:trPr>
          <w:trHeight w:val="315"/>
        </w:trPr>
        <w:tc>
          <w:tcPr>
            <w:tcW w:w="5299" w:type="dxa"/>
            <w:tcBorders>
              <w:top w:val="nil"/>
              <w:left w:val="nil"/>
              <w:bottom w:val="nil"/>
              <w:right w:val="nil"/>
            </w:tcBorders>
            <w:shd w:val="clear" w:color="auto" w:fill="auto"/>
            <w:vAlign w:val="bottom"/>
            <w:hideMark/>
          </w:tcPr>
          <w:p w:rsidR="00C10C2F" w:rsidRPr="00D17FFA" w:rsidRDefault="00C10C2F" w:rsidP="00175626">
            <w:pPr>
              <w:rPr>
                <w:rFonts w:ascii="Arial" w:hAnsi="Arial" w:cs="Arial"/>
                <w:sz w:val="20"/>
                <w:szCs w:val="20"/>
              </w:rPr>
            </w:pPr>
            <w:r w:rsidRPr="00D17FFA">
              <w:rPr>
                <w:rFonts w:ascii="Arial" w:hAnsi="Arial" w:cs="Arial"/>
                <w:sz w:val="20"/>
                <w:szCs w:val="20"/>
              </w:rPr>
              <w:t xml:space="preserve">5. Overboeking Kabinet van de Koning </w:t>
            </w:r>
          </w:p>
        </w:tc>
        <w:tc>
          <w:tcPr>
            <w:tcW w:w="938"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3</w:t>
            </w:r>
          </w:p>
        </w:tc>
        <w:tc>
          <w:tcPr>
            <w:tcW w:w="1276" w:type="dxa"/>
            <w:tcBorders>
              <w:top w:val="nil"/>
              <w:left w:val="nil"/>
              <w:bottom w:val="nil"/>
              <w:right w:val="nil"/>
            </w:tcBorders>
            <w:shd w:val="clear" w:color="auto" w:fill="auto"/>
            <w:noWrap/>
            <w:vAlign w:val="bottom"/>
            <w:hideMark/>
          </w:tcPr>
          <w:p w:rsidR="00C10C2F" w:rsidRPr="00D17FFA" w:rsidRDefault="00C10C2F" w:rsidP="00175626">
            <w:pPr>
              <w:jc w:val="right"/>
              <w:rPr>
                <w:rFonts w:ascii="Arial" w:hAnsi="Arial" w:cs="Arial"/>
                <w:sz w:val="20"/>
                <w:szCs w:val="20"/>
              </w:rPr>
            </w:pPr>
            <w:r w:rsidRPr="00D17FFA">
              <w:rPr>
                <w:rFonts w:ascii="Arial" w:hAnsi="Arial" w:cs="Arial"/>
                <w:sz w:val="20"/>
                <w:szCs w:val="20"/>
              </w:rPr>
              <w:t>-2</w:t>
            </w:r>
          </w:p>
        </w:tc>
      </w:tr>
      <w:tr w:rsidR="00C10C2F" w:rsidRPr="00D17FFA" w:rsidTr="00175626">
        <w:trPr>
          <w:trHeight w:val="315"/>
        </w:trPr>
        <w:tc>
          <w:tcPr>
            <w:tcW w:w="5299" w:type="dxa"/>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sz w:val="20"/>
                <w:szCs w:val="20"/>
              </w:rPr>
            </w:pPr>
          </w:p>
        </w:tc>
        <w:tc>
          <w:tcPr>
            <w:tcW w:w="938" w:type="dxa"/>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10C2F" w:rsidRPr="00D17FFA" w:rsidRDefault="00C10C2F" w:rsidP="00175626">
            <w:pPr>
              <w:rPr>
                <w:rFonts w:ascii="Arial" w:hAnsi="Arial" w:cs="Arial"/>
                <w:sz w:val="20"/>
                <w:szCs w:val="20"/>
              </w:rPr>
            </w:pPr>
          </w:p>
        </w:tc>
      </w:tr>
      <w:tr w:rsidR="00C10C2F" w:rsidRPr="00D17FFA" w:rsidTr="00175626">
        <w:trPr>
          <w:trHeight w:val="330"/>
        </w:trPr>
        <w:tc>
          <w:tcPr>
            <w:tcW w:w="5299" w:type="dxa"/>
            <w:tcBorders>
              <w:top w:val="nil"/>
              <w:left w:val="nil"/>
              <w:bottom w:val="single" w:sz="8" w:space="0" w:color="auto"/>
              <w:right w:val="nil"/>
            </w:tcBorders>
            <w:shd w:val="clear" w:color="auto" w:fill="auto"/>
            <w:noWrap/>
            <w:vAlign w:val="bottom"/>
            <w:hideMark/>
          </w:tcPr>
          <w:p w:rsidR="00C10C2F" w:rsidRPr="00D17FFA" w:rsidRDefault="00C10C2F" w:rsidP="00175626">
            <w:pPr>
              <w:rPr>
                <w:rFonts w:ascii="Arial" w:hAnsi="Arial" w:cs="Arial"/>
                <w:b/>
                <w:bCs/>
                <w:sz w:val="20"/>
                <w:szCs w:val="20"/>
              </w:rPr>
            </w:pPr>
            <w:r w:rsidRPr="00D17FFA">
              <w:rPr>
                <w:rFonts w:ascii="Arial" w:hAnsi="Arial" w:cs="Arial"/>
                <w:b/>
                <w:bCs/>
                <w:sz w:val="20"/>
                <w:szCs w:val="20"/>
              </w:rPr>
              <w:t>Stand 1e suppletoire begroting 2015</w:t>
            </w:r>
          </w:p>
        </w:tc>
        <w:tc>
          <w:tcPr>
            <w:tcW w:w="938" w:type="dxa"/>
            <w:tcBorders>
              <w:top w:val="nil"/>
              <w:left w:val="nil"/>
              <w:bottom w:val="single" w:sz="8" w:space="0" w:color="auto"/>
              <w:right w:val="nil"/>
            </w:tcBorders>
            <w:shd w:val="clear" w:color="auto" w:fill="auto"/>
            <w:noWrap/>
            <w:vAlign w:val="bottom"/>
            <w:hideMark/>
          </w:tcPr>
          <w:p w:rsidR="00C10C2F" w:rsidRPr="00D17FFA" w:rsidRDefault="00C10C2F" w:rsidP="00175626">
            <w:pPr>
              <w:rPr>
                <w:rFonts w:ascii="Arial" w:hAnsi="Arial" w:cs="Arial"/>
                <w:sz w:val="20"/>
                <w:szCs w:val="20"/>
              </w:rPr>
            </w:pPr>
            <w:r w:rsidRPr="00D17FFA">
              <w:rPr>
                <w:rFonts w:ascii="Arial" w:hAnsi="Arial" w:cs="Arial"/>
                <w:sz w:val="20"/>
                <w:szCs w:val="20"/>
              </w:rPr>
              <w:t> </w:t>
            </w:r>
          </w:p>
        </w:tc>
        <w:tc>
          <w:tcPr>
            <w:tcW w:w="1276" w:type="dxa"/>
            <w:tcBorders>
              <w:top w:val="nil"/>
              <w:left w:val="nil"/>
              <w:bottom w:val="single" w:sz="8" w:space="0" w:color="auto"/>
              <w:right w:val="nil"/>
            </w:tcBorders>
            <w:shd w:val="clear" w:color="auto" w:fill="auto"/>
            <w:noWrap/>
            <w:vAlign w:val="bottom"/>
            <w:hideMark/>
          </w:tcPr>
          <w:p w:rsidR="00C10C2F" w:rsidRPr="00D17FFA" w:rsidRDefault="00C10C2F" w:rsidP="00175626">
            <w:pPr>
              <w:jc w:val="right"/>
              <w:rPr>
                <w:rFonts w:ascii="Arial" w:hAnsi="Arial" w:cs="Arial"/>
                <w:b/>
                <w:bCs/>
                <w:sz w:val="20"/>
                <w:szCs w:val="20"/>
              </w:rPr>
            </w:pPr>
            <w:r w:rsidRPr="00D17FFA">
              <w:rPr>
                <w:rFonts w:ascii="Arial" w:hAnsi="Arial" w:cs="Arial"/>
                <w:b/>
                <w:bCs/>
                <w:sz w:val="20"/>
                <w:szCs w:val="20"/>
              </w:rPr>
              <w:t>40.318</w:t>
            </w:r>
          </w:p>
        </w:tc>
      </w:tr>
    </w:tbl>
    <w:p w:rsidR="00C10C2F" w:rsidRDefault="00C10C2F" w:rsidP="00C10C2F">
      <w:pPr>
        <w:spacing w:line="360" w:lineRule="auto"/>
        <w:rPr>
          <w:rFonts w:ascii="Arial" w:hAnsi="Arial" w:cs="Arial"/>
          <w:b/>
          <w:sz w:val="20"/>
          <w:szCs w:val="20"/>
          <w:lang w:val="nl"/>
        </w:rPr>
      </w:pPr>
    </w:p>
    <w:p w:rsidR="00C10C2F" w:rsidRPr="000A06CC" w:rsidRDefault="00C10C2F" w:rsidP="00C10C2F">
      <w:pPr>
        <w:spacing w:line="360" w:lineRule="auto"/>
        <w:rPr>
          <w:rFonts w:ascii="Arial" w:hAnsi="Arial" w:cs="Arial"/>
          <w:sz w:val="20"/>
          <w:szCs w:val="20"/>
          <w:u w:val="single"/>
          <w:lang w:val="nl"/>
        </w:rPr>
      </w:pPr>
      <w:r w:rsidRPr="000A06CC">
        <w:rPr>
          <w:rFonts w:ascii="Arial" w:hAnsi="Arial" w:cs="Arial"/>
          <w:sz w:val="20"/>
          <w:szCs w:val="20"/>
          <w:u w:val="single"/>
          <w:lang w:val="nl"/>
        </w:rPr>
        <w:t>Toelichting</w:t>
      </w:r>
    </w:p>
    <w:p w:rsidR="00C10C2F" w:rsidRPr="00AC404F" w:rsidRDefault="00C10C2F" w:rsidP="00C10C2F">
      <w:pPr>
        <w:spacing w:line="360" w:lineRule="auto"/>
        <w:rPr>
          <w:rFonts w:ascii="Arial" w:hAnsi="Arial" w:cs="Arial"/>
          <w:sz w:val="20"/>
          <w:szCs w:val="20"/>
          <w:lang w:val="nl"/>
        </w:rPr>
      </w:pPr>
      <w:r w:rsidRPr="000A06CC">
        <w:rPr>
          <w:rFonts w:ascii="Arial" w:hAnsi="Arial" w:cs="Arial"/>
          <w:sz w:val="20"/>
          <w:szCs w:val="20"/>
          <w:lang w:val="nl"/>
        </w:rPr>
        <w:t xml:space="preserve">Ad 1 en </w:t>
      </w:r>
      <w:r>
        <w:rPr>
          <w:rFonts w:ascii="Arial" w:hAnsi="Arial" w:cs="Arial"/>
          <w:sz w:val="20"/>
          <w:szCs w:val="20"/>
          <w:lang w:val="nl"/>
        </w:rPr>
        <w:t>2</w:t>
      </w:r>
      <w:r w:rsidRPr="000A06CC">
        <w:rPr>
          <w:rFonts w:ascii="Arial" w:hAnsi="Arial" w:cs="Arial"/>
          <w:sz w:val="20"/>
          <w:szCs w:val="20"/>
          <w:lang w:val="nl"/>
        </w:rPr>
        <w:t xml:space="preserve">. Vanuit de aanvullende posten arbeidsvoorwaarden en prijsbijstelling is budget overgeheveld als tegemoetkoming voor de extra uitgaven als gevolg van de loonkostenontwikkeling </w:t>
      </w:r>
      <w:r w:rsidRPr="00AC404F">
        <w:rPr>
          <w:rFonts w:ascii="Arial" w:hAnsi="Arial" w:cs="Arial"/>
          <w:sz w:val="20"/>
          <w:szCs w:val="20"/>
          <w:lang w:val="nl"/>
        </w:rPr>
        <w:t>en prijsstijgingen.</w:t>
      </w:r>
    </w:p>
    <w:p w:rsidR="00C10C2F" w:rsidRDefault="00C10C2F" w:rsidP="00C10C2F">
      <w:pPr>
        <w:spacing w:line="360" w:lineRule="auto"/>
        <w:rPr>
          <w:rFonts w:ascii="Arial" w:hAnsi="Arial" w:cs="Arial"/>
          <w:sz w:val="20"/>
          <w:szCs w:val="20"/>
          <w:lang w:val="nl"/>
        </w:rPr>
      </w:pPr>
      <w:r w:rsidRPr="00636ED7">
        <w:rPr>
          <w:rFonts w:ascii="Arial" w:hAnsi="Arial" w:cs="Arial"/>
          <w:sz w:val="20"/>
          <w:szCs w:val="20"/>
          <w:lang w:val="nl"/>
        </w:rPr>
        <w:t xml:space="preserve">Ad </w:t>
      </w:r>
      <w:r>
        <w:rPr>
          <w:rFonts w:ascii="Arial" w:hAnsi="Arial" w:cs="Arial"/>
          <w:sz w:val="20"/>
          <w:szCs w:val="20"/>
          <w:lang w:val="nl"/>
        </w:rPr>
        <w:t>3</w:t>
      </w:r>
      <w:r w:rsidRPr="00636ED7">
        <w:rPr>
          <w:rFonts w:ascii="Arial" w:hAnsi="Arial" w:cs="Arial"/>
          <w:sz w:val="20"/>
          <w:szCs w:val="20"/>
          <w:lang w:val="nl"/>
        </w:rPr>
        <w:t>. De Rijksvoorlichtingsdienst (RVD) verzorgt de communicatie over de leden van het Koninklijk Huis en de mediabegeleiding bij publieke optredens van de leden in binnen- en buite</w:t>
      </w:r>
      <w:r w:rsidRPr="00AC404F">
        <w:rPr>
          <w:rFonts w:ascii="Arial" w:hAnsi="Arial" w:cs="Arial"/>
          <w:sz w:val="20"/>
          <w:szCs w:val="20"/>
          <w:lang w:val="nl"/>
        </w:rPr>
        <w:t xml:space="preserve">nland. De mutatie houdt verband met een intensivering van de personele inzet als </w:t>
      </w:r>
      <w:r w:rsidRPr="00095BAF">
        <w:rPr>
          <w:rFonts w:ascii="Arial" w:hAnsi="Arial" w:cs="Arial"/>
          <w:sz w:val="20"/>
          <w:szCs w:val="20"/>
          <w:lang w:val="nl"/>
        </w:rPr>
        <w:t>gevolg van het toegenomen aantal</w:t>
      </w:r>
      <w:r w:rsidRPr="00AC404F">
        <w:rPr>
          <w:rFonts w:ascii="Arial" w:hAnsi="Arial" w:cs="Arial"/>
          <w:sz w:val="20"/>
          <w:szCs w:val="20"/>
          <w:lang w:val="nl"/>
        </w:rPr>
        <w:t xml:space="preserve"> publieke optredens van de Koning en Koningin in binnen- en buitenland en de intensivering van het gebruik van sociale media voor de communicatie over het Koninklijk Huis (zoals Twitter en Facebook). De personele formatie van de RVD wordt niet uitgebreid als gevolg van deze actie; wel wordt binnen de RVD personele inzet verschoven naar de communicatie over het Koninklijk Huis.</w:t>
      </w:r>
      <w:r>
        <w:rPr>
          <w:rFonts w:ascii="Arial" w:hAnsi="Arial" w:cs="Arial"/>
          <w:sz w:val="20"/>
          <w:szCs w:val="20"/>
          <w:lang w:val="nl"/>
        </w:rPr>
        <w:t xml:space="preserve"> De </w:t>
      </w:r>
      <w:r w:rsidRPr="00636ED7">
        <w:rPr>
          <w:rFonts w:ascii="Arial" w:hAnsi="Arial" w:cs="Arial"/>
          <w:sz w:val="20"/>
          <w:szCs w:val="20"/>
          <w:lang w:val="nl"/>
        </w:rPr>
        <w:t xml:space="preserve">mutatie is </w:t>
      </w:r>
      <w:r>
        <w:rPr>
          <w:rFonts w:ascii="Arial" w:hAnsi="Arial" w:cs="Arial"/>
          <w:sz w:val="20"/>
          <w:szCs w:val="20"/>
          <w:lang w:val="nl"/>
        </w:rPr>
        <w:t xml:space="preserve">daarmee </w:t>
      </w:r>
      <w:r w:rsidRPr="00636ED7">
        <w:rPr>
          <w:rFonts w:ascii="Arial" w:hAnsi="Arial" w:cs="Arial"/>
          <w:sz w:val="20"/>
          <w:szCs w:val="20"/>
          <w:lang w:val="nl"/>
        </w:rPr>
        <w:t>intern gedekt op de AZ-begroting en leidt daar tot hogere ontvangsten, als gevolg van de doorbelasting naar de begroting van de Koning. De Rijksbegroting als geheel gaat per saldo dus niet omhoog.</w:t>
      </w:r>
      <w:r w:rsidRPr="004E005B">
        <w:rPr>
          <w:rFonts w:ascii="Arial" w:hAnsi="Arial" w:cs="Arial"/>
          <w:sz w:val="20"/>
          <w:szCs w:val="20"/>
          <w:lang w:val="nl"/>
        </w:rPr>
        <w:t xml:space="preserve">  </w:t>
      </w:r>
      <w:r w:rsidRPr="004E005B">
        <w:rPr>
          <w:rFonts w:ascii="Arial" w:hAnsi="Arial" w:cs="Arial"/>
          <w:i/>
          <w:sz w:val="20"/>
          <w:szCs w:val="20"/>
          <w:lang w:val="nl"/>
        </w:rPr>
        <w:t xml:space="preserve"> </w:t>
      </w:r>
      <w:r>
        <w:rPr>
          <w:rFonts w:ascii="Arial" w:hAnsi="Arial" w:cs="Arial"/>
          <w:sz w:val="20"/>
          <w:szCs w:val="20"/>
          <w:lang w:val="nl"/>
        </w:rPr>
        <w:t xml:space="preserve"> </w:t>
      </w:r>
    </w:p>
    <w:p w:rsidR="00C10C2F" w:rsidRDefault="00C10C2F" w:rsidP="00C10C2F">
      <w:pPr>
        <w:spacing w:line="360" w:lineRule="auto"/>
        <w:rPr>
          <w:rFonts w:ascii="Arial" w:hAnsi="Arial" w:cs="Arial"/>
          <w:sz w:val="20"/>
          <w:szCs w:val="20"/>
        </w:rPr>
      </w:pPr>
      <w:r>
        <w:rPr>
          <w:rFonts w:ascii="Arial" w:hAnsi="Arial" w:cs="Arial"/>
          <w:sz w:val="20"/>
          <w:szCs w:val="20"/>
        </w:rPr>
        <w:t>Ad 4 en 5. Dit betreft de doorbelasting van uitgavenmutaties die op de begrotingsstaat van het Kabinet van de Koning op begroting III hebben plaatsgevonden. Deze mutaties worden als uitgaaf en ontvangst van die begroting toegelicht.</w:t>
      </w:r>
    </w:p>
    <w:p w:rsidR="00C10C2F" w:rsidRDefault="00C10C2F" w:rsidP="00C10C2F">
      <w:pPr>
        <w:spacing w:line="360" w:lineRule="auto"/>
        <w:rPr>
          <w:rFonts w:ascii="Arial" w:hAnsi="Arial" w:cs="Arial"/>
          <w:sz w:val="20"/>
          <w:szCs w:val="20"/>
          <w:lang w:val="nl"/>
        </w:rPr>
      </w:pPr>
    </w:p>
    <w:p w:rsidR="00C10C2F" w:rsidRDefault="00C10C2F" w:rsidP="00C10C2F">
      <w:pPr>
        <w:spacing w:line="360" w:lineRule="auto"/>
        <w:rPr>
          <w:rFonts w:ascii="Arial" w:hAnsi="Arial" w:cs="Arial"/>
          <w:sz w:val="20"/>
          <w:szCs w:val="20"/>
          <w:lang w:val="nl"/>
        </w:rPr>
      </w:pPr>
    </w:p>
    <w:tbl>
      <w:tblPr>
        <w:tblW w:w="7812" w:type="dxa"/>
        <w:tblInd w:w="55" w:type="dxa"/>
        <w:tblCellMar>
          <w:left w:w="70" w:type="dxa"/>
          <w:right w:w="70" w:type="dxa"/>
        </w:tblCellMar>
        <w:tblLook w:val="04A0" w:firstRow="1" w:lastRow="0" w:firstColumn="1" w:lastColumn="0" w:noHBand="0" w:noVBand="1"/>
      </w:tblPr>
      <w:tblGrid>
        <w:gridCol w:w="5260"/>
        <w:gridCol w:w="992"/>
        <w:gridCol w:w="1560"/>
      </w:tblGrid>
      <w:tr w:rsidR="00C10C2F" w:rsidRPr="00441FC1" w:rsidTr="00175626">
        <w:trPr>
          <w:trHeight w:val="315"/>
        </w:trPr>
        <w:tc>
          <w:tcPr>
            <w:tcW w:w="7812" w:type="dxa"/>
            <w:gridSpan w:val="3"/>
            <w:tcBorders>
              <w:top w:val="nil"/>
              <w:left w:val="nil"/>
              <w:bottom w:val="nil"/>
              <w:right w:val="nil"/>
            </w:tcBorders>
            <w:shd w:val="clear" w:color="auto" w:fill="auto"/>
            <w:noWrap/>
            <w:vAlign w:val="bottom"/>
            <w:hideMark/>
          </w:tcPr>
          <w:p w:rsidR="00C10C2F" w:rsidRPr="00441FC1" w:rsidRDefault="00C10C2F" w:rsidP="00175626">
            <w:pPr>
              <w:rPr>
                <w:rFonts w:ascii="Arial" w:hAnsi="Arial" w:cs="Arial"/>
                <w:b/>
                <w:bCs/>
                <w:sz w:val="20"/>
                <w:szCs w:val="20"/>
              </w:rPr>
            </w:pPr>
            <w:r w:rsidRPr="00441FC1">
              <w:rPr>
                <w:rFonts w:ascii="Arial" w:hAnsi="Arial" w:cs="Arial"/>
                <w:b/>
                <w:bCs/>
                <w:sz w:val="20"/>
                <w:szCs w:val="20"/>
              </w:rPr>
              <w:lastRenderedPageBreak/>
              <w:t xml:space="preserve">Overzicht suppletoire ontvangstenmutaties  2015 (Eerste suppletoire begroting) </w:t>
            </w:r>
          </w:p>
        </w:tc>
      </w:tr>
      <w:tr w:rsidR="00C10C2F" w:rsidRPr="00441FC1" w:rsidTr="00175626">
        <w:trPr>
          <w:trHeight w:val="330"/>
        </w:trPr>
        <w:tc>
          <w:tcPr>
            <w:tcW w:w="5260" w:type="dxa"/>
            <w:tcBorders>
              <w:top w:val="nil"/>
              <w:left w:val="nil"/>
              <w:bottom w:val="nil"/>
              <w:right w:val="nil"/>
            </w:tcBorders>
            <w:shd w:val="clear" w:color="auto" w:fill="auto"/>
            <w:noWrap/>
            <w:vAlign w:val="bottom"/>
            <w:hideMark/>
          </w:tcPr>
          <w:p w:rsidR="00C10C2F" w:rsidRPr="00441FC1" w:rsidRDefault="00C10C2F" w:rsidP="00175626">
            <w:pPr>
              <w:rPr>
                <w:rFonts w:ascii="Arial" w:hAnsi="Arial" w:cs="Arial"/>
                <w:b/>
                <w:bCs/>
                <w:sz w:val="20"/>
                <w:szCs w:val="20"/>
              </w:rPr>
            </w:pPr>
            <w:r w:rsidRPr="00441FC1">
              <w:rPr>
                <w:rFonts w:ascii="Arial" w:hAnsi="Arial" w:cs="Arial"/>
                <w:b/>
                <w:bCs/>
                <w:sz w:val="20"/>
                <w:szCs w:val="20"/>
              </w:rPr>
              <w:t>(bedragen x € 1.000)</w:t>
            </w:r>
          </w:p>
        </w:tc>
        <w:tc>
          <w:tcPr>
            <w:tcW w:w="992" w:type="dxa"/>
            <w:tcBorders>
              <w:top w:val="nil"/>
              <w:left w:val="nil"/>
              <w:bottom w:val="nil"/>
              <w:right w:val="nil"/>
            </w:tcBorders>
            <w:shd w:val="clear" w:color="auto" w:fill="auto"/>
            <w:noWrap/>
            <w:vAlign w:val="bottom"/>
            <w:hideMark/>
          </w:tcPr>
          <w:p w:rsidR="00C10C2F" w:rsidRPr="00441FC1" w:rsidRDefault="00C10C2F" w:rsidP="00175626">
            <w:pPr>
              <w:rPr>
                <w:rFonts w:ascii="Garamond" w:hAnsi="Garamond"/>
              </w:rPr>
            </w:pPr>
          </w:p>
        </w:tc>
        <w:tc>
          <w:tcPr>
            <w:tcW w:w="1560" w:type="dxa"/>
            <w:tcBorders>
              <w:top w:val="nil"/>
              <w:left w:val="nil"/>
              <w:bottom w:val="nil"/>
              <w:right w:val="nil"/>
            </w:tcBorders>
            <w:shd w:val="clear" w:color="auto" w:fill="auto"/>
            <w:noWrap/>
            <w:vAlign w:val="bottom"/>
            <w:hideMark/>
          </w:tcPr>
          <w:p w:rsidR="00C10C2F" w:rsidRPr="00441FC1" w:rsidRDefault="00C10C2F" w:rsidP="00175626">
            <w:pPr>
              <w:rPr>
                <w:rFonts w:ascii="Garamond" w:hAnsi="Garamond"/>
              </w:rPr>
            </w:pPr>
          </w:p>
        </w:tc>
      </w:tr>
      <w:tr w:rsidR="00C10C2F" w:rsidRPr="00441FC1" w:rsidTr="00175626">
        <w:trPr>
          <w:trHeight w:val="330"/>
        </w:trPr>
        <w:tc>
          <w:tcPr>
            <w:tcW w:w="5260" w:type="dxa"/>
            <w:tcBorders>
              <w:top w:val="single" w:sz="8" w:space="0" w:color="auto"/>
              <w:left w:val="nil"/>
              <w:bottom w:val="single" w:sz="8" w:space="0" w:color="auto"/>
              <w:right w:val="nil"/>
            </w:tcBorders>
            <w:shd w:val="clear" w:color="auto" w:fill="auto"/>
            <w:noWrap/>
            <w:vAlign w:val="bottom"/>
            <w:hideMark/>
          </w:tcPr>
          <w:p w:rsidR="00C10C2F" w:rsidRPr="00441FC1" w:rsidRDefault="00C10C2F" w:rsidP="00175626">
            <w:pPr>
              <w:rPr>
                <w:rFonts w:ascii="Arial" w:hAnsi="Arial" w:cs="Arial"/>
                <w:sz w:val="20"/>
                <w:szCs w:val="20"/>
              </w:rPr>
            </w:pPr>
            <w:r w:rsidRPr="00441FC1">
              <w:rPr>
                <w:rFonts w:ascii="Arial" w:hAnsi="Arial" w:cs="Arial"/>
                <w:sz w:val="20"/>
                <w:szCs w:val="20"/>
              </w:rPr>
              <w:t> </w:t>
            </w:r>
          </w:p>
        </w:tc>
        <w:tc>
          <w:tcPr>
            <w:tcW w:w="992" w:type="dxa"/>
            <w:tcBorders>
              <w:top w:val="single" w:sz="8" w:space="0" w:color="auto"/>
              <w:left w:val="nil"/>
              <w:bottom w:val="single" w:sz="8" w:space="0" w:color="auto"/>
              <w:right w:val="nil"/>
            </w:tcBorders>
            <w:shd w:val="clear" w:color="auto" w:fill="auto"/>
            <w:noWrap/>
            <w:vAlign w:val="bottom"/>
            <w:hideMark/>
          </w:tcPr>
          <w:p w:rsidR="00C10C2F" w:rsidRPr="00441FC1" w:rsidRDefault="00C10C2F" w:rsidP="00175626">
            <w:pPr>
              <w:jc w:val="right"/>
              <w:rPr>
                <w:rFonts w:ascii="Arial" w:hAnsi="Arial" w:cs="Arial"/>
                <w:sz w:val="20"/>
                <w:szCs w:val="20"/>
              </w:rPr>
            </w:pPr>
            <w:r w:rsidRPr="00441FC1">
              <w:rPr>
                <w:rFonts w:ascii="Arial" w:hAnsi="Arial" w:cs="Arial"/>
                <w:sz w:val="20"/>
                <w:szCs w:val="20"/>
              </w:rPr>
              <w:t>Art. nr.</w:t>
            </w:r>
          </w:p>
        </w:tc>
        <w:tc>
          <w:tcPr>
            <w:tcW w:w="1560" w:type="dxa"/>
            <w:tcBorders>
              <w:top w:val="single" w:sz="8" w:space="0" w:color="auto"/>
              <w:left w:val="nil"/>
              <w:bottom w:val="single" w:sz="8" w:space="0" w:color="auto"/>
              <w:right w:val="nil"/>
            </w:tcBorders>
            <w:shd w:val="clear" w:color="auto" w:fill="auto"/>
            <w:noWrap/>
            <w:vAlign w:val="bottom"/>
            <w:hideMark/>
          </w:tcPr>
          <w:p w:rsidR="00C10C2F" w:rsidRPr="00441FC1" w:rsidRDefault="00C10C2F" w:rsidP="00175626">
            <w:pPr>
              <w:jc w:val="right"/>
              <w:rPr>
                <w:rFonts w:ascii="Arial" w:hAnsi="Arial" w:cs="Arial"/>
                <w:sz w:val="20"/>
                <w:szCs w:val="20"/>
              </w:rPr>
            </w:pPr>
            <w:r w:rsidRPr="00441FC1">
              <w:rPr>
                <w:rFonts w:ascii="Arial" w:hAnsi="Arial" w:cs="Arial"/>
                <w:sz w:val="20"/>
                <w:szCs w:val="20"/>
              </w:rPr>
              <w:t>Ontvangsten</w:t>
            </w:r>
          </w:p>
        </w:tc>
      </w:tr>
      <w:tr w:rsidR="00C10C2F" w:rsidRPr="00441FC1" w:rsidTr="00175626">
        <w:trPr>
          <w:trHeight w:val="315"/>
        </w:trPr>
        <w:tc>
          <w:tcPr>
            <w:tcW w:w="5260" w:type="dxa"/>
            <w:tcBorders>
              <w:top w:val="nil"/>
              <w:left w:val="nil"/>
              <w:bottom w:val="nil"/>
              <w:right w:val="nil"/>
            </w:tcBorders>
            <w:shd w:val="clear" w:color="auto" w:fill="auto"/>
            <w:noWrap/>
            <w:vAlign w:val="bottom"/>
            <w:hideMark/>
          </w:tcPr>
          <w:p w:rsidR="00C10C2F" w:rsidRPr="00441FC1" w:rsidRDefault="00C10C2F" w:rsidP="00175626">
            <w:pPr>
              <w:rPr>
                <w:rFonts w:ascii="Arial" w:hAnsi="Arial" w:cs="Arial"/>
                <w:b/>
                <w:bCs/>
                <w:sz w:val="20"/>
                <w:szCs w:val="20"/>
              </w:rPr>
            </w:pPr>
            <w:r w:rsidRPr="00441FC1">
              <w:rPr>
                <w:rFonts w:ascii="Arial" w:hAnsi="Arial" w:cs="Arial"/>
                <w:b/>
                <w:bCs/>
                <w:sz w:val="20"/>
                <w:szCs w:val="20"/>
              </w:rPr>
              <w:t>Stand oorspronkelijk vastgestelde begroting 2015</w:t>
            </w:r>
          </w:p>
        </w:tc>
        <w:tc>
          <w:tcPr>
            <w:tcW w:w="992" w:type="dxa"/>
            <w:tcBorders>
              <w:top w:val="nil"/>
              <w:left w:val="nil"/>
              <w:bottom w:val="nil"/>
              <w:right w:val="nil"/>
            </w:tcBorders>
            <w:shd w:val="clear" w:color="auto" w:fill="auto"/>
            <w:noWrap/>
            <w:vAlign w:val="bottom"/>
            <w:hideMark/>
          </w:tcPr>
          <w:p w:rsidR="00C10C2F" w:rsidRPr="00441FC1" w:rsidRDefault="00C10C2F" w:rsidP="00175626">
            <w:pPr>
              <w:jc w:val="right"/>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C10C2F" w:rsidRPr="00441FC1" w:rsidRDefault="00C10C2F" w:rsidP="00175626">
            <w:pPr>
              <w:jc w:val="right"/>
              <w:rPr>
                <w:rFonts w:ascii="Arial" w:hAnsi="Arial" w:cs="Arial"/>
                <w:b/>
                <w:bCs/>
                <w:sz w:val="20"/>
                <w:szCs w:val="20"/>
              </w:rPr>
            </w:pPr>
            <w:r w:rsidRPr="00441FC1">
              <w:rPr>
                <w:rFonts w:ascii="Arial" w:hAnsi="Arial" w:cs="Arial"/>
                <w:b/>
                <w:bCs/>
                <w:sz w:val="20"/>
                <w:szCs w:val="20"/>
              </w:rPr>
              <w:t>nihil</w:t>
            </w:r>
          </w:p>
        </w:tc>
      </w:tr>
      <w:tr w:rsidR="00C10C2F" w:rsidRPr="00441FC1" w:rsidTr="00175626">
        <w:trPr>
          <w:trHeight w:val="315"/>
        </w:trPr>
        <w:tc>
          <w:tcPr>
            <w:tcW w:w="5260" w:type="dxa"/>
            <w:tcBorders>
              <w:top w:val="nil"/>
              <w:left w:val="nil"/>
              <w:bottom w:val="nil"/>
              <w:right w:val="nil"/>
            </w:tcBorders>
            <w:shd w:val="clear" w:color="auto" w:fill="auto"/>
            <w:noWrap/>
            <w:vAlign w:val="bottom"/>
            <w:hideMark/>
          </w:tcPr>
          <w:p w:rsidR="00C10C2F" w:rsidRPr="00441FC1" w:rsidRDefault="00C10C2F" w:rsidP="00175626">
            <w:pPr>
              <w:rPr>
                <w:rFonts w:ascii="Arial" w:hAnsi="Arial" w:cs="Arial"/>
                <w:b/>
                <w:bCs/>
                <w:sz w:val="20"/>
                <w:szCs w:val="20"/>
              </w:rPr>
            </w:pPr>
          </w:p>
        </w:tc>
        <w:tc>
          <w:tcPr>
            <w:tcW w:w="992" w:type="dxa"/>
            <w:tcBorders>
              <w:top w:val="nil"/>
              <w:left w:val="nil"/>
              <w:bottom w:val="nil"/>
              <w:right w:val="nil"/>
            </w:tcBorders>
            <w:shd w:val="clear" w:color="auto" w:fill="auto"/>
            <w:noWrap/>
            <w:vAlign w:val="bottom"/>
            <w:hideMark/>
          </w:tcPr>
          <w:p w:rsidR="00C10C2F" w:rsidRPr="00441FC1" w:rsidRDefault="00C10C2F" w:rsidP="00175626">
            <w:pPr>
              <w:jc w:val="right"/>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C10C2F" w:rsidRPr="00441FC1" w:rsidRDefault="00C10C2F" w:rsidP="00175626">
            <w:pPr>
              <w:jc w:val="right"/>
              <w:rPr>
                <w:rFonts w:ascii="Arial" w:hAnsi="Arial" w:cs="Arial"/>
                <w:b/>
                <w:bCs/>
                <w:sz w:val="20"/>
                <w:szCs w:val="20"/>
              </w:rPr>
            </w:pPr>
          </w:p>
        </w:tc>
      </w:tr>
      <w:tr w:rsidR="00C10C2F" w:rsidRPr="00441FC1" w:rsidTr="00175626">
        <w:trPr>
          <w:trHeight w:val="315"/>
        </w:trPr>
        <w:tc>
          <w:tcPr>
            <w:tcW w:w="5260" w:type="dxa"/>
            <w:tcBorders>
              <w:top w:val="nil"/>
              <w:left w:val="nil"/>
              <w:bottom w:val="nil"/>
              <w:right w:val="nil"/>
            </w:tcBorders>
            <w:shd w:val="clear" w:color="auto" w:fill="auto"/>
            <w:noWrap/>
            <w:vAlign w:val="bottom"/>
            <w:hideMark/>
          </w:tcPr>
          <w:p w:rsidR="00C10C2F" w:rsidRPr="00441FC1" w:rsidRDefault="00C10C2F" w:rsidP="00175626">
            <w:pPr>
              <w:rPr>
                <w:rFonts w:ascii="Arial" w:hAnsi="Arial" w:cs="Arial"/>
                <w:sz w:val="20"/>
                <w:szCs w:val="20"/>
              </w:rPr>
            </w:pPr>
            <w:r w:rsidRPr="00441FC1">
              <w:rPr>
                <w:rFonts w:ascii="Arial" w:hAnsi="Arial" w:cs="Arial"/>
                <w:sz w:val="20"/>
                <w:szCs w:val="20"/>
              </w:rPr>
              <w:t>Suppletoire mutaties:</w:t>
            </w:r>
          </w:p>
        </w:tc>
        <w:tc>
          <w:tcPr>
            <w:tcW w:w="992" w:type="dxa"/>
            <w:tcBorders>
              <w:top w:val="nil"/>
              <w:left w:val="nil"/>
              <w:bottom w:val="nil"/>
              <w:right w:val="nil"/>
            </w:tcBorders>
            <w:shd w:val="clear" w:color="auto" w:fill="auto"/>
            <w:noWrap/>
            <w:vAlign w:val="bottom"/>
            <w:hideMark/>
          </w:tcPr>
          <w:p w:rsidR="00C10C2F" w:rsidRPr="00441FC1" w:rsidRDefault="00C10C2F" w:rsidP="00175626">
            <w:pPr>
              <w:jc w:val="right"/>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C10C2F" w:rsidRPr="00441FC1" w:rsidRDefault="00C10C2F" w:rsidP="00175626">
            <w:pPr>
              <w:jc w:val="right"/>
              <w:rPr>
                <w:rFonts w:ascii="Arial" w:hAnsi="Arial" w:cs="Arial"/>
                <w:sz w:val="20"/>
                <w:szCs w:val="20"/>
              </w:rPr>
            </w:pPr>
          </w:p>
        </w:tc>
      </w:tr>
      <w:tr w:rsidR="00C10C2F" w:rsidRPr="00441FC1" w:rsidTr="00175626">
        <w:trPr>
          <w:trHeight w:val="315"/>
        </w:trPr>
        <w:tc>
          <w:tcPr>
            <w:tcW w:w="5260" w:type="dxa"/>
            <w:tcBorders>
              <w:top w:val="nil"/>
              <w:left w:val="nil"/>
              <w:bottom w:val="nil"/>
              <w:right w:val="nil"/>
            </w:tcBorders>
            <w:shd w:val="clear" w:color="auto" w:fill="auto"/>
            <w:noWrap/>
            <w:vAlign w:val="bottom"/>
            <w:hideMark/>
          </w:tcPr>
          <w:p w:rsidR="00C10C2F" w:rsidRPr="00441FC1" w:rsidRDefault="00C10C2F" w:rsidP="00175626">
            <w:pPr>
              <w:rPr>
                <w:rFonts w:ascii="Arial" w:hAnsi="Arial" w:cs="Arial"/>
                <w:sz w:val="20"/>
                <w:szCs w:val="20"/>
              </w:rPr>
            </w:pPr>
            <w:r w:rsidRPr="00441FC1">
              <w:rPr>
                <w:rFonts w:ascii="Arial" w:hAnsi="Arial" w:cs="Arial"/>
                <w:sz w:val="20"/>
                <w:szCs w:val="20"/>
              </w:rPr>
              <w:t>1. Eindafrekening Militaire Huis 2014</w:t>
            </w:r>
          </w:p>
        </w:tc>
        <w:tc>
          <w:tcPr>
            <w:tcW w:w="992" w:type="dxa"/>
            <w:tcBorders>
              <w:top w:val="nil"/>
              <w:left w:val="nil"/>
              <w:bottom w:val="nil"/>
              <w:right w:val="nil"/>
            </w:tcBorders>
            <w:shd w:val="clear" w:color="auto" w:fill="auto"/>
            <w:noWrap/>
            <w:vAlign w:val="bottom"/>
            <w:hideMark/>
          </w:tcPr>
          <w:p w:rsidR="00C10C2F" w:rsidRPr="00441FC1" w:rsidRDefault="00C10C2F" w:rsidP="00175626">
            <w:pPr>
              <w:jc w:val="right"/>
              <w:rPr>
                <w:rFonts w:ascii="Arial" w:hAnsi="Arial" w:cs="Arial"/>
                <w:sz w:val="20"/>
                <w:szCs w:val="20"/>
              </w:rPr>
            </w:pPr>
            <w:r w:rsidRPr="00441FC1">
              <w:rPr>
                <w:rFonts w:ascii="Arial" w:hAnsi="Arial" w:cs="Arial"/>
                <w:sz w:val="20"/>
                <w:szCs w:val="20"/>
              </w:rPr>
              <w:t>3</w:t>
            </w:r>
          </w:p>
        </w:tc>
        <w:tc>
          <w:tcPr>
            <w:tcW w:w="1560" w:type="dxa"/>
            <w:tcBorders>
              <w:top w:val="nil"/>
              <w:left w:val="nil"/>
              <w:bottom w:val="nil"/>
              <w:right w:val="nil"/>
            </w:tcBorders>
            <w:shd w:val="clear" w:color="auto" w:fill="auto"/>
            <w:noWrap/>
            <w:vAlign w:val="bottom"/>
            <w:hideMark/>
          </w:tcPr>
          <w:p w:rsidR="00C10C2F" w:rsidRPr="00441FC1" w:rsidRDefault="00C10C2F" w:rsidP="00175626">
            <w:pPr>
              <w:jc w:val="right"/>
              <w:rPr>
                <w:rFonts w:ascii="Arial" w:hAnsi="Arial" w:cs="Arial"/>
                <w:sz w:val="20"/>
                <w:szCs w:val="20"/>
              </w:rPr>
            </w:pPr>
            <w:r w:rsidRPr="00441FC1">
              <w:rPr>
                <w:rFonts w:ascii="Arial" w:hAnsi="Arial" w:cs="Arial"/>
                <w:sz w:val="20"/>
                <w:szCs w:val="20"/>
              </w:rPr>
              <w:t>57</w:t>
            </w:r>
          </w:p>
        </w:tc>
      </w:tr>
      <w:tr w:rsidR="00C10C2F" w:rsidRPr="00441FC1" w:rsidTr="00175626">
        <w:trPr>
          <w:trHeight w:val="315"/>
        </w:trPr>
        <w:tc>
          <w:tcPr>
            <w:tcW w:w="5260" w:type="dxa"/>
            <w:tcBorders>
              <w:top w:val="nil"/>
              <w:left w:val="nil"/>
              <w:bottom w:val="nil"/>
              <w:right w:val="nil"/>
            </w:tcBorders>
            <w:shd w:val="clear" w:color="auto" w:fill="auto"/>
            <w:noWrap/>
            <w:vAlign w:val="bottom"/>
            <w:hideMark/>
          </w:tcPr>
          <w:p w:rsidR="00C10C2F" w:rsidRPr="00441FC1" w:rsidRDefault="00C10C2F" w:rsidP="00175626">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C10C2F" w:rsidRPr="00441FC1" w:rsidRDefault="00C10C2F" w:rsidP="00175626">
            <w:pPr>
              <w:jc w:val="right"/>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C10C2F" w:rsidRPr="00441FC1" w:rsidRDefault="00C10C2F" w:rsidP="00175626">
            <w:pPr>
              <w:jc w:val="right"/>
              <w:rPr>
                <w:rFonts w:ascii="Arial" w:hAnsi="Arial" w:cs="Arial"/>
                <w:sz w:val="20"/>
                <w:szCs w:val="20"/>
              </w:rPr>
            </w:pPr>
          </w:p>
        </w:tc>
      </w:tr>
      <w:tr w:rsidR="00C10C2F" w:rsidRPr="00441FC1" w:rsidTr="00175626">
        <w:trPr>
          <w:trHeight w:val="330"/>
        </w:trPr>
        <w:tc>
          <w:tcPr>
            <w:tcW w:w="5260" w:type="dxa"/>
            <w:tcBorders>
              <w:top w:val="nil"/>
              <w:left w:val="nil"/>
              <w:bottom w:val="single" w:sz="8" w:space="0" w:color="auto"/>
              <w:right w:val="nil"/>
            </w:tcBorders>
            <w:shd w:val="clear" w:color="auto" w:fill="auto"/>
            <w:noWrap/>
            <w:vAlign w:val="bottom"/>
            <w:hideMark/>
          </w:tcPr>
          <w:p w:rsidR="00C10C2F" w:rsidRPr="00441FC1" w:rsidRDefault="00C10C2F" w:rsidP="00175626">
            <w:pPr>
              <w:rPr>
                <w:rFonts w:ascii="Arial" w:hAnsi="Arial" w:cs="Arial"/>
                <w:b/>
                <w:bCs/>
                <w:sz w:val="20"/>
                <w:szCs w:val="20"/>
              </w:rPr>
            </w:pPr>
            <w:r w:rsidRPr="00441FC1">
              <w:rPr>
                <w:rFonts w:ascii="Arial" w:hAnsi="Arial" w:cs="Arial"/>
                <w:b/>
                <w:bCs/>
                <w:sz w:val="20"/>
                <w:szCs w:val="20"/>
              </w:rPr>
              <w:t>Stand 1e suppletoire begroting 2015</w:t>
            </w:r>
          </w:p>
        </w:tc>
        <w:tc>
          <w:tcPr>
            <w:tcW w:w="992" w:type="dxa"/>
            <w:tcBorders>
              <w:top w:val="nil"/>
              <w:left w:val="nil"/>
              <w:bottom w:val="single" w:sz="8" w:space="0" w:color="auto"/>
              <w:right w:val="nil"/>
            </w:tcBorders>
            <w:shd w:val="clear" w:color="auto" w:fill="auto"/>
            <w:noWrap/>
            <w:vAlign w:val="bottom"/>
            <w:hideMark/>
          </w:tcPr>
          <w:p w:rsidR="00C10C2F" w:rsidRPr="00441FC1" w:rsidRDefault="00C10C2F" w:rsidP="00175626">
            <w:pPr>
              <w:jc w:val="right"/>
              <w:rPr>
                <w:rFonts w:ascii="Arial" w:hAnsi="Arial" w:cs="Arial"/>
                <w:sz w:val="20"/>
                <w:szCs w:val="20"/>
              </w:rPr>
            </w:pPr>
            <w:r w:rsidRPr="00441FC1">
              <w:rPr>
                <w:rFonts w:ascii="Arial" w:hAnsi="Arial" w:cs="Arial"/>
                <w:sz w:val="20"/>
                <w:szCs w:val="20"/>
              </w:rPr>
              <w:t> </w:t>
            </w:r>
          </w:p>
        </w:tc>
        <w:tc>
          <w:tcPr>
            <w:tcW w:w="1560" w:type="dxa"/>
            <w:tcBorders>
              <w:top w:val="nil"/>
              <w:left w:val="nil"/>
              <w:bottom w:val="single" w:sz="8" w:space="0" w:color="auto"/>
              <w:right w:val="nil"/>
            </w:tcBorders>
            <w:shd w:val="clear" w:color="auto" w:fill="auto"/>
            <w:noWrap/>
            <w:vAlign w:val="bottom"/>
            <w:hideMark/>
          </w:tcPr>
          <w:p w:rsidR="00C10C2F" w:rsidRPr="00441FC1" w:rsidRDefault="00C10C2F" w:rsidP="00175626">
            <w:pPr>
              <w:jc w:val="right"/>
              <w:rPr>
                <w:rFonts w:ascii="Arial" w:hAnsi="Arial" w:cs="Arial"/>
                <w:b/>
                <w:bCs/>
                <w:sz w:val="20"/>
                <w:szCs w:val="20"/>
              </w:rPr>
            </w:pPr>
            <w:r w:rsidRPr="00441FC1">
              <w:rPr>
                <w:rFonts w:ascii="Arial" w:hAnsi="Arial" w:cs="Arial"/>
                <w:b/>
                <w:bCs/>
                <w:sz w:val="20"/>
                <w:szCs w:val="20"/>
              </w:rPr>
              <w:t>57</w:t>
            </w:r>
          </w:p>
        </w:tc>
      </w:tr>
    </w:tbl>
    <w:p w:rsidR="00C10C2F" w:rsidRDefault="00C10C2F" w:rsidP="00C10C2F">
      <w:pPr>
        <w:spacing w:line="360" w:lineRule="auto"/>
        <w:rPr>
          <w:rFonts w:ascii="Arial" w:hAnsi="Arial" w:cs="Arial"/>
          <w:sz w:val="20"/>
          <w:szCs w:val="20"/>
          <w:lang w:val="nl"/>
        </w:rPr>
      </w:pPr>
    </w:p>
    <w:p w:rsidR="00C10C2F" w:rsidRPr="00743D85" w:rsidRDefault="00C10C2F" w:rsidP="00C10C2F">
      <w:pPr>
        <w:spacing w:line="360" w:lineRule="auto"/>
        <w:rPr>
          <w:rFonts w:ascii="Arial" w:hAnsi="Arial" w:cs="Arial"/>
          <w:sz w:val="20"/>
          <w:szCs w:val="20"/>
          <w:u w:val="single"/>
          <w:lang w:val="nl"/>
        </w:rPr>
      </w:pPr>
      <w:r w:rsidRPr="00743D85">
        <w:rPr>
          <w:rFonts w:ascii="Arial" w:hAnsi="Arial" w:cs="Arial"/>
          <w:sz w:val="20"/>
          <w:szCs w:val="20"/>
          <w:u w:val="single"/>
          <w:lang w:val="nl"/>
        </w:rPr>
        <w:t>Toelichting</w:t>
      </w:r>
    </w:p>
    <w:p w:rsidR="00C10C2F" w:rsidRPr="001741B6" w:rsidRDefault="00C10C2F" w:rsidP="00C10C2F">
      <w:pPr>
        <w:spacing w:line="360" w:lineRule="auto"/>
        <w:rPr>
          <w:rFonts w:ascii="Arial" w:hAnsi="Arial" w:cs="Arial"/>
          <w:color w:val="FF0000"/>
          <w:sz w:val="20"/>
          <w:szCs w:val="20"/>
          <w:lang w:val="nl"/>
        </w:rPr>
      </w:pPr>
      <w:r>
        <w:rPr>
          <w:rFonts w:ascii="Arial" w:hAnsi="Arial" w:cs="Arial"/>
          <w:sz w:val="20"/>
          <w:szCs w:val="20"/>
          <w:lang w:val="nl"/>
        </w:rPr>
        <w:t>D</w:t>
      </w:r>
      <w:r w:rsidRPr="00743D85">
        <w:rPr>
          <w:rFonts w:ascii="Arial" w:hAnsi="Arial" w:cs="Arial"/>
          <w:sz w:val="20"/>
          <w:szCs w:val="20"/>
          <w:lang w:val="nl"/>
        </w:rPr>
        <w:t xml:space="preserve">e eindafrekening van </w:t>
      </w:r>
      <w:r>
        <w:rPr>
          <w:rFonts w:ascii="Arial" w:hAnsi="Arial" w:cs="Arial"/>
          <w:sz w:val="20"/>
          <w:szCs w:val="20"/>
          <w:lang w:val="nl"/>
        </w:rPr>
        <w:t>het</w:t>
      </w:r>
      <w:r w:rsidRPr="00743D85">
        <w:rPr>
          <w:rFonts w:ascii="Arial" w:hAnsi="Arial" w:cs="Arial"/>
          <w:sz w:val="20"/>
          <w:szCs w:val="20"/>
          <w:lang w:val="nl"/>
        </w:rPr>
        <w:t xml:space="preserve"> in 201</w:t>
      </w:r>
      <w:r>
        <w:rPr>
          <w:rFonts w:ascii="Arial" w:hAnsi="Arial" w:cs="Arial"/>
          <w:sz w:val="20"/>
          <w:szCs w:val="20"/>
          <w:lang w:val="nl"/>
        </w:rPr>
        <w:t>4 verstrekte voorschot</w:t>
      </w:r>
      <w:r w:rsidRPr="00743D85">
        <w:rPr>
          <w:rFonts w:ascii="Arial" w:hAnsi="Arial" w:cs="Arial"/>
          <w:sz w:val="20"/>
          <w:szCs w:val="20"/>
          <w:lang w:val="nl"/>
        </w:rPr>
        <w:t xml:space="preserve"> aan het </w:t>
      </w:r>
      <w:r>
        <w:rPr>
          <w:rFonts w:ascii="Arial" w:hAnsi="Arial" w:cs="Arial"/>
          <w:sz w:val="20"/>
          <w:szCs w:val="20"/>
          <w:lang w:val="nl"/>
        </w:rPr>
        <w:t>M</w:t>
      </w:r>
      <w:r w:rsidRPr="00743D85">
        <w:rPr>
          <w:rFonts w:ascii="Arial" w:hAnsi="Arial" w:cs="Arial"/>
          <w:sz w:val="20"/>
          <w:szCs w:val="20"/>
          <w:lang w:val="nl"/>
        </w:rPr>
        <w:t xml:space="preserve">inisterie van Defensie voor het Militaire Huis </w:t>
      </w:r>
      <w:r>
        <w:rPr>
          <w:rFonts w:ascii="Arial" w:hAnsi="Arial" w:cs="Arial"/>
          <w:sz w:val="20"/>
          <w:szCs w:val="20"/>
          <w:lang w:val="nl"/>
        </w:rPr>
        <w:t xml:space="preserve">vindt </w:t>
      </w:r>
      <w:r w:rsidRPr="00743D85">
        <w:rPr>
          <w:rFonts w:ascii="Arial" w:hAnsi="Arial" w:cs="Arial"/>
          <w:sz w:val="20"/>
          <w:szCs w:val="20"/>
          <w:lang w:val="nl"/>
        </w:rPr>
        <w:t xml:space="preserve">plaats in het volgende begrotingsjaar. </w:t>
      </w:r>
      <w:r>
        <w:rPr>
          <w:rFonts w:ascii="Arial" w:hAnsi="Arial" w:cs="Arial"/>
          <w:sz w:val="20"/>
          <w:szCs w:val="20"/>
          <w:lang w:val="nl"/>
        </w:rPr>
        <w:t>H</w:t>
      </w:r>
      <w:r w:rsidRPr="00743D85">
        <w:rPr>
          <w:rFonts w:ascii="Arial" w:hAnsi="Arial" w:cs="Arial"/>
          <w:sz w:val="20"/>
          <w:szCs w:val="20"/>
          <w:lang w:val="nl"/>
        </w:rPr>
        <w:t xml:space="preserve">et verschil tussen </w:t>
      </w:r>
      <w:r>
        <w:rPr>
          <w:rFonts w:ascii="Arial" w:hAnsi="Arial" w:cs="Arial"/>
          <w:sz w:val="20"/>
          <w:szCs w:val="20"/>
          <w:lang w:val="nl"/>
        </w:rPr>
        <w:t xml:space="preserve">het </w:t>
      </w:r>
      <w:r w:rsidRPr="00743D85">
        <w:rPr>
          <w:rFonts w:ascii="Arial" w:hAnsi="Arial" w:cs="Arial"/>
          <w:sz w:val="20"/>
          <w:szCs w:val="20"/>
          <w:lang w:val="nl"/>
        </w:rPr>
        <w:t>verstrekte voorschot</w:t>
      </w:r>
      <w:r>
        <w:rPr>
          <w:rFonts w:ascii="Arial" w:hAnsi="Arial" w:cs="Arial"/>
          <w:sz w:val="20"/>
          <w:szCs w:val="20"/>
          <w:lang w:val="nl"/>
        </w:rPr>
        <w:t xml:space="preserve"> aan het Ministerie van Defensie</w:t>
      </w:r>
      <w:r w:rsidRPr="00743D85">
        <w:rPr>
          <w:rFonts w:ascii="Arial" w:hAnsi="Arial" w:cs="Arial"/>
          <w:sz w:val="20"/>
          <w:szCs w:val="20"/>
          <w:lang w:val="nl"/>
        </w:rPr>
        <w:t xml:space="preserve"> en de goedgekeurde einddeclaratie over 201</w:t>
      </w:r>
      <w:r>
        <w:rPr>
          <w:rFonts w:ascii="Arial" w:hAnsi="Arial" w:cs="Arial"/>
          <w:sz w:val="20"/>
          <w:szCs w:val="20"/>
          <w:lang w:val="nl"/>
        </w:rPr>
        <w:t xml:space="preserve">4 leidt tot een ontvangst van € 57.000. </w:t>
      </w:r>
      <w:r w:rsidRPr="00743D85">
        <w:rPr>
          <w:rFonts w:ascii="Arial" w:hAnsi="Arial" w:cs="Arial"/>
          <w:sz w:val="20"/>
          <w:szCs w:val="20"/>
          <w:lang w:val="nl"/>
        </w:rPr>
        <w:t xml:space="preserve"> </w:t>
      </w:r>
    </w:p>
    <w:p w:rsidR="00C10C2F" w:rsidRPr="00743D85" w:rsidRDefault="00C10C2F" w:rsidP="00C10C2F">
      <w:pPr>
        <w:spacing w:line="360" w:lineRule="auto"/>
        <w:rPr>
          <w:rFonts w:ascii="Arial" w:hAnsi="Arial" w:cs="Arial"/>
          <w:sz w:val="20"/>
          <w:szCs w:val="20"/>
          <w:lang w:val="nl"/>
        </w:rPr>
      </w:pPr>
    </w:p>
    <w:p w:rsidR="00C10C2F" w:rsidRDefault="00C10C2F" w:rsidP="00C10C2F">
      <w:pPr>
        <w:spacing w:line="360" w:lineRule="auto"/>
        <w:rPr>
          <w:rFonts w:ascii="Arial" w:hAnsi="Arial" w:cs="Arial"/>
          <w:b/>
          <w:sz w:val="20"/>
          <w:szCs w:val="20"/>
          <w:lang w:val="nl"/>
        </w:rPr>
      </w:pPr>
      <w:r>
        <w:rPr>
          <w:rFonts w:ascii="Arial" w:hAnsi="Arial" w:cs="Arial"/>
          <w:b/>
          <w:sz w:val="20"/>
          <w:szCs w:val="20"/>
          <w:lang w:val="nl"/>
        </w:rPr>
        <w:t>2.</w:t>
      </w:r>
      <w:r w:rsidRPr="00743D85">
        <w:rPr>
          <w:rFonts w:ascii="Arial" w:hAnsi="Arial" w:cs="Arial"/>
          <w:b/>
          <w:sz w:val="20"/>
          <w:szCs w:val="20"/>
          <w:lang w:val="nl"/>
        </w:rPr>
        <w:t xml:space="preserve"> </w:t>
      </w:r>
      <w:r>
        <w:rPr>
          <w:rFonts w:ascii="Arial" w:hAnsi="Arial" w:cs="Arial"/>
          <w:b/>
          <w:sz w:val="20"/>
          <w:szCs w:val="20"/>
          <w:lang w:val="nl"/>
        </w:rPr>
        <w:t>Toelichting niet-beleidsartikelen</w:t>
      </w:r>
    </w:p>
    <w:p w:rsidR="00C10C2F" w:rsidRDefault="00C10C2F" w:rsidP="00C10C2F">
      <w:pPr>
        <w:spacing w:line="360" w:lineRule="auto"/>
        <w:rPr>
          <w:rFonts w:ascii="Arial" w:hAnsi="Arial" w:cs="Arial"/>
          <w:b/>
          <w:sz w:val="20"/>
          <w:szCs w:val="20"/>
          <w:lang w:val="nl"/>
        </w:rPr>
      </w:pPr>
    </w:p>
    <w:p w:rsidR="00C10C2F" w:rsidRDefault="00C10C2F" w:rsidP="00C10C2F">
      <w:pPr>
        <w:spacing w:line="360" w:lineRule="auto"/>
        <w:rPr>
          <w:rFonts w:ascii="Arial" w:hAnsi="Arial" w:cs="Arial"/>
          <w:b/>
          <w:sz w:val="20"/>
          <w:szCs w:val="20"/>
          <w:lang w:val="nl"/>
        </w:rPr>
      </w:pPr>
      <w:r>
        <w:rPr>
          <w:rFonts w:ascii="Arial" w:hAnsi="Arial" w:cs="Arial"/>
          <w:b/>
          <w:sz w:val="20"/>
          <w:szCs w:val="20"/>
          <w:lang w:val="nl"/>
        </w:rPr>
        <w:t>Opbouw verplichtingen-, uitgaven- en ontvangstenramingen vanaf de stand ontwerpbegroting 2015 naar de stand 1</w:t>
      </w:r>
      <w:r w:rsidRPr="00A2335B">
        <w:rPr>
          <w:rFonts w:ascii="Arial" w:hAnsi="Arial" w:cs="Arial"/>
          <w:b/>
          <w:sz w:val="20"/>
          <w:szCs w:val="20"/>
          <w:vertAlign w:val="superscript"/>
          <w:lang w:val="nl"/>
        </w:rPr>
        <w:t>e</w:t>
      </w:r>
      <w:r>
        <w:rPr>
          <w:rFonts w:ascii="Arial" w:hAnsi="Arial" w:cs="Arial"/>
          <w:b/>
          <w:sz w:val="20"/>
          <w:szCs w:val="20"/>
          <w:lang w:val="nl"/>
        </w:rPr>
        <w:t xml:space="preserve"> suppletoire begroting 2015</w:t>
      </w:r>
    </w:p>
    <w:p w:rsidR="00C10C2F" w:rsidRDefault="00C10C2F" w:rsidP="00C10C2F">
      <w:pPr>
        <w:spacing w:line="360" w:lineRule="auto"/>
        <w:rPr>
          <w:rFonts w:ascii="Arial" w:hAnsi="Arial" w:cs="Arial"/>
          <w:b/>
          <w:bCs/>
          <w:sz w:val="20"/>
          <w:szCs w:val="20"/>
        </w:rPr>
      </w:pPr>
      <w:r>
        <w:rPr>
          <w:rFonts w:ascii="Arial" w:hAnsi="Arial" w:cs="Arial"/>
          <w:b/>
          <w:bCs/>
          <w:sz w:val="20"/>
          <w:szCs w:val="20"/>
        </w:rPr>
        <w:t>(b</w:t>
      </w:r>
      <w:r w:rsidRPr="00F50379">
        <w:rPr>
          <w:rFonts w:ascii="Arial" w:hAnsi="Arial" w:cs="Arial"/>
          <w:b/>
          <w:bCs/>
          <w:sz w:val="20"/>
          <w:szCs w:val="20"/>
        </w:rPr>
        <w:t>edragen x € 1.000</w:t>
      </w:r>
      <w:r>
        <w:rPr>
          <w:rFonts w:ascii="Arial" w:hAnsi="Arial" w:cs="Arial"/>
          <w:b/>
          <w:bCs/>
          <w:sz w:val="20"/>
          <w:szCs w:val="20"/>
        </w:rPr>
        <w:t>)</w:t>
      </w:r>
    </w:p>
    <w:tbl>
      <w:tblPr>
        <w:tblW w:w="10217" w:type="dxa"/>
        <w:tblInd w:w="-573" w:type="dxa"/>
        <w:tblCellMar>
          <w:left w:w="70" w:type="dxa"/>
          <w:right w:w="70" w:type="dxa"/>
        </w:tblCellMar>
        <w:tblLook w:val="04A0" w:firstRow="1" w:lastRow="0" w:firstColumn="1" w:lastColumn="0" w:noHBand="0" w:noVBand="1"/>
      </w:tblPr>
      <w:tblGrid>
        <w:gridCol w:w="252"/>
        <w:gridCol w:w="2320"/>
        <w:gridCol w:w="1087"/>
        <w:gridCol w:w="1068"/>
        <w:gridCol w:w="1153"/>
        <w:gridCol w:w="1153"/>
        <w:gridCol w:w="796"/>
        <w:gridCol w:w="796"/>
        <w:gridCol w:w="796"/>
        <w:gridCol w:w="796"/>
      </w:tblGrid>
      <w:tr w:rsidR="00C10C2F" w:rsidRPr="00833E43" w:rsidTr="00175626">
        <w:trPr>
          <w:trHeight w:val="1080"/>
        </w:trPr>
        <w:tc>
          <w:tcPr>
            <w:tcW w:w="252" w:type="dxa"/>
            <w:tcBorders>
              <w:top w:val="single" w:sz="8" w:space="0" w:color="auto"/>
              <w:left w:val="nil"/>
              <w:bottom w:val="single" w:sz="8" w:space="0" w:color="auto"/>
              <w:right w:val="nil"/>
            </w:tcBorders>
            <w:shd w:val="clear" w:color="auto" w:fill="auto"/>
            <w:noWrap/>
            <w:vAlign w:val="bottom"/>
            <w:hideMark/>
          </w:tcPr>
          <w:p w:rsidR="00C10C2F" w:rsidRPr="00833E43" w:rsidRDefault="00C10C2F" w:rsidP="00175626">
            <w:pPr>
              <w:rPr>
                <w:rFonts w:ascii="Arial" w:hAnsi="Arial" w:cs="Arial"/>
                <w:sz w:val="20"/>
                <w:szCs w:val="20"/>
              </w:rPr>
            </w:pPr>
            <w:r w:rsidRPr="00833E43">
              <w:rPr>
                <w:rFonts w:ascii="Arial" w:hAnsi="Arial" w:cs="Arial"/>
                <w:sz w:val="20"/>
                <w:szCs w:val="20"/>
              </w:rPr>
              <w:t> </w:t>
            </w:r>
          </w:p>
        </w:tc>
        <w:tc>
          <w:tcPr>
            <w:tcW w:w="2320" w:type="dxa"/>
            <w:tcBorders>
              <w:top w:val="single" w:sz="4" w:space="0" w:color="auto"/>
              <w:left w:val="nil"/>
              <w:bottom w:val="single" w:sz="8" w:space="0" w:color="auto"/>
              <w:right w:val="nil"/>
            </w:tcBorders>
            <w:shd w:val="clear" w:color="auto" w:fill="auto"/>
            <w:hideMark/>
          </w:tcPr>
          <w:p w:rsidR="00C10C2F" w:rsidRPr="00833E43" w:rsidRDefault="00C10C2F" w:rsidP="00175626">
            <w:pPr>
              <w:rPr>
                <w:rFonts w:ascii="Arial" w:hAnsi="Arial" w:cs="Arial"/>
                <w:b/>
                <w:bCs/>
                <w:sz w:val="20"/>
                <w:szCs w:val="20"/>
              </w:rPr>
            </w:pPr>
            <w:r>
              <w:rPr>
                <w:rFonts w:ascii="Arial" w:hAnsi="Arial" w:cs="Arial"/>
                <w:b/>
                <w:bCs/>
                <w:sz w:val="20"/>
                <w:szCs w:val="20"/>
              </w:rPr>
              <w:t xml:space="preserve"> </w:t>
            </w:r>
          </w:p>
        </w:tc>
        <w:tc>
          <w:tcPr>
            <w:tcW w:w="1087" w:type="dxa"/>
            <w:tcBorders>
              <w:top w:val="single" w:sz="4" w:space="0" w:color="auto"/>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Stand ontwerp-begroting 2015 (1)</w:t>
            </w:r>
          </w:p>
        </w:tc>
        <w:tc>
          <w:tcPr>
            <w:tcW w:w="1068" w:type="dxa"/>
            <w:tcBorders>
              <w:top w:val="single" w:sz="4" w:space="0" w:color="auto"/>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Mutaties via NvW en amende-menten (2)</w:t>
            </w:r>
          </w:p>
        </w:tc>
        <w:tc>
          <w:tcPr>
            <w:tcW w:w="1153" w:type="dxa"/>
            <w:tcBorders>
              <w:top w:val="single" w:sz="4" w:space="0" w:color="auto"/>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 xml:space="preserve"> Mutaties 1e suppletoire begroting (3)</w:t>
            </w:r>
          </w:p>
        </w:tc>
        <w:tc>
          <w:tcPr>
            <w:tcW w:w="1153" w:type="dxa"/>
            <w:tcBorders>
              <w:top w:val="single" w:sz="4" w:space="0" w:color="auto"/>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 xml:space="preserve"> Stand 1e suppletoire begroting</w:t>
            </w:r>
            <w:r>
              <w:rPr>
                <w:rFonts w:ascii="Arial" w:hAnsi="Arial" w:cs="Arial"/>
                <w:sz w:val="20"/>
                <w:szCs w:val="20"/>
              </w:rPr>
              <w:br/>
              <w:t>(4) = (1+2+3)</w:t>
            </w:r>
          </w:p>
        </w:tc>
        <w:tc>
          <w:tcPr>
            <w:tcW w:w="796" w:type="dxa"/>
            <w:tcBorders>
              <w:top w:val="single" w:sz="4" w:space="0" w:color="auto"/>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Mutatie 2016</w:t>
            </w:r>
          </w:p>
        </w:tc>
        <w:tc>
          <w:tcPr>
            <w:tcW w:w="796" w:type="dxa"/>
            <w:tcBorders>
              <w:top w:val="single" w:sz="4" w:space="0" w:color="auto"/>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Mutatie 2017</w:t>
            </w:r>
          </w:p>
        </w:tc>
        <w:tc>
          <w:tcPr>
            <w:tcW w:w="796" w:type="dxa"/>
            <w:tcBorders>
              <w:top w:val="single" w:sz="4" w:space="0" w:color="auto"/>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Mutatie 2018</w:t>
            </w:r>
          </w:p>
        </w:tc>
        <w:tc>
          <w:tcPr>
            <w:tcW w:w="796" w:type="dxa"/>
            <w:tcBorders>
              <w:top w:val="single" w:sz="4" w:space="0" w:color="auto"/>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Mutatie 2019</w:t>
            </w:r>
          </w:p>
        </w:tc>
      </w:tr>
      <w:tr w:rsidR="00C10C2F" w:rsidRPr="00833E43" w:rsidTr="00175626">
        <w:trPr>
          <w:trHeight w:val="315"/>
        </w:trPr>
        <w:tc>
          <w:tcPr>
            <w:tcW w:w="252" w:type="dxa"/>
            <w:tcBorders>
              <w:top w:val="nil"/>
              <w:left w:val="nil"/>
              <w:bottom w:val="nil"/>
              <w:right w:val="nil"/>
            </w:tcBorders>
            <w:shd w:val="clear" w:color="auto" w:fill="auto"/>
            <w:noWrap/>
            <w:hideMark/>
          </w:tcPr>
          <w:p w:rsidR="00C10C2F" w:rsidRPr="00833E43" w:rsidRDefault="00C10C2F" w:rsidP="00175626">
            <w:pPr>
              <w:rPr>
                <w:rFonts w:ascii="Arial" w:hAnsi="Arial" w:cs="Arial"/>
                <w:sz w:val="20"/>
                <w:szCs w:val="20"/>
              </w:rPr>
            </w:pPr>
          </w:p>
        </w:tc>
        <w:tc>
          <w:tcPr>
            <w:tcW w:w="2320" w:type="dxa"/>
            <w:tcBorders>
              <w:top w:val="nil"/>
              <w:left w:val="nil"/>
              <w:bottom w:val="nil"/>
              <w:right w:val="nil"/>
            </w:tcBorders>
            <w:shd w:val="clear" w:color="auto" w:fill="auto"/>
            <w:hideMark/>
          </w:tcPr>
          <w:p w:rsidR="00C10C2F" w:rsidRPr="00833E43" w:rsidRDefault="00C10C2F" w:rsidP="00175626">
            <w:pPr>
              <w:rPr>
                <w:rFonts w:ascii="Arial" w:hAnsi="Arial" w:cs="Arial"/>
                <w:b/>
                <w:bCs/>
                <w:sz w:val="20"/>
                <w:szCs w:val="20"/>
              </w:rPr>
            </w:pPr>
            <w:r w:rsidRPr="00833E43">
              <w:rPr>
                <w:rFonts w:ascii="Arial" w:hAnsi="Arial" w:cs="Arial"/>
                <w:b/>
                <w:bCs/>
                <w:sz w:val="20"/>
                <w:szCs w:val="20"/>
              </w:rPr>
              <w:t>Verplichtingen</w:t>
            </w:r>
          </w:p>
        </w:tc>
        <w:tc>
          <w:tcPr>
            <w:tcW w:w="1087"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40.085</w:t>
            </w:r>
          </w:p>
        </w:tc>
        <w:tc>
          <w:tcPr>
            <w:tcW w:w="1068"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233</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40.318</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210</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210</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210</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210</w:t>
            </w:r>
          </w:p>
        </w:tc>
      </w:tr>
      <w:tr w:rsidR="00C10C2F" w:rsidRPr="00833E43" w:rsidTr="00175626">
        <w:trPr>
          <w:trHeight w:val="315"/>
        </w:trPr>
        <w:tc>
          <w:tcPr>
            <w:tcW w:w="252" w:type="dxa"/>
            <w:tcBorders>
              <w:top w:val="nil"/>
              <w:left w:val="nil"/>
              <w:bottom w:val="nil"/>
              <w:right w:val="nil"/>
            </w:tcBorders>
            <w:shd w:val="clear" w:color="auto" w:fill="auto"/>
            <w:noWrap/>
            <w:hideMark/>
          </w:tcPr>
          <w:p w:rsidR="00C10C2F" w:rsidRPr="00833E43" w:rsidRDefault="00C10C2F" w:rsidP="00175626">
            <w:pPr>
              <w:rPr>
                <w:rFonts w:ascii="Arial" w:hAnsi="Arial" w:cs="Arial"/>
                <w:sz w:val="20"/>
                <w:szCs w:val="20"/>
              </w:rPr>
            </w:pPr>
          </w:p>
        </w:tc>
        <w:tc>
          <w:tcPr>
            <w:tcW w:w="2320" w:type="dxa"/>
            <w:tcBorders>
              <w:top w:val="nil"/>
              <w:left w:val="nil"/>
              <w:bottom w:val="nil"/>
              <w:right w:val="nil"/>
            </w:tcBorders>
            <w:shd w:val="clear" w:color="auto" w:fill="auto"/>
            <w:hideMark/>
          </w:tcPr>
          <w:p w:rsidR="00C10C2F" w:rsidRPr="00833E43" w:rsidRDefault="00C10C2F" w:rsidP="00175626">
            <w:pPr>
              <w:rPr>
                <w:rFonts w:ascii="Arial" w:hAnsi="Arial" w:cs="Arial"/>
                <w:sz w:val="20"/>
                <w:szCs w:val="20"/>
              </w:rPr>
            </w:pPr>
          </w:p>
        </w:tc>
        <w:tc>
          <w:tcPr>
            <w:tcW w:w="1087"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p>
        </w:tc>
        <w:tc>
          <w:tcPr>
            <w:tcW w:w="1068"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p>
        </w:tc>
      </w:tr>
      <w:tr w:rsidR="00C10C2F" w:rsidRPr="00833E43" w:rsidTr="00175626">
        <w:trPr>
          <w:trHeight w:val="315"/>
        </w:trPr>
        <w:tc>
          <w:tcPr>
            <w:tcW w:w="252" w:type="dxa"/>
            <w:tcBorders>
              <w:top w:val="nil"/>
              <w:left w:val="nil"/>
              <w:bottom w:val="nil"/>
              <w:right w:val="nil"/>
            </w:tcBorders>
            <w:shd w:val="clear" w:color="auto" w:fill="auto"/>
            <w:noWrap/>
            <w:hideMark/>
          </w:tcPr>
          <w:p w:rsidR="00C10C2F" w:rsidRPr="00833E43" w:rsidRDefault="00C10C2F" w:rsidP="00175626">
            <w:pPr>
              <w:rPr>
                <w:rFonts w:ascii="Arial" w:hAnsi="Arial" w:cs="Arial"/>
                <w:sz w:val="20"/>
                <w:szCs w:val="20"/>
              </w:rPr>
            </w:pPr>
          </w:p>
        </w:tc>
        <w:tc>
          <w:tcPr>
            <w:tcW w:w="2320" w:type="dxa"/>
            <w:tcBorders>
              <w:top w:val="nil"/>
              <w:left w:val="nil"/>
              <w:bottom w:val="nil"/>
              <w:right w:val="nil"/>
            </w:tcBorders>
            <w:shd w:val="clear" w:color="auto" w:fill="auto"/>
            <w:hideMark/>
          </w:tcPr>
          <w:p w:rsidR="00C10C2F" w:rsidRPr="00833E43" w:rsidRDefault="00C10C2F" w:rsidP="00175626">
            <w:pPr>
              <w:rPr>
                <w:rFonts w:ascii="Arial" w:hAnsi="Arial" w:cs="Arial"/>
                <w:b/>
                <w:bCs/>
                <w:sz w:val="20"/>
                <w:szCs w:val="20"/>
              </w:rPr>
            </w:pPr>
            <w:r w:rsidRPr="00833E43">
              <w:rPr>
                <w:rFonts w:ascii="Arial" w:hAnsi="Arial" w:cs="Arial"/>
                <w:b/>
                <w:bCs/>
                <w:sz w:val="20"/>
                <w:szCs w:val="20"/>
              </w:rPr>
              <w:t>Uitgaven</w:t>
            </w:r>
          </w:p>
        </w:tc>
        <w:tc>
          <w:tcPr>
            <w:tcW w:w="1087"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40.085</w:t>
            </w:r>
          </w:p>
        </w:tc>
        <w:tc>
          <w:tcPr>
            <w:tcW w:w="1068"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233</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40.318</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210</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210</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210</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210</w:t>
            </w:r>
          </w:p>
        </w:tc>
      </w:tr>
      <w:tr w:rsidR="00C10C2F" w:rsidRPr="00833E43" w:rsidTr="00175626">
        <w:trPr>
          <w:trHeight w:val="765"/>
        </w:trPr>
        <w:tc>
          <w:tcPr>
            <w:tcW w:w="252" w:type="dxa"/>
            <w:tcBorders>
              <w:top w:val="nil"/>
              <w:left w:val="nil"/>
              <w:bottom w:val="nil"/>
              <w:right w:val="nil"/>
            </w:tcBorders>
            <w:shd w:val="clear" w:color="auto" w:fill="auto"/>
            <w:noWrap/>
            <w:hideMark/>
          </w:tcPr>
          <w:p w:rsidR="00C10C2F" w:rsidRPr="00833E43" w:rsidRDefault="00C10C2F" w:rsidP="00175626">
            <w:pPr>
              <w:rPr>
                <w:rFonts w:ascii="Arial" w:hAnsi="Arial" w:cs="Arial"/>
                <w:sz w:val="20"/>
                <w:szCs w:val="20"/>
              </w:rPr>
            </w:pPr>
            <w:r w:rsidRPr="00833E43">
              <w:rPr>
                <w:rFonts w:ascii="Arial" w:hAnsi="Arial" w:cs="Arial"/>
                <w:sz w:val="20"/>
                <w:szCs w:val="20"/>
              </w:rPr>
              <w:t>1</w:t>
            </w:r>
          </w:p>
        </w:tc>
        <w:tc>
          <w:tcPr>
            <w:tcW w:w="2320" w:type="dxa"/>
            <w:tcBorders>
              <w:top w:val="nil"/>
              <w:left w:val="nil"/>
              <w:bottom w:val="nil"/>
              <w:right w:val="nil"/>
            </w:tcBorders>
            <w:shd w:val="clear" w:color="auto" w:fill="auto"/>
            <w:hideMark/>
          </w:tcPr>
          <w:p w:rsidR="00C10C2F" w:rsidRPr="00833E43" w:rsidRDefault="00C10C2F" w:rsidP="00175626">
            <w:pPr>
              <w:rPr>
                <w:rFonts w:ascii="Arial" w:hAnsi="Arial" w:cs="Arial"/>
                <w:sz w:val="20"/>
                <w:szCs w:val="20"/>
              </w:rPr>
            </w:pPr>
            <w:r w:rsidRPr="00833E43">
              <w:rPr>
                <w:rFonts w:ascii="Arial" w:hAnsi="Arial" w:cs="Arial"/>
                <w:sz w:val="20"/>
                <w:szCs w:val="20"/>
              </w:rPr>
              <w:t>Grondwettelijke uitkering aan de leden van het Koninklijk Huis</w:t>
            </w:r>
          </w:p>
        </w:tc>
        <w:tc>
          <w:tcPr>
            <w:tcW w:w="1087"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7.659</w:t>
            </w:r>
          </w:p>
        </w:tc>
        <w:tc>
          <w:tcPr>
            <w:tcW w:w="1068"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7.659</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r>
      <w:tr w:rsidR="00C10C2F" w:rsidRPr="00833E43" w:rsidTr="00175626">
        <w:trPr>
          <w:trHeight w:val="510"/>
        </w:trPr>
        <w:tc>
          <w:tcPr>
            <w:tcW w:w="252" w:type="dxa"/>
            <w:tcBorders>
              <w:top w:val="nil"/>
              <w:left w:val="nil"/>
              <w:bottom w:val="nil"/>
              <w:right w:val="nil"/>
            </w:tcBorders>
            <w:shd w:val="clear" w:color="auto" w:fill="auto"/>
            <w:noWrap/>
            <w:hideMark/>
          </w:tcPr>
          <w:p w:rsidR="00C10C2F" w:rsidRPr="00833E43" w:rsidRDefault="00C10C2F" w:rsidP="00175626">
            <w:pPr>
              <w:rPr>
                <w:rFonts w:ascii="Arial" w:hAnsi="Arial" w:cs="Arial"/>
                <w:sz w:val="20"/>
                <w:szCs w:val="20"/>
              </w:rPr>
            </w:pPr>
            <w:r w:rsidRPr="00833E43">
              <w:rPr>
                <w:rFonts w:ascii="Arial" w:hAnsi="Arial" w:cs="Arial"/>
                <w:sz w:val="20"/>
                <w:szCs w:val="20"/>
              </w:rPr>
              <w:t>2</w:t>
            </w:r>
          </w:p>
        </w:tc>
        <w:tc>
          <w:tcPr>
            <w:tcW w:w="2320" w:type="dxa"/>
            <w:tcBorders>
              <w:top w:val="nil"/>
              <w:left w:val="nil"/>
              <w:bottom w:val="nil"/>
              <w:right w:val="nil"/>
            </w:tcBorders>
            <w:shd w:val="clear" w:color="auto" w:fill="auto"/>
            <w:hideMark/>
          </w:tcPr>
          <w:p w:rsidR="00C10C2F" w:rsidRPr="00833E43" w:rsidRDefault="00C10C2F" w:rsidP="00175626">
            <w:pPr>
              <w:rPr>
                <w:rFonts w:ascii="Arial" w:hAnsi="Arial" w:cs="Arial"/>
                <w:sz w:val="20"/>
                <w:szCs w:val="20"/>
              </w:rPr>
            </w:pPr>
            <w:r w:rsidRPr="00833E43">
              <w:rPr>
                <w:rFonts w:ascii="Arial" w:hAnsi="Arial" w:cs="Arial"/>
                <w:sz w:val="20"/>
                <w:szCs w:val="20"/>
              </w:rPr>
              <w:t>Functionele uitgaven van de Koning</w:t>
            </w:r>
          </w:p>
        </w:tc>
        <w:tc>
          <w:tcPr>
            <w:tcW w:w="1087"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26.826</w:t>
            </w:r>
          </w:p>
        </w:tc>
        <w:tc>
          <w:tcPr>
            <w:tcW w:w="1068"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103</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26.929</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103</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103</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103</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103</w:t>
            </w:r>
          </w:p>
        </w:tc>
      </w:tr>
      <w:tr w:rsidR="00C10C2F" w:rsidRPr="00833E43" w:rsidTr="00175626">
        <w:trPr>
          <w:trHeight w:val="510"/>
        </w:trPr>
        <w:tc>
          <w:tcPr>
            <w:tcW w:w="252" w:type="dxa"/>
            <w:tcBorders>
              <w:top w:val="nil"/>
              <w:left w:val="nil"/>
              <w:bottom w:val="nil"/>
              <w:right w:val="nil"/>
            </w:tcBorders>
            <w:shd w:val="clear" w:color="auto" w:fill="auto"/>
            <w:noWrap/>
            <w:hideMark/>
          </w:tcPr>
          <w:p w:rsidR="00C10C2F" w:rsidRPr="00833E43" w:rsidRDefault="00C10C2F" w:rsidP="00175626">
            <w:pPr>
              <w:rPr>
                <w:rFonts w:ascii="Arial" w:hAnsi="Arial" w:cs="Arial"/>
                <w:sz w:val="20"/>
                <w:szCs w:val="20"/>
              </w:rPr>
            </w:pPr>
            <w:r w:rsidRPr="00833E43">
              <w:rPr>
                <w:rFonts w:ascii="Arial" w:hAnsi="Arial" w:cs="Arial"/>
                <w:sz w:val="20"/>
                <w:szCs w:val="20"/>
              </w:rPr>
              <w:t>3</w:t>
            </w:r>
          </w:p>
        </w:tc>
        <w:tc>
          <w:tcPr>
            <w:tcW w:w="2320" w:type="dxa"/>
            <w:tcBorders>
              <w:top w:val="nil"/>
              <w:left w:val="nil"/>
              <w:bottom w:val="nil"/>
              <w:right w:val="nil"/>
            </w:tcBorders>
            <w:shd w:val="clear" w:color="auto" w:fill="auto"/>
            <w:hideMark/>
          </w:tcPr>
          <w:p w:rsidR="00C10C2F" w:rsidRPr="00833E43" w:rsidRDefault="00C10C2F" w:rsidP="00175626">
            <w:pPr>
              <w:rPr>
                <w:rFonts w:ascii="Arial" w:hAnsi="Arial" w:cs="Arial"/>
                <w:sz w:val="20"/>
                <w:szCs w:val="20"/>
              </w:rPr>
            </w:pPr>
            <w:r w:rsidRPr="00833E43">
              <w:rPr>
                <w:rFonts w:ascii="Arial" w:hAnsi="Arial" w:cs="Arial"/>
                <w:sz w:val="20"/>
                <w:szCs w:val="20"/>
              </w:rPr>
              <w:t>Doorbelaste uitgaven van andere begrotingen</w:t>
            </w:r>
          </w:p>
        </w:tc>
        <w:tc>
          <w:tcPr>
            <w:tcW w:w="1087"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5.600</w:t>
            </w:r>
          </w:p>
        </w:tc>
        <w:tc>
          <w:tcPr>
            <w:tcW w:w="1068"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130</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5.730</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107</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107</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107</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107</w:t>
            </w:r>
          </w:p>
        </w:tc>
      </w:tr>
      <w:tr w:rsidR="00C10C2F" w:rsidRPr="00833E43" w:rsidTr="00175626">
        <w:trPr>
          <w:trHeight w:val="315"/>
        </w:trPr>
        <w:tc>
          <w:tcPr>
            <w:tcW w:w="252" w:type="dxa"/>
            <w:tcBorders>
              <w:top w:val="nil"/>
              <w:left w:val="nil"/>
              <w:bottom w:val="nil"/>
              <w:right w:val="nil"/>
            </w:tcBorders>
            <w:shd w:val="clear" w:color="auto" w:fill="auto"/>
            <w:noWrap/>
            <w:hideMark/>
          </w:tcPr>
          <w:p w:rsidR="00C10C2F" w:rsidRPr="00833E43" w:rsidRDefault="00C10C2F" w:rsidP="00175626">
            <w:pPr>
              <w:rPr>
                <w:rFonts w:ascii="Arial" w:hAnsi="Arial" w:cs="Arial"/>
                <w:sz w:val="20"/>
                <w:szCs w:val="20"/>
              </w:rPr>
            </w:pPr>
          </w:p>
        </w:tc>
        <w:tc>
          <w:tcPr>
            <w:tcW w:w="2320" w:type="dxa"/>
            <w:tcBorders>
              <w:top w:val="nil"/>
              <w:left w:val="nil"/>
              <w:bottom w:val="nil"/>
              <w:right w:val="nil"/>
            </w:tcBorders>
            <w:shd w:val="clear" w:color="auto" w:fill="auto"/>
            <w:noWrap/>
            <w:hideMark/>
          </w:tcPr>
          <w:p w:rsidR="00C10C2F" w:rsidRPr="00833E43" w:rsidRDefault="00C10C2F" w:rsidP="00175626">
            <w:pPr>
              <w:rPr>
                <w:rFonts w:ascii="Arial" w:hAnsi="Arial" w:cs="Arial"/>
                <w:sz w:val="20"/>
                <w:szCs w:val="20"/>
              </w:rPr>
            </w:pPr>
          </w:p>
        </w:tc>
        <w:tc>
          <w:tcPr>
            <w:tcW w:w="1087"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p>
        </w:tc>
        <w:tc>
          <w:tcPr>
            <w:tcW w:w="1068"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p>
        </w:tc>
      </w:tr>
      <w:tr w:rsidR="00C10C2F" w:rsidRPr="00833E43" w:rsidTr="00175626">
        <w:trPr>
          <w:trHeight w:val="315"/>
        </w:trPr>
        <w:tc>
          <w:tcPr>
            <w:tcW w:w="252" w:type="dxa"/>
            <w:tcBorders>
              <w:top w:val="nil"/>
              <w:left w:val="nil"/>
              <w:bottom w:val="nil"/>
              <w:right w:val="nil"/>
            </w:tcBorders>
            <w:shd w:val="clear" w:color="auto" w:fill="auto"/>
            <w:noWrap/>
            <w:hideMark/>
          </w:tcPr>
          <w:p w:rsidR="00C10C2F" w:rsidRPr="00833E43" w:rsidRDefault="00C10C2F" w:rsidP="00175626">
            <w:pPr>
              <w:rPr>
                <w:rFonts w:ascii="Arial" w:hAnsi="Arial" w:cs="Arial"/>
                <w:sz w:val="20"/>
                <w:szCs w:val="20"/>
              </w:rPr>
            </w:pPr>
          </w:p>
        </w:tc>
        <w:tc>
          <w:tcPr>
            <w:tcW w:w="2320" w:type="dxa"/>
            <w:tcBorders>
              <w:top w:val="nil"/>
              <w:left w:val="nil"/>
              <w:bottom w:val="nil"/>
              <w:right w:val="nil"/>
            </w:tcBorders>
            <w:shd w:val="clear" w:color="auto" w:fill="auto"/>
            <w:noWrap/>
            <w:hideMark/>
          </w:tcPr>
          <w:p w:rsidR="00C10C2F" w:rsidRPr="00833E43" w:rsidRDefault="00C10C2F" w:rsidP="00175626">
            <w:pPr>
              <w:rPr>
                <w:rFonts w:ascii="Arial" w:hAnsi="Arial" w:cs="Arial"/>
                <w:b/>
                <w:bCs/>
                <w:sz w:val="20"/>
                <w:szCs w:val="20"/>
              </w:rPr>
            </w:pPr>
            <w:r w:rsidRPr="00833E43">
              <w:rPr>
                <w:rFonts w:ascii="Arial" w:hAnsi="Arial" w:cs="Arial"/>
                <w:b/>
                <w:bCs/>
                <w:sz w:val="20"/>
                <w:szCs w:val="20"/>
              </w:rPr>
              <w:t>Ontvangsten</w:t>
            </w:r>
          </w:p>
        </w:tc>
        <w:tc>
          <w:tcPr>
            <w:tcW w:w="1087"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nihil</w:t>
            </w:r>
          </w:p>
        </w:tc>
        <w:tc>
          <w:tcPr>
            <w:tcW w:w="1068"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57</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57</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b/>
                <w:bCs/>
                <w:sz w:val="20"/>
                <w:szCs w:val="20"/>
              </w:rPr>
            </w:pPr>
            <w:r>
              <w:rPr>
                <w:rFonts w:ascii="Arial" w:hAnsi="Arial" w:cs="Arial"/>
                <w:b/>
                <w:bCs/>
                <w:sz w:val="20"/>
                <w:szCs w:val="20"/>
              </w:rPr>
              <w:t>-</w:t>
            </w:r>
          </w:p>
        </w:tc>
      </w:tr>
      <w:tr w:rsidR="00C10C2F" w:rsidRPr="00833E43" w:rsidTr="00175626">
        <w:trPr>
          <w:trHeight w:val="765"/>
        </w:trPr>
        <w:tc>
          <w:tcPr>
            <w:tcW w:w="252" w:type="dxa"/>
            <w:tcBorders>
              <w:top w:val="nil"/>
              <w:left w:val="nil"/>
              <w:bottom w:val="nil"/>
              <w:right w:val="nil"/>
            </w:tcBorders>
            <w:shd w:val="clear" w:color="auto" w:fill="auto"/>
            <w:noWrap/>
            <w:hideMark/>
          </w:tcPr>
          <w:p w:rsidR="00C10C2F" w:rsidRPr="00833E43" w:rsidRDefault="00C10C2F" w:rsidP="00175626">
            <w:pPr>
              <w:rPr>
                <w:rFonts w:ascii="Arial" w:hAnsi="Arial" w:cs="Arial"/>
                <w:sz w:val="20"/>
                <w:szCs w:val="20"/>
              </w:rPr>
            </w:pPr>
            <w:r w:rsidRPr="00833E43">
              <w:rPr>
                <w:rFonts w:ascii="Arial" w:hAnsi="Arial" w:cs="Arial"/>
                <w:sz w:val="20"/>
                <w:szCs w:val="20"/>
              </w:rPr>
              <w:t>1</w:t>
            </w:r>
          </w:p>
        </w:tc>
        <w:tc>
          <w:tcPr>
            <w:tcW w:w="2320" w:type="dxa"/>
            <w:tcBorders>
              <w:top w:val="nil"/>
              <w:left w:val="nil"/>
              <w:bottom w:val="nil"/>
              <w:right w:val="nil"/>
            </w:tcBorders>
            <w:shd w:val="clear" w:color="auto" w:fill="auto"/>
            <w:hideMark/>
          </w:tcPr>
          <w:p w:rsidR="00C10C2F" w:rsidRPr="00833E43" w:rsidRDefault="00C10C2F" w:rsidP="00175626">
            <w:pPr>
              <w:rPr>
                <w:rFonts w:ascii="Arial" w:hAnsi="Arial" w:cs="Arial"/>
                <w:sz w:val="20"/>
                <w:szCs w:val="20"/>
              </w:rPr>
            </w:pPr>
            <w:r w:rsidRPr="00833E43">
              <w:rPr>
                <w:rFonts w:ascii="Arial" w:hAnsi="Arial" w:cs="Arial"/>
                <w:sz w:val="20"/>
                <w:szCs w:val="20"/>
              </w:rPr>
              <w:t>Grondwettelijke uitkering aan de leden van het Koninklijk Huis</w:t>
            </w:r>
          </w:p>
        </w:tc>
        <w:tc>
          <w:tcPr>
            <w:tcW w:w="1087"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nihil</w:t>
            </w:r>
          </w:p>
        </w:tc>
        <w:tc>
          <w:tcPr>
            <w:tcW w:w="1068"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r>
      <w:tr w:rsidR="00C10C2F" w:rsidRPr="00833E43" w:rsidTr="00175626">
        <w:trPr>
          <w:trHeight w:val="510"/>
        </w:trPr>
        <w:tc>
          <w:tcPr>
            <w:tcW w:w="252" w:type="dxa"/>
            <w:tcBorders>
              <w:top w:val="nil"/>
              <w:left w:val="nil"/>
              <w:bottom w:val="nil"/>
              <w:right w:val="nil"/>
            </w:tcBorders>
            <w:shd w:val="clear" w:color="auto" w:fill="auto"/>
            <w:noWrap/>
            <w:hideMark/>
          </w:tcPr>
          <w:p w:rsidR="00C10C2F" w:rsidRPr="00833E43" w:rsidRDefault="00C10C2F" w:rsidP="00175626">
            <w:pPr>
              <w:rPr>
                <w:rFonts w:ascii="Arial" w:hAnsi="Arial" w:cs="Arial"/>
                <w:sz w:val="20"/>
                <w:szCs w:val="20"/>
              </w:rPr>
            </w:pPr>
            <w:r w:rsidRPr="00833E43">
              <w:rPr>
                <w:rFonts w:ascii="Arial" w:hAnsi="Arial" w:cs="Arial"/>
                <w:sz w:val="20"/>
                <w:szCs w:val="20"/>
              </w:rPr>
              <w:t>2</w:t>
            </w:r>
          </w:p>
        </w:tc>
        <w:tc>
          <w:tcPr>
            <w:tcW w:w="2320" w:type="dxa"/>
            <w:tcBorders>
              <w:top w:val="nil"/>
              <w:left w:val="nil"/>
              <w:bottom w:val="nil"/>
              <w:right w:val="nil"/>
            </w:tcBorders>
            <w:shd w:val="clear" w:color="auto" w:fill="auto"/>
            <w:hideMark/>
          </w:tcPr>
          <w:p w:rsidR="00C10C2F" w:rsidRPr="00833E43" w:rsidRDefault="00C10C2F" w:rsidP="00175626">
            <w:pPr>
              <w:rPr>
                <w:rFonts w:ascii="Arial" w:hAnsi="Arial" w:cs="Arial"/>
                <w:sz w:val="20"/>
                <w:szCs w:val="20"/>
              </w:rPr>
            </w:pPr>
            <w:r w:rsidRPr="00833E43">
              <w:rPr>
                <w:rFonts w:ascii="Arial" w:hAnsi="Arial" w:cs="Arial"/>
                <w:sz w:val="20"/>
                <w:szCs w:val="20"/>
              </w:rPr>
              <w:t>Functionele uitgaven van de Koning</w:t>
            </w:r>
          </w:p>
        </w:tc>
        <w:tc>
          <w:tcPr>
            <w:tcW w:w="1087"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nihil</w:t>
            </w:r>
          </w:p>
        </w:tc>
        <w:tc>
          <w:tcPr>
            <w:tcW w:w="1068"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1153"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nil"/>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r>
      <w:tr w:rsidR="00C10C2F" w:rsidRPr="00833E43" w:rsidTr="00175626">
        <w:trPr>
          <w:trHeight w:val="525"/>
        </w:trPr>
        <w:tc>
          <w:tcPr>
            <w:tcW w:w="252" w:type="dxa"/>
            <w:tcBorders>
              <w:top w:val="nil"/>
              <w:left w:val="nil"/>
              <w:bottom w:val="single" w:sz="8" w:space="0" w:color="auto"/>
              <w:right w:val="nil"/>
            </w:tcBorders>
            <w:shd w:val="clear" w:color="auto" w:fill="auto"/>
            <w:noWrap/>
            <w:hideMark/>
          </w:tcPr>
          <w:p w:rsidR="00C10C2F" w:rsidRPr="00833E43" w:rsidRDefault="00C10C2F" w:rsidP="00175626">
            <w:pPr>
              <w:rPr>
                <w:rFonts w:ascii="Arial" w:hAnsi="Arial" w:cs="Arial"/>
                <w:sz w:val="20"/>
                <w:szCs w:val="20"/>
              </w:rPr>
            </w:pPr>
            <w:r w:rsidRPr="00833E43">
              <w:rPr>
                <w:rFonts w:ascii="Arial" w:hAnsi="Arial" w:cs="Arial"/>
                <w:sz w:val="20"/>
                <w:szCs w:val="20"/>
              </w:rPr>
              <w:t>3</w:t>
            </w:r>
          </w:p>
        </w:tc>
        <w:tc>
          <w:tcPr>
            <w:tcW w:w="2320" w:type="dxa"/>
            <w:tcBorders>
              <w:top w:val="nil"/>
              <w:left w:val="nil"/>
              <w:bottom w:val="single" w:sz="8" w:space="0" w:color="auto"/>
              <w:right w:val="nil"/>
            </w:tcBorders>
            <w:shd w:val="clear" w:color="auto" w:fill="auto"/>
            <w:hideMark/>
          </w:tcPr>
          <w:p w:rsidR="00C10C2F" w:rsidRPr="00833E43" w:rsidRDefault="00C10C2F" w:rsidP="00175626">
            <w:pPr>
              <w:rPr>
                <w:rFonts w:ascii="Arial" w:hAnsi="Arial" w:cs="Arial"/>
                <w:sz w:val="20"/>
                <w:szCs w:val="20"/>
              </w:rPr>
            </w:pPr>
            <w:r w:rsidRPr="00833E43">
              <w:rPr>
                <w:rFonts w:ascii="Arial" w:hAnsi="Arial" w:cs="Arial"/>
                <w:sz w:val="20"/>
                <w:szCs w:val="20"/>
              </w:rPr>
              <w:t>Doorbelaste uitgaven van andere begrotingen</w:t>
            </w:r>
          </w:p>
        </w:tc>
        <w:tc>
          <w:tcPr>
            <w:tcW w:w="1087" w:type="dxa"/>
            <w:tcBorders>
              <w:top w:val="nil"/>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nihil</w:t>
            </w:r>
          </w:p>
        </w:tc>
        <w:tc>
          <w:tcPr>
            <w:tcW w:w="1068" w:type="dxa"/>
            <w:tcBorders>
              <w:top w:val="nil"/>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1153" w:type="dxa"/>
            <w:tcBorders>
              <w:top w:val="nil"/>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57</w:t>
            </w:r>
          </w:p>
        </w:tc>
        <w:tc>
          <w:tcPr>
            <w:tcW w:w="1153" w:type="dxa"/>
            <w:tcBorders>
              <w:top w:val="nil"/>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57</w:t>
            </w:r>
          </w:p>
        </w:tc>
        <w:tc>
          <w:tcPr>
            <w:tcW w:w="796" w:type="dxa"/>
            <w:tcBorders>
              <w:top w:val="nil"/>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c>
          <w:tcPr>
            <w:tcW w:w="796" w:type="dxa"/>
            <w:tcBorders>
              <w:top w:val="nil"/>
              <w:left w:val="nil"/>
              <w:bottom w:val="single" w:sz="8" w:space="0" w:color="auto"/>
              <w:right w:val="nil"/>
            </w:tcBorders>
            <w:shd w:val="clear" w:color="auto" w:fill="auto"/>
            <w:hideMark/>
          </w:tcPr>
          <w:p w:rsidR="00C10C2F" w:rsidRDefault="00C10C2F" w:rsidP="00175626">
            <w:pPr>
              <w:jc w:val="right"/>
              <w:rPr>
                <w:rFonts w:ascii="Arial" w:hAnsi="Arial" w:cs="Arial"/>
                <w:sz w:val="20"/>
                <w:szCs w:val="20"/>
              </w:rPr>
            </w:pPr>
            <w:r>
              <w:rPr>
                <w:rFonts w:ascii="Arial" w:hAnsi="Arial" w:cs="Arial"/>
                <w:sz w:val="20"/>
                <w:szCs w:val="20"/>
              </w:rPr>
              <w:t>-</w:t>
            </w:r>
          </w:p>
        </w:tc>
      </w:tr>
    </w:tbl>
    <w:p w:rsidR="00C10C2F" w:rsidRDefault="00C10C2F" w:rsidP="00C10C2F">
      <w:pPr>
        <w:spacing w:line="360" w:lineRule="auto"/>
        <w:rPr>
          <w:rFonts w:ascii="Arial" w:hAnsi="Arial" w:cs="Arial"/>
          <w:b/>
          <w:bCs/>
          <w:sz w:val="20"/>
          <w:szCs w:val="20"/>
        </w:rPr>
      </w:pPr>
    </w:p>
    <w:p w:rsidR="00C10C2F" w:rsidRPr="00F50379" w:rsidRDefault="00C10C2F" w:rsidP="00C10C2F">
      <w:pPr>
        <w:spacing w:line="360" w:lineRule="auto"/>
        <w:rPr>
          <w:rFonts w:ascii="Arial" w:hAnsi="Arial" w:cs="Arial"/>
          <w:sz w:val="20"/>
          <w:szCs w:val="20"/>
          <w:u w:val="single"/>
          <w:lang w:val="nl"/>
        </w:rPr>
      </w:pPr>
      <w:r w:rsidRPr="00F50379">
        <w:rPr>
          <w:rFonts w:ascii="Arial" w:hAnsi="Arial" w:cs="Arial"/>
          <w:sz w:val="20"/>
          <w:szCs w:val="20"/>
          <w:u w:val="single"/>
          <w:lang w:val="nl"/>
        </w:rPr>
        <w:lastRenderedPageBreak/>
        <w:t>Toelichting</w:t>
      </w:r>
    </w:p>
    <w:p w:rsidR="00C10C2F" w:rsidRPr="006C2A8A" w:rsidRDefault="00C10C2F" w:rsidP="00C10C2F">
      <w:pPr>
        <w:spacing w:line="360" w:lineRule="auto"/>
        <w:rPr>
          <w:rFonts w:ascii="Arial" w:hAnsi="Arial" w:cs="Arial"/>
          <w:sz w:val="20"/>
          <w:szCs w:val="20"/>
          <w:lang w:val="nl"/>
        </w:rPr>
      </w:pPr>
      <w:r w:rsidRPr="00F50379">
        <w:rPr>
          <w:rFonts w:ascii="Arial" w:hAnsi="Arial" w:cs="Arial"/>
          <w:sz w:val="20"/>
          <w:szCs w:val="20"/>
          <w:lang w:val="nl"/>
        </w:rPr>
        <w:t xml:space="preserve">De meerjarige uitgavenmutaties op artikel 2 en 3 </w:t>
      </w:r>
      <w:r>
        <w:rPr>
          <w:rFonts w:ascii="Arial" w:hAnsi="Arial" w:cs="Arial"/>
          <w:sz w:val="20"/>
          <w:szCs w:val="20"/>
          <w:lang w:val="nl"/>
        </w:rPr>
        <w:t>betreffen d</w:t>
      </w:r>
      <w:r w:rsidRPr="006C2A8A">
        <w:rPr>
          <w:rFonts w:ascii="Arial" w:hAnsi="Arial" w:cs="Arial"/>
          <w:sz w:val="20"/>
          <w:szCs w:val="20"/>
          <w:lang w:val="nl"/>
        </w:rPr>
        <w:t>e loon- en prijsbijstelling 2015, de personele inzet ten behoeve van de communicatie over het Koninklijk Huis en de overboeking vanuit het Kabinet van de Koning, zoals toegelicht in paragraaf 1.</w:t>
      </w:r>
    </w:p>
    <w:p w:rsidR="00C10C2F" w:rsidRPr="00095BAF" w:rsidRDefault="00C10C2F" w:rsidP="00C10C2F">
      <w:pPr>
        <w:pStyle w:val="Lijstalinea"/>
        <w:spacing w:line="360" w:lineRule="auto"/>
        <w:rPr>
          <w:rFonts w:ascii="Arial" w:hAnsi="Arial" w:cs="Arial"/>
          <w:sz w:val="20"/>
          <w:szCs w:val="20"/>
          <w:lang w:val="nl"/>
        </w:rPr>
      </w:pPr>
    </w:p>
    <w:p w:rsidR="009E7070" w:rsidRDefault="009E7070">
      <w:bookmarkStart w:id="0" w:name="_GoBack"/>
      <w:bookmarkEnd w:id="0"/>
    </w:p>
    <w:sectPr w:rsidR="009E7070" w:rsidSect="00ED0F36">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DC" w:rsidRDefault="00C10C2F" w:rsidP="0004588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1240DC" w:rsidRDefault="00C10C2F" w:rsidP="0004588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DC" w:rsidRDefault="00C10C2F" w:rsidP="0004588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rsidR="001240DC" w:rsidRDefault="00C10C2F" w:rsidP="00045886">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B5" w:rsidRDefault="00C10C2F">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B5" w:rsidRDefault="00C10C2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B5" w:rsidRDefault="00C10C2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B5" w:rsidRDefault="00C10C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2F"/>
    <w:rsid w:val="00485333"/>
    <w:rsid w:val="004F79F1"/>
    <w:rsid w:val="009E7070"/>
    <w:rsid w:val="00A54391"/>
    <w:rsid w:val="00C10C2F"/>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0C2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C10C2F"/>
    <w:pPr>
      <w:tabs>
        <w:tab w:val="center" w:pos="4320"/>
        <w:tab w:val="right" w:pos="8640"/>
      </w:tabs>
    </w:pPr>
  </w:style>
  <w:style w:type="character" w:customStyle="1" w:styleId="VoettekstChar">
    <w:name w:val="Voettekst Char"/>
    <w:basedOn w:val="Standaardalinea-lettertype"/>
    <w:link w:val="Voettekst"/>
    <w:rsid w:val="00C10C2F"/>
    <w:rPr>
      <w:sz w:val="24"/>
      <w:szCs w:val="24"/>
    </w:rPr>
  </w:style>
  <w:style w:type="character" w:styleId="Paginanummer">
    <w:name w:val="page number"/>
    <w:basedOn w:val="Standaardalinea-lettertype"/>
    <w:rsid w:val="00C10C2F"/>
  </w:style>
  <w:style w:type="paragraph" w:styleId="Lijstalinea">
    <w:name w:val="List Paragraph"/>
    <w:basedOn w:val="Standaard"/>
    <w:uiPriority w:val="34"/>
    <w:qFormat/>
    <w:rsid w:val="00C10C2F"/>
    <w:pPr>
      <w:ind w:left="720"/>
      <w:contextualSpacing/>
    </w:pPr>
  </w:style>
  <w:style w:type="paragraph" w:styleId="Koptekst">
    <w:name w:val="header"/>
    <w:basedOn w:val="Standaard"/>
    <w:link w:val="KoptekstChar"/>
    <w:uiPriority w:val="99"/>
    <w:unhideWhenUsed/>
    <w:rsid w:val="00C10C2F"/>
    <w:pPr>
      <w:tabs>
        <w:tab w:val="center" w:pos="4536"/>
        <w:tab w:val="right" w:pos="9072"/>
      </w:tabs>
    </w:pPr>
  </w:style>
  <w:style w:type="character" w:customStyle="1" w:styleId="KoptekstChar">
    <w:name w:val="Koptekst Char"/>
    <w:basedOn w:val="Standaardalinea-lettertype"/>
    <w:link w:val="Koptekst"/>
    <w:uiPriority w:val="99"/>
    <w:rsid w:val="00C10C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0C2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C10C2F"/>
    <w:pPr>
      <w:tabs>
        <w:tab w:val="center" w:pos="4320"/>
        <w:tab w:val="right" w:pos="8640"/>
      </w:tabs>
    </w:pPr>
  </w:style>
  <w:style w:type="character" w:customStyle="1" w:styleId="VoettekstChar">
    <w:name w:val="Voettekst Char"/>
    <w:basedOn w:val="Standaardalinea-lettertype"/>
    <w:link w:val="Voettekst"/>
    <w:rsid w:val="00C10C2F"/>
    <w:rPr>
      <w:sz w:val="24"/>
      <w:szCs w:val="24"/>
    </w:rPr>
  </w:style>
  <w:style w:type="character" w:styleId="Paginanummer">
    <w:name w:val="page number"/>
    <w:basedOn w:val="Standaardalinea-lettertype"/>
    <w:rsid w:val="00C10C2F"/>
  </w:style>
  <w:style w:type="paragraph" w:styleId="Lijstalinea">
    <w:name w:val="List Paragraph"/>
    <w:basedOn w:val="Standaard"/>
    <w:uiPriority w:val="34"/>
    <w:qFormat/>
    <w:rsid w:val="00C10C2F"/>
    <w:pPr>
      <w:ind w:left="720"/>
      <w:contextualSpacing/>
    </w:pPr>
  </w:style>
  <w:style w:type="paragraph" w:styleId="Koptekst">
    <w:name w:val="header"/>
    <w:basedOn w:val="Standaard"/>
    <w:link w:val="KoptekstChar"/>
    <w:uiPriority w:val="99"/>
    <w:unhideWhenUsed/>
    <w:rsid w:val="00C10C2F"/>
    <w:pPr>
      <w:tabs>
        <w:tab w:val="center" w:pos="4536"/>
        <w:tab w:val="right" w:pos="9072"/>
      </w:tabs>
    </w:pPr>
  </w:style>
  <w:style w:type="character" w:customStyle="1" w:styleId="KoptekstChar">
    <w:name w:val="Koptekst Char"/>
    <w:basedOn w:val="Standaardalinea-lettertype"/>
    <w:link w:val="Koptekst"/>
    <w:uiPriority w:val="99"/>
    <w:rsid w:val="00C10C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9AE64-86F5-4B57-88D1-2C088F6A3015}"/>
</file>

<file path=customXml/itemProps2.xml><?xml version="1.0" encoding="utf-8"?>
<ds:datastoreItem xmlns:ds="http://schemas.openxmlformats.org/officeDocument/2006/customXml" ds:itemID="{B65A8328-9C52-44C4-B7F0-C4908919E773}"/>
</file>

<file path=customXml/itemProps3.xml><?xml version="1.0" encoding="utf-8"?>
<ds:datastoreItem xmlns:ds="http://schemas.openxmlformats.org/officeDocument/2006/customXml" ds:itemID="{A21E3F74-EFC2-4DF4-98A4-D4016E9CFEE6}"/>
</file>

<file path=docProps/app.xml><?xml version="1.0" encoding="utf-8"?>
<Properties xmlns="http://schemas.openxmlformats.org/officeDocument/2006/extended-properties" xmlns:vt="http://schemas.openxmlformats.org/officeDocument/2006/docPropsVTypes">
  <Template>CF57014C.dotm</Template>
  <TotalTime>0</TotalTime>
  <Pages>4</Pages>
  <Words>716</Words>
  <Characters>4149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2015-06-01T15:50:00Z</dcterms:created>
  <dcterms:modified xsi:type="dcterms:W3CDTF">2015-06-01T15:50:00Z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