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DC" w:rsidRDefault="00CC43DC" w:rsidP="00CC43DC">
      <w:pPr>
        <w:rPr>
          <w:b/>
        </w:rPr>
      </w:pPr>
      <w:r>
        <w:rPr>
          <w:b/>
        </w:rPr>
        <w:t xml:space="preserve">Memorie van toelichting </w:t>
      </w:r>
      <w:r>
        <w:rPr>
          <w:rFonts w:cs="Arial"/>
          <w:b/>
        </w:rPr>
        <w:t>(Eerste suppletoire begroting)</w:t>
      </w:r>
    </w:p>
    <w:p w:rsidR="00CC43DC" w:rsidRDefault="00CC43DC" w:rsidP="00CC43DC">
      <w:pPr>
        <w:rPr>
          <w:b/>
        </w:rPr>
      </w:pPr>
    </w:p>
    <w:p w:rsidR="00CC43DC" w:rsidRDefault="00CC43DC" w:rsidP="00CC43DC">
      <w:pPr>
        <w:rPr>
          <w:b/>
        </w:rPr>
      </w:pPr>
    </w:p>
    <w:p w:rsidR="00CC43DC" w:rsidRDefault="00CC43DC" w:rsidP="00CC43DC">
      <w:pPr>
        <w:rPr>
          <w:b/>
        </w:rPr>
      </w:pPr>
      <w:r>
        <w:rPr>
          <w:b/>
        </w:rPr>
        <w:t>A. ARTIKELSGEWIJZE TOELICHTING BIJ HET WETSVOORSTEL</w:t>
      </w:r>
    </w:p>
    <w:p w:rsidR="00CC43DC" w:rsidRDefault="00CC43DC" w:rsidP="00CC43DC">
      <w:pPr>
        <w:pStyle w:val="StandaardAfw"/>
        <w:tabs>
          <w:tab w:val="clear" w:pos="2268"/>
          <w:tab w:val="left" w:pos="3402"/>
          <w:tab w:val="right" w:pos="8931"/>
        </w:tabs>
        <w:spacing w:line="216" w:lineRule="auto"/>
        <w:ind w:left="0"/>
      </w:pPr>
    </w:p>
    <w:p w:rsidR="00CC43DC" w:rsidRDefault="00CC43DC" w:rsidP="00CC43DC">
      <w:pPr>
        <w:rPr>
          <w:b/>
        </w:rPr>
      </w:pPr>
      <w:r>
        <w:rPr>
          <w:b/>
        </w:rPr>
        <w:t>Wetsartikel 1</w:t>
      </w:r>
    </w:p>
    <w:p w:rsidR="00CC43DC" w:rsidRDefault="00CC43DC" w:rsidP="00CC43DC">
      <w:pPr>
        <w:pStyle w:val="StandaardAfw"/>
        <w:tabs>
          <w:tab w:val="clear" w:pos="2268"/>
          <w:tab w:val="left" w:pos="3402"/>
          <w:tab w:val="right" w:pos="8931"/>
        </w:tabs>
        <w:spacing w:line="216" w:lineRule="auto"/>
        <w:ind w:left="0"/>
      </w:pPr>
    </w:p>
    <w:p w:rsidR="00CC43DC" w:rsidRDefault="00CC43DC" w:rsidP="00CC43DC">
      <w:r>
        <w:t xml:space="preserve">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begrotingsstaten van het Ministerie van Algemene Zaken, het Kabinet van de Koning </w:t>
      </w:r>
      <w:r w:rsidRPr="00B904F8">
        <w:t>en de Commissie van Toezicht betreffende de Inlichtingen- en Veiligheidsdiensten</w:t>
      </w:r>
      <w:r>
        <w:t>.</w:t>
      </w:r>
    </w:p>
    <w:p w:rsidR="00CC43DC" w:rsidRDefault="00CC43DC" w:rsidP="00CC43DC"/>
    <w:p w:rsidR="00CC43DC" w:rsidRDefault="00CC43DC" w:rsidP="00CC43DC">
      <w:r>
        <w:t>De in de begrotingsstaten opgenomen begrotingsartikelen worden in onderdeel B van deze memorie van toelichting toegelicht (de zgn. begrotingstoelichting).</w:t>
      </w:r>
    </w:p>
    <w:p w:rsidR="00CC43DC" w:rsidRDefault="00CC43DC" w:rsidP="00CC43DC"/>
    <w:p w:rsidR="00CC43DC" w:rsidRDefault="00CC43DC" w:rsidP="00CC43DC"/>
    <w:p w:rsidR="00CC43DC" w:rsidRDefault="00CC43DC" w:rsidP="00CC43DC"/>
    <w:p w:rsidR="00CC43DC" w:rsidRDefault="00CC43DC" w:rsidP="00CC43DC">
      <w:r>
        <w:t>De Minister-President,</w:t>
      </w:r>
    </w:p>
    <w:p w:rsidR="00CC43DC" w:rsidRDefault="00CC43DC" w:rsidP="00CC43DC">
      <w:r>
        <w:t>Minister van Algemene Zaken,</w:t>
      </w:r>
    </w:p>
    <w:p w:rsidR="00CC43DC" w:rsidRDefault="00CC43DC" w:rsidP="00CC43DC"/>
    <w:p w:rsidR="00CC43DC" w:rsidRDefault="00CC43DC" w:rsidP="00CC43DC"/>
    <w:p w:rsidR="00CC43DC" w:rsidRDefault="00CC43DC" w:rsidP="00CC43DC"/>
    <w:p w:rsidR="00CC43DC" w:rsidRDefault="00CC43DC" w:rsidP="00CC43DC"/>
    <w:p w:rsidR="00CC43DC" w:rsidRDefault="00CC43DC" w:rsidP="00CC43DC"/>
    <w:p w:rsidR="00CC43DC" w:rsidRDefault="00CC43DC" w:rsidP="00CC43DC">
      <w:r>
        <w:t>Mark Rutte</w:t>
      </w:r>
    </w:p>
    <w:p w:rsidR="00CC43DC" w:rsidRDefault="00CC43DC" w:rsidP="00CC43DC">
      <w:pPr>
        <w:rPr>
          <w:sz w:val="16"/>
        </w:rPr>
      </w:pPr>
    </w:p>
    <w:p w:rsidR="00CC43DC" w:rsidRDefault="00CC43DC" w:rsidP="00CC43DC">
      <w:pPr>
        <w:rPr>
          <w:sz w:val="16"/>
        </w:rPr>
      </w:pPr>
    </w:p>
    <w:p w:rsidR="00CC43DC" w:rsidRDefault="00CC43DC" w:rsidP="00CC43DC">
      <w:pPr>
        <w:rPr>
          <w:b/>
        </w:rPr>
      </w:pPr>
      <w:r>
        <w:rPr>
          <w:sz w:val="16"/>
        </w:rPr>
        <w:br w:type="page"/>
      </w:r>
      <w:r>
        <w:rPr>
          <w:b/>
        </w:rPr>
        <w:lastRenderedPageBreak/>
        <w:t>B. BEGROTINGSTOELICHTING</w:t>
      </w:r>
    </w:p>
    <w:p w:rsidR="00CC43DC" w:rsidRDefault="00CC43DC" w:rsidP="00CC43DC">
      <w:pPr>
        <w:pStyle w:val="Voettekst"/>
        <w:tabs>
          <w:tab w:val="clear" w:pos="4536"/>
          <w:tab w:val="clear" w:pos="9072"/>
        </w:tabs>
      </w:pPr>
    </w:p>
    <w:p w:rsidR="00CC43DC" w:rsidRDefault="00CC43DC" w:rsidP="00CC43DC">
      <w:pPr>
        <w:numPr>
          <w:ilvl w:val="12"/>
          <w:numId w:val="0"/>
        </w:numPr>
      </w:pPr>
      <w:r>
        <w:rPr>
          <w:b/>
        </w:rPr>
        <w:t>1.</w:t>
      </w:r>
      <w:r>
        <w:rPr>
          <w:b/>
        </w:rPr>
        <w:tab/>
        <w:t>LEESWIJZER</w:t>
      </w:r>
    </w:p>
    <w:p w:rsidR="00CC43DC" w:rsidRDefault="00CC43DC" w:rsidP="00CC43DC">
      <w:pPr>
        <w:numPr>
          <w:ilvl w:val="12"/>
          <w:numId w:val="0"/>
        </w:numPr>
      </w:pPr>
    </w:p>
    <w:p w:rsidR="00CC43DC" w:rsidRDefault="00CC43DC" w:rsidP="00CC43DC">
      <w:pPr>
        <w:numPr>
          <w:ilvl w:val="12"/>
          <w:numId w:val="0"/>
        </w:numPr>
      </w:pPr>
      <w:r>
        <w:t xml:space="preserve">In de navolgende paragrafen 2, 3 en 4 worden de voorgestelde mutaties toegelicht, voor het Ministerie van Algemene Zaken, </w:t>
      </w:r>
      <w:r w:rsidRPr="00CD3D74">
        <w:t xml:space="preserve">Kabinet </w:t>
      </w:r>
      <w:r>
        <w:t>van de Koning en de Commissie van T</w:t>
      </w:r>
      <w:r w:rsidRPr="001C3212">
        <w:t>oezicht betreffende de Inlichtingen- en Veiligheidsdiensten</w:t>
      </w:r>
      <w:r>
        <w:t xml:space="preserve">. In paragraaf 2.1 gebeurt dit op het niveau van de begrotingsstaat; paragraaf 2.2 geeft een overzicht op artikel- en artikelonderdeelniveau van artikel 1 ‘Eenheid van het algemeen regeringsbeleid’. </w:t>
      </w:r>
    </w:p>
    <w:p w:rsidR="00CC43DC" w:rsidRDefault="00CC43DC" w:rsidP="00CC43DC">
      <w:pPr>
        <w:numPr>
          <w:ilvl w:val="12"/>
          <w:numId w:val="0"/>
        </w:numPr>
      </w:pPr>
    </w:p>
    <w:p w:rsidR="00CC43DC" w:rsidRDefault="00CC43DC" w:rsidP="00CC43DC">
      <w:pPr>
        <w:numPr>
          <w:ilvl w:val="12"/>
          <w:numId w:val="0"/>
        </w:numPr>
        <w:rPr>
          <w:b/>
        </w:rPr>
      </w:pPr>
    </w:p>
    <w:p w:rsidR="00CC43DC" w:rsidRPr="00EE097A" w:rsidRDefault="00CC43DC" w:rsidP="00CC43DC">
      <w:pPr>
        <w:numPr>
          <w:ilvl w:val="12"/>
          <w:numId w:val="0"/>
        </w:numPr>
        <w:rPr>
          <w:b/>
        </w:rPr>
      </w:pPr>
      <w:r>
        <w:rPr>
          <w:b/>
        </w:rPr>
        <w:t>2.</w:t>
      </w:r>
      <w:r>
        <w:rPr>
          <w:b/>
        </w:rPr>
        <w:tab/>
        <w:t>MINISTERIE VAN ALGEMENE ZAKEN</w:t>
      </w:r>
    </w:p>
    <w:p w:rsidR="00CC43DC" w:rsidRDefault="00CC43DC" w:rsidP="00CC43DC">
      <w:pPr>
        <w:numPr>
          <w:ilvl w:val="12"/>
          <w:numId w:val="0"/>
        </w:numPr>
      </w:pPr>
    </w:p>
    <w:p w:rsidR="00CC43DC" w:rsidRDefault="00CC43DC" w:rsidP="00CC43DC">
      <w:pPr>
        <w:numPr>
          <w:ilvl w:val="12"/>
          <w:numId w:val="0"/>
        </w:numPr>
        <w:rPr>
          <w:b/>
        </w:rPr>
      </w:pPr>
    </w:p>
    <w:p w:rsidR="00CC43DC" w:rsidRDefault="00CC43DC" w:rsidP="00CC43DC">
      <w:pPr>
        <w:numPr>
          <w:ilvl w:val="12"/>
          <w:numId w:val="0"/>
        </w:numPr>
        <w:rPr>
          <w:b/>
        </w:rPr>
      </w:pPr>
      <w:r>
        <w:rPr>
          <w:b/>
        </w:rPr>
        <w:t>2.1</w:t>
      </w:r>
      <w:r>
        <w:rPr>
          <w:b/>
        </w:rPr>
        <w:tab/>
        <w:t>Suppletoire mutaties</w:t>
      </w:r>
    </w:p>
    <w:p w:rsidR="00CC43DC" w:rsidRDefault="00CC43DC" w:rsidP="00CC43DC"/>
    <w:p w:rsidR="00CC43DC" w:rsidRDefault="00CC43DC" w:rsidP="00CC43DC">
      <w:r>
        <w:t xml:space="preserve">Overzicht suppletoire uitgavenmutaties voor 2015 </w:t>
      </w:r>
      <w:r w:rsidRPr="001B1D62">
        <w:rPr>
          <w:rFonts w:cs="Arial"/>
          <w:bCs/>
        </w:rPr>
        <w:t>(Eerste suppletoire begroting)</w:t>
      </w:r>
      <w:r w:rsidRPr="00D17FFA">
        <w:rPr>
          <w:rFonts w:cs="Arial"/>
          <w:b/>
          <w:bCs/>
        </w:rPr>
        <w:t xml:space="preserve"> </w:t>
      </w:r>
      <w:r>
        <w:t>(Bedragen x € 1.000)</w:t>
      </w:r>
      <w:r w:rsidRPr="00634445">
        <w:t xml:space="preserve"> </w:t>
      </w:r>
    </w:p>
    <w:p w:rsidR="00CC43DC" w:rsidRDefault="00CC43DC" w:rsidP="00CC43DC"/>
    <w:tbl>
      <w:tblPr>
        <w:tblW w:w="6880" w:type="dxa"/>
        <w:tblInd w:w="55" w:type="dxa"/>
        <w:tblCellMar>
          <w:left w:w="70" w:type="dxa"/>
          <w:right w:w="70" w:type="dxa"/>
        </w:tblCellMar>
        <w:tblLook w:val="04A0" w:firstRow="1" w:lastRow="0" w:firstColumn="1" w:lastColumn="0" w:noHBand="0" w:noVBand="1"/>
      </w:tblPr>
      <w:tblGrid>
        <w:gridCol w:w="252"/>
        <w:gridCol w:w="5629"/>
        <w:gridCol w:w="999"/>
      </w:tblGrid>
      <w:tr w:rsidR="00CC43DC" w:rsidRPr="00215C00" w:rsidTr="00175626">
        <w:trPr>
          <w:trHeight w:val="315"/>
        </w:trPr>
        <w:tc>
          <w:tcPr>
            <w:tcW w:w="200" w:type="dxa"/>
            <w:tcBorders>
              <w:top w:val="single" w:sz="8" w:space="0" w:color="auto"/>
              <w:left w:val="nil"/>
              <w:bottom w:val="single" w:sz="8" w:space="0" w:color="auto"/>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 </w:t>
            </w:r>
          </w:p>
        </w:tc>
        <w:tc>
          <w:tcPr>
            <w:tcW w:w="5680" w:type="dxa"/>
            <w:tcBorders>
              <w:top w:val="single" w:sz="8" w:space="0" w:color="auto"/>
              <w:left w:val="nil"/>
              <w:bottom w:val="single" w:sz="8" w:space="0" w:color="auto"/>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uitgaven</w:t>
            </w:r>
          </w:p>
        </w:tc>
      </w:tr>
      <w:tr w:rsidR="00CC43DC" w:rsidRPr="00215C00" w:rsidTr="00175626">
        <w:trPr>
          <w:trHeight w:val="300"/>
        </w:trPr>
        <w:tc>
          <w:tcPr>
            <w:tcW w:w="200" w:type="dxa"/>
            <w:tcBorders>
              <w:top w:val="nil"/>
              <w:left w:val="nil"/>
              <w:bottom w:val="nil"/>
              <w:right w:val="nil"/>
            </w:tcBorders>
            <w:shd w:val="clear" w:color="auto" w:fill="auto"/>
            <w:noWrap/>
            <w:vAlign w:val="bottom"/>
            <w:hideMark/>
          </w:tcPr>
          <w:p w:rsidR="00CC43DC" w:rsidRPr="00215C00"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b/>
                <w:bCs/>
                <w:lang w:val="nl-NL"/>
              </w:rPr>
            </w:pPr>
            <w:r w:rsidRPr="00215C00">
              <w:rPr>
                <w:rFonts w:cs="Arial"/>
                <w:b/>
                <w:bCs/>
                <w:lang w:val="nl-NL"/>
              </w:rPr>
              <w:t>Stand ontwerpbegroting 2015</w:t>
            </w:r>
          </w:p>
        </w:tc>
        <w:tc>
          <w:tcPr>
            <w:tcW w:w="1000" w:type="dxa"/>
            <w:tcBorders>
              <w:top w:val="nil"/>
              <w:left w:val="nil"/>
              <w:bottom w:val="nil"/>
              <w:right w:val="nil"/>
            </w:tcBorders>
            <w:shd w:val="clear" w:color="auto" w:fill="auto"/>
            <w:vAlign w:val="center"/>
            <w:hideMark/>
          </w:tcPr>
          <w:p w:rsidR="00CC43DC" w:rsidRPr="00215C00" w:rsidRDefault="00CC43DC" w:rsidP="00175626">
            <w:pPr>
              <w:jc w:val="right"/>
              <w:rPr>
                <w:rFonts w:cs="Arial"/>
                <w:b/>
                <w:bCs/>
                <w:lang w:val="nl-NL"/>
              </w:rPr>
            </w:pPr>
            <w:r w:rsidRPr="00215C00">
              <w:rPr>
                <w:rFonts w:cs="Arial"/>
                <w:b/>
                <w:bCs/>
                <w:lang w:val="nl-NL"/>
              </w:rPr>
              <w:t>59.429</w:t>
            </w:r>
          </w:p>
        </w:tc>
      </w:tr>
      <w:tr w:rsidR="00CC43DC" w:rsidRPr="00215C00" w:rsidTr="00175626">
        <w:trPr>
          <w:trHeight w:val="300"/>
        </w:trPr>
        <w:tc>
          <w:tcPr>
            <w:tcW w:w="200" w:type="dxa"/>
            <w:tcBorders>
              <w:top w:val="nil"/>
              <w:left w:val="nil"/>
              <w:bottom w:val="nil"/>
              <w:right w:val="nil"/>
            </w:tcBorders>
            <w:shd w:val="clear" w:color="auto" w:fill="auto"/>
            <w:noWrap/>
            <w:vAlign w:val="bottom"/>
            <w:hideMark/>
          </w:tcPr>
          <w:p w:rsidR="00CC43DC" w:rsidRPr="00215C00"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lang w:val="nl-NL"/>
              </w:rPr>
            </w:pPr>
          </w:p>
        </w:tc>
        <w:tc>
          <w:tcPr>
            <w:tcW w:w="1000" w:type="dxa"/>
            <w:tcBorders>
              <w:top w:val="nil"/>
              <w:left w:val="nil"/>
              <w:bottom w:val="nil"/>
              <w:right w:val="nil"/>
            </w:tcBorders>
            <w:shd w:val="clear" w:color="auto" w:fill="auto"/>
            <w:vAlign w:val="center"/>
            <w:hideMark/>
          </w:tcPr>
          <w:p w:rsidR="00CC43DC" w:rsidRPr="00215C00" w:rsidRDefault="00CC43DC" w:rsidP="00175626">
            <w:pPr>
              <w:jc w:val="center"/>
              <w:rPr>
                <w:rFonts w:cs="Arial"/>
                <w:lang w:val="nl-NL"/>
              </w:rPr>
            </w:pPr>
          </w:p>
        </w:tc>
      </w:tr>
      <w:tr w:rsidR="00CC43DC" w:rsidRPr="00215C00" w:rsidTr="00175626">
        <w:trPr>
          <w:trHeight w:val="300"/>
        </w:trPr>
        <w:tc>
          <w:tcPr>
            <w:tcW w:w="200" w:type="dxa"/>
            <w:tcBorders>
              <w:top w:val="nil"/>
              <w:left w:val="nil"/>
              <w:bottom w:val="nil"/>
              <w:right w:val="nil"/>
            </w:tcBorders>
            <w:shd w:val="clear" w:color="auto" w:fill="auto"/>
            <w:noWrap/>
            <w:vAlign w:val="bottom"/>
            <w:hideMark/>
          </w:tcPr>
          <w:p w:rsidR="00CC43DC" w:rsidRPr="00215C00"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Suppletoire mutaties:</w:t>
            </w:r>
          </w:p>
        </w:tc>
        <w:tc>
          <w:tcPr>
            <w:tcW w:w="1000" w:type="dxa"/>
            <w:tcBorders>
              <w:top w:val="nil"/>
              <w:left w:val="nil"/>
              <w:bottom w:val="nil"/>
              <w:right w:val="nil"/>
            </w:tcBorders>
            <w:shd w:val="clear" w:color="auto" w:fill="auto"/>
            <w:vAlign w:val="center"/>
            <w:hideMark/>
          </w:tcPr>
          <w:p w:rsidR="00CC43DC" w:rsidRPr="00215C00" w:rsidRDefault="00CC43DC" w:rsidP="00175626">
            <w:pPr>
              <w:jc w:val="center"/>
              <w:rPr>
                <w:rFonts w:cs="Arial"/>
                <w:lang w:val="nl-NL"/>
              </w:rPr>
            </w:pPr>
          </w:p>
        </w:tc>
      </w:tr>
      <w:tr w:rsidR="00CC43DC" w:rsidRPr="00215C00" w:rsidTr="00175626">
        <w:trPr>
          <w:trHeight w:val="300"/>
        </w:trPr>
        <w:tc>
          <w:tcPr>
            <w:tcW w:w="2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1</w:t>
            </w: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Eindejaarsmarge 2014</w:t>
            </w:r>
          </w:p>
        </w:tc>
        <w:tc>
          <w:tcPr>
            <w:tcW w:w="10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1.105</w:t>
            </w:r>
          </w:p>
        </w:tc>
      </w:tr>
      <w:tr w:rsidR="00CC43DC" w:rsidRPr="00215C00" w:rsidTr="00175626">
        <w:trPr>
          <w:trHeight w:val="300"/>
        </w:trPr>
        <w:tc>
          <w:tcPr>
            <w:tcW w:w="2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2</w:t>
            </w: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 xml:space="preserve">Eindejaarsmarge toedeling naar </w:t>
            </w:r>
            <w:proofErr w:type="spellStart"/>
            <w:r w:rsidRPr="00215C00">
              <w:rPr>
                <w:rFonts w:cs="Arial"/>
                <w:lang w:val="nl-NL"/>
              </w:rPr>
              <w:t>KvdK</w:t>
            </w:r>
            <w:proofErr w:type="spellEnd"/>
          </w:p>
        </w:tc>
        <w:tc>
          <w:tcPr>
            <w:tcW w:w="10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-23</w:t>
            </w:r>
          </w:p>
        </w:tc>
      </w:tr>
      <w:tr w:rsidR="00CC43DC" w:rsidRPr="00215C00" w:rsidTr="00175626">
        <w:trPr>
          <w:trHeight w:val="300"/>
        </w:trPr>
        <w:tc>
          <w:tcPr>
            <w:tcW w:w="2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3</w:t>
            </w: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Desaldering winstuitkering DPC</w:t>
            </w:r>
          </w:p>
        </w:tc>
        <w:tc>
          <w:tcPr>
            <w:tcW w:w="10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301</w:t>
            </w:r>
          </w:p>
        </w:tc>
      </w:tr>
      <w:tr w:rsidR="00CC43DC" w:rsidRPr="00215C00" w:rsidTr="00175626">
        <w:trPr>
          <w:trHeight w:val="300"/>
        </w:trPr>
        <w:tc>
          <w:tcPr>
            <w:tcW w:w="2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4</w:t>
            </w: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Diverse overboekingen van en naar de AZ-begroting</w:t>
            </w:r>
          </w:p>
        </w:tc>
        <w:tc>
          <w:tcPr>
            <w:tcW w:w="10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596</w:t>
            </w:r>
          </w:p>
        </w:tc>
      </w:tr>
      <w:tr w:rsidR="00CC43DC" w:rsidRPr="00215C00" w:rsidTr="00175626">
        <w:trPr>
          <w:trHeight w:val="300"/>
        </w:trPr>
        <w:tc>
          <w:tcPr>
            <w:tcW w:w="2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5</w:t>
            </w: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lang w:val="nl-NL"/>
              </w:rPr>
            </w:pPr>
            <w:r w:rsidRPr="00215C00">
              <w:rPr>
                <w:rFonts w:cs="Arial"/>
                <w:lang w:val="nl-NL"/>
              </w:rPr>
              <w:t>Loon- en prijsbijstelling</w:t>
            </w:r>
          </w:p>
        </w:tc>
        <w:tc>
          <w:tcPr>
            <w:tcW w:w="1000" w:type="dxa"/>
            <w:tcBorders>
              <w:top w:val="nil"/>
              <w:left w:val="nil"/>
              <w:bottom w:val="nil"/>
              <w:right w:val="nil"/>
            </w:tcBorders>
            <w:shd w:val="clear" w:color="auto" w:fill="auto"/>
            <w:vAlign w:val="center"/>
            <w:hideMark/>
          </w:tcPr>
          <w:p w:rsidR="00CC43DC" w:rsidRPr="00215C00" w:rsidRDefault="00CC43DC" w:rsidP="00175626">
            <w:pPr>
              <w:jc w:val="right"/>
              <w:rPr>
                <w:rFonts w:cs="Arial"/>
                <w:lang w:val="nl-NL"/>
              </w:rPr>
            </w:pPr>
            <w:r w:rsidRPr="00215C00">
              <w:rPr>
                <w:rFonts w:cs="Arial"/>
                <w:lang w:val="nl-NL"/>
              </w:rPr>
              <w:t>230</w:t>
            </w:r>
          </w:p>
        </w:tc>
      </w:tr>
      <w:tr w:rsidR="00CC43DC" w:rsidRPr="00215C00" w:rsidTr="00175626">
        <w:trPr>
          <w:trHeight w:val="300"/>
        </w:trPr>
        <w:tc>
          <w:tcPr>
            <w:tcW w:w="200" w:type="dxa"/>
            <w:tcBorders>
              <w:top w:val="nil"/>
              <w:left w:val="nil"/>
              <w:bottom w:val="nil"/>
              <w:right w:val="nil"/>
            </w:tcBorders>
            <w:shd w:val="clear" w:color="auto" w:fill="auto"/>
            <w:noWrap/>
            <w:vAlign w:val="bottom"/>
            <w:hideMark/>
          </w:tcPr>
          <w:p w:rsidR="00CC43DC" w:rsidRPr="00215C00"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215C00" w:rsidRDefault="00CC43DC" w:rsidP="00175626">
            <w:pPr>
              <w:rPr>
                <w:rFonts w:cs="Arial"/>
                <w:b/>
                <w:bCs/>
                <w:lang w:val="nl-NL"/>
              </w:rPr>
            </w:pPr>
          </w:p>
        </w:tc>
        <w:tc>
          <w:tcPr>
            <w:tcW w:w="1000" w:type="dxa"/>
            <w:tcBorders>
              <w:top w:val="nil"/>
              <w:left w:val="nil"/>
              <w:bottom w:val="nil"/>
              <w:right w:val="nil"/>
            </w:tcBorders>
            <w:shd w:val="clear" w:color="auto" w:fill="auto"/>
            <w:vAlign w:val="center"/>
            <w:hideMark/>
          </w:tcPr>
          <w:p w:rsidR="00CC43DC" w:rsidRPr="00215C00" w:rsidRDefault="00CC43DC" w:rsidP="00175626">
            <w:pPr>
              <w:jc w:val="right"/>
              <w:rPr>
                <w:rFonts w:cs="Arial"/>
                <w:b/>
                <w:bCs/>
                <w:lang w:val="nl-NL"/>
              </w:rPr>
            </w:pPr>
          </w:p>
        </w:tc>
      </w:tr>
      <w:tr w:rsidR="00CC43DC" w:rsidRPr="00215C00" w:rsidTr="00175626">
        <w:trPr>
          <w:trHeight w:val="315"/>
        </w:trPr>
        <w:tc>
          <w:tcPr>
            <w:tcW w:w="200" w:type="dxa"/>
            <w:tcBorders>
              <w:top w:val="nil"/>
              <w:left w:val="nil"/>
              <w:bottom w:val="single" w:sz="8" w:space="0" w:color="auto"/>
              <w:right w:val="nil"/>
            </w:tcBorders>
            <w:shd w:val="clear" w:color="auto" w:fill="auto"/>
            <w:vAlign w:val="center"/>
            <w:hideMark/>
          </w:tcPr>
          <w:p w:rsidR="00CC43DC" w:rsidRPr="00215C00" w:rsidRDefault="00CC43DC" w:rsidP="00175626">
            <w:pPr>
              <w:rPr>
                <w:rFonts w:cs="Arial"/>
                <w:b/>
                <w:bCs/>
                <w:lang w:val="nl-NL"/>
              </w:rPr>
            </w:pPr>
            <w:r w:rsidRPr="00215C00">
              <w:rPr>
                <w:rFonts w:cs="Arial"/>
                <w:b/>
                <w:bCs/>
                <w:lang w:val="nl-NL"/>
              </w:rPr>
              <w:t> </w:t>
            </w:r>
          </w:p>
        </w:tc>
        <w:tc>
          <w:tcPr>
            <w:tcW w:w="5680" w:type="dxa"/>
            <w:tcBorders>
              <w:top w:val="nil"/>
              <w:left w:val="nil"/>
              <w:bottom w:val="single" w:sz="8" w:space="0" w:color="auto"/>
              <w:right w:val="nil"/>
            </w:tcBorders>
            <w:shd w:val="clear" w:color="auto" w:fill="auto"/>
            <w:vAlign w:val="center"/>
            <w:hideMark/>
          </w:tcPr>
          <w:p w:rsidR="00CC43DC" w:rsidRPr="00215C00" w:rsidRDefault="00CC43DC" w:rsidP="00175626">
            <w:pPr>
              <w:rPr>
                <w:rFonts w:cs="Arial"/>
                <w:b/>
                <w:bCs/>
                <w:lang w:val="nl-NL"/>
              </w:rPr>
            </w:pPr>
            <w:r w:rsidRPr="00215C00">
              <w:rPr>
                <w:rFonts w:cs="Arial"/>
                <w:b/>
                <w:bCs/>
                <w:lang w:val="nl-NL"/>
              </w:rPr>
              <w:t>Stand na 1e suppletoire begroting 2015</w:t>
            </w:r>
          </w:p>
        </w:tc>
        <w:tc>
          <w:tcPr>
            <w:tcW w:w="1000" w:type="dxa"/>
            <w:tcBorders>
              <w:top w:val="nil"/>
              <w:left w:val="nil"/>
              <w:bottom w:val="single" w:sz="8" w:space="0" w:color="auto"/>
              <w:right w:val="nil"/>
            </w:tcBorders>
            <w:shd w:val="clear" w:color="auto" w:fill="auto"/>
            <w:vAlign w:val="center"/>
            <w:hideMark/>
          </w:tcPr>
          <w:p w:rsidR="00CC43DC" w:rsidRPr="00215C00" w:rsidRDefault="00CC43DC" w:rsidP="00175626">
            <w:pPr>
              <w:jc w:val="right"/>
              <w:rPr>
                <w:rFonts w:cs="Arial"/>
                <w:b/>
                <w:bCs/>
                <w:lang w:val="nl-NL"/>
              </w:rPr>
            </w:pPr>
            <w:r w:rsidRPr="00215C00">
              <w:rPr>
                <w:rFonts w:cs="Arial"/>
                <w:b/>
                <w:bCs/>
                <w:lang w:val="nl-NL"/>
              </w:rPr>
              <w:t>61.638</w:t>
            </w:r>
          </w:p>
        </w:tc>
      </w:tr>
    </w:tbl>
    <w:p w:rsidR="00CC43DC" w:rsidRDefault="00CC43DC" w:rsidP="00CC43DC"/>
    <w:p w:rsidR="00CC43DC" w:rsidRDefault="00CC43DC" w:rsidP="00CC43DC"/>
    <w:p w:rsidR="00CC43DC" w:rsidRPr="00671509" w:rsidRDefault="00CC43DC" w:rsidP="00CC43DC">
      <w:pPr>
        <w:pStyle w:val="Kop1"/>
        <w:tabs>
          <w:tab w:val="left" w:pos="1134"/>
        </w:tabs>
        <w:ind w:left="0"/>
        <w:rPr>
          <w:b w:val="0"/>
          <w:u w:val="single"/>
        </w:rPr>
      </w:pPr>
      <w:r w:rsidRPr="00072748">
        <w:rPr>
          <w:b w:val="0"/>
        </w:rPr>
        <w:tab/>
      </w:r>
      <w:r w:rsidRPr="00671509">
        <w:rPr>
          <w:b w:val="0"/>
          <w:u w:val="single"/>
        </w:rPr>
        <w:t>Toelichting</w:t>
      </w:r>
    </w:p>
    <w:p w:rsidR="00CC43DC" w:rsidRDefault="00CC43DC" w:rsidP="00CC43DC">
      <w:pPr>
        <w:pStyle w:val="Plattetekstinspringen2"/>
        <w:ind w:left="0"/>
        <w:rPr>
          <w:color w:val="auto"/>
        </w:rPr>
      </w:pPr>
      <w:r>
        <w:rPr>
          <w:color w:val="auto"/>
        </w:rPr>
        <w:t>1</w:t>
      </w:r>
      <w:r w:rsidRPr="00446803">
        <w:rPr>
          <w:color w:val="auto"/>
        </w:rPr>
        <w:t xml:space="preserve">) Dit betreft de </w:t>
      </w:r>
      <w:r>
        <w:rPr>
          <w:color w:val="auto"/>
        </w:rPr>
        <w:t xml:space="preserve">eindejaarsmarge </w:t>
      </w:r>
      <w:r w:rsidRPr="00446803">
        <w:rPr>
          <w:color w:val="auto"/>
        </w:rPr>
        <w:t>20</w:t>
      </w:r>
      <w:r>
        <w:rPr>
          <w:color w:val="auto"/>
        </w:rPr>
        <w:t>14</w:t>
      </w:r>
      <w:r w:rsidRPr="00446803">
        <w:rPr>
          <w:color w:val="auto"/>
        </w:rPr>
        <w:t>.</w:t>
      </w:r>
    </w:p>
    <w:p w:rsidR="00CC43DC" w:rsidRDefault="00CC43DC" w:rsidP="00CC43DC">
      <w:pPr>
        <w:pStyle w:val="Plattetekstinspringen2"/>
        <w:ind w:left="0"/>
        <w:rPr>
          <w:color w:val="auto"/>
        </w:rPr>
      </w:pPr>
    </w:p>
    <w:p w:rsidR="00CC43DC" w:rsidRDefault="00CC43DC" w:rsidP="00CC43DC">
      <w:pPr>
        <w:pStyle w:val="Plattetekstinspringen2"/>
        <w:ind w:left="0"/>
        <w:rPr>
          <w:color w:val="auto"/>
        </w:rPr>
      </w:pPr>
      <w:r>
        <w:rPr>
          <w:color w:val="auto"/>
        </w:rPr>
        <w:t>2) Dit betreft de toedeling van de eindejaarsmarge naar het Kabinet van de Koning.</w:t>
      </w:r>
    </w:p>
    <w:p w:rsidR="00CC43DC" w:rsidRDefault="00CC43DC" w:rsidP="00CC43DC">
      <w:pPr>
        <w:pStyle w:val="Plattetekstinspringen2"/>
        <w:ind w:left="0"/>
        <w:rPr>
          <w:color w:val="auto"/>
        </w:rPr>
      </w:pPr>
    </w:p>
    <w:p w:rsidR="00CC43DC" w:rsidRDefault="00CC43DC" w:rsidP="00CC43DC">
      <w:pPr>
        <w:pStyle w:val="Plattetekstinspringen2"/>
        <w:ind w:left="0"/>
        <w:rPr>
          <w:color w:val="auto"/>
        </w:rPr>
      </w:pPr>
      <w:r w:rsidRPr="007E44AD">
        <w:t xml:space="preserve">3) </w:t>
      </w:r>
      <w:r>
        <w:t xml:space="preserve">Het betreft de </w:t>
      </w:r>
      <w:r w:rsidRPr="007E44AD">
        <w:t xml:space="preserve">afroming van het eigen vermogen </w:t>
      </w:r>
      <w:r>
        <w:t>van het agentschap Dienst Publiek en Communicatie van € 301.000 vanwege het overschrijden van het toegestane maximum van het eigen vermogen in 2014. Dit is verwerkt als een desaldering, de uitgaven die aan deze ontvangsten zijn gerelateerd zullen op het gebied van automatisering worden gedaan</w:t>
      </w:r>
      <w:r>
        <w:rPr>
          <w:color w:val="auto"/>
        </w:rPr>
        <w:t>.</w:t>
      </w:r>
    </w:p>
    <w:p w:rsidR="00CC43DC" w:rsidRDefault="00CC43DC" w:rsidP="00CC43DC">
      <w:pPr>
        <w:pStyle w:val="Plattetekstinspringen2"/>
        <w:ind w:left="0"/>
        <w:rPr>
          <w:color w:val="auto"/>
        </w:rPr>
      </w:pPr>
    </w:p>
    <w:p w:rsidR="00CC43DC" w:rsidRDefault="00CC43DC" w:rsidP="00CC43DC">
      <w:pPr>
        <w:pStyle w:val="Plattetekstinspringen2"/>
        <w:ind w:left="0"/>
        <w:rPr>
          <w:color w:val="auto"/>
        </w:rPr>
      </w:pPr>
      <w:r>
        <w:rPr>
          <w:color w:val="auto"/>
        </w:rPr>
        <w:t>4) Dit zijn diverse overboekingen van en naar de AZ-begroting.</w:t>
      </w:r>
    </w:p>
    <w:p w:rsidR="00CC43DC" w:rsidRDefault="00CC43DC" w:rsidP="00CC43DC">
      <w:pPr>
        <w:pStyle w:val="Plattetekstinspringen2"/>
        <w:ind w:left="0"/>
        <w:rPr>
          <w:color w:val="auto"/>
        </w:rPr>
      </w:pPr>
    </w:p>
    <w:p w:rsidR="00CC43DC" w:rsidRDefault="00CC43DC" w:rsidP="00CC43DC">
      <w:pPr>
        <w:pStyle w:val="Plattetekstinspringen2"/>
        <w:ind w:left="0"/>
        <w:rPr>
          <w:color w:val="auto"/>
        </w:rPr>
      </w:pPr>
      <w:r>
        <w:rPr>
          <w:color w:val="auto"/>
        </w:rPr>
        <w:t xml:space="preserve">5) </w:t>
      </w:r>
      <w:r w:rsidRPr="00215C00">
        <w:rPr>
          <w:color w:val="auto"/>
        </w:rPr>
        <w:t>Vanuit de aanvullende posten arbeidsvoorwaarden en prijsbijstelling is budget overgeheveld als tegemoetkoming voor de extra uitgaven als gevolg van de loonkostenontwikkeling en prijsstijginge</w:t>
      </w:r>
      <w:r>
        <w:rPr>
          <w:color w:val="auto"/>
        </w:rPr>
        <w:t>n</w:t>
      </w:r>
      <w:r w:rsidRPr="00215C00">
        <w:rPr>
          <w:color w:val="auto"/>
        </w:rPr>
        <w:t>.</w:t>
      </w:r>
    </w:p>
    <w:p w:rsidR="00CC43DC" w:rsidRDefault="00CC43DC" w:rsidP="00CC43DC">
      <w:pPr>
        <w:pStyle w:val="Plattetekstinspringen2"/>
        <w:ind w:left="0"/>
        <w:rPr>
          <w:color w:val="auto"/>
        </w:rPr>
      </w:pPr>
    </w:p>
    <w:p w:rsidR="00CC43DC" w:rsidRDefault="00CC43DC" w:rsidP="00CC43DC">
      <w:pPr>
        <w:pStyle w:val="Plattetekstinspringen2"/>
        <w:ind w:left="0"/>
        <w:rPr>
          <w:color w:val="auto"/>
        </w:rPr>
      </w:pPr>
    </w:p>
    <w:p w:rsidR="00CC43DC" w:rsidRDefault="00CC43DC" w:rsidP="00CC43DC">
      <w:pPr>
        <w:pStyle w:val="Plattetekstinspringen2"/>
        <w:ind w:left="0"/>
        <w:rPr>
          <w:color w:val="auto"/>
        </w:rPr>
      </w:pPr>
    </w:p>
    <w:p w:rsidR="00CC43DC" w:rsidRDefault="00CC43DC" w:rsidP="00CC43DC">
      <w:pPr>
        <w:pStyle w:val="Plattetekstinspringen2"/>
        <w:ind w:left="0"/>
      </w:pPr>
      <w:r>
        <w:br w:type="page"/>
      </w:r>
      <w:r>
        <w:lastRenderedPageBreak/>
        <w:t xml:space="preserve">Overzicht suppletoire ontvangstenmutaties voor 2015 </w:t>
      </w:r>
      <w:r w:rsidRPr="001B1D62">
        <w:rPr>
          <w:rFonts w:cs="Arial"/>
          <w:bCs/>
        </w:rPr>
        <w:t>(Eerste suppletoire begroting)</w:t>
      </w:r>
      <w:r w:rsidRPr="00D17FFA">
        <w:rPr>
          <w:rFonts w:cs="Arial"/>
          <w:b/>
          <w:bCs/>
        </w:rPr>
        <w:t xml:space="preserve"> </w:t>
      </w:r>
      <w:r>
        <w:t xml:space="preserve"> (bedragen x € 1.000)</w:t>
      </w:r>
    </w:p>
    <w:p w:rsidR="00CC43DC" w:rsidRDefault="00CC43DC" w:rsidP="00CC43DC">
      <w:pPr>
        <w:pStyle w:val="Plattetekstinspringen2"/>
        <w:ind w:left="0"/>
      </w:pPr>
    </w:p>
    <w:p w:rsidR="00CC43DC" w:rsidRDefault="00CC43DC" w:rsidP="00CC43DC">
      <w:pPr>
        <w:pStyle w:val="Plattetekstinspringen2"/>
        <w:ind w:left="0"/>
      </w:pPr>
    </w:p>
    <w:p w:rsidR="00CC43DC" w:rsidRDefault="00CC43DC" w:rsidP="00CC43DC">
      <w:pPr>
        <w:pStyle w:val="Plattetekstinspringen2"/>
        <w:ind w:left="0"/>
      </w:pPr>
    </w:p>
    <w:tbl>
      <w:tblPr>
        <w:tblW w:w="6880" w:type="dxa"/>
        <w:tblInd w:w="55" w:type="dxa"/>
        <w:tblCellMar>
          <w:left w:w="70" w:type="dxa"/>
          <w:right w:w="70" w:type="dxa"/>
        </w:tblCellMar>
        <w:tblLook w:val="04A0" w:firstRow="1" w:lastRow="0" w:firstColumn="1" w:lastColumn="0" w:noHBand="0" w:noVBand="1"/>
      </w:tblPr>
      <w:tblGrid>
        <w:gridCol w:w="252"/>
        <w:gridCol w:w="5398"/>
        <w:gridCol w:w="1230"/>
      </w:tblGrid>
      <w:tr w:rsidR="00CC43DC" w:rsidRPr="001B1D62" w:rsidTr="00175626">
        <w:trPr>
          <w:trHeight w:val="465"/>
        </w:trPr>
        <w:tc>
          <w:tcPr>
            <w:tcW w:w="200" w:type="dxa"/>
            <w:tcBorders>
              <w:top w:val="single" w:sz="8" w:space="0" w:color="auto"/>
              <w:left w:val="nil"/>
              <w:bottom w:val="single" w:sz="8" w:space="0" w:color="auto"/>
              <w:right w:val="nil"/>
            </w:tcBorders>
            <w:shd w:val="clear" w:color="auto" w:fill="auto"/>
            <w:vAlign w:val="center"/>
            <w:hideMark/>
          </w:tcPr>
          <w:p w:rsidR="00CC43DC" w:rsidRPr="001B1D62" w:rsidRDefault="00CC43DC" w:rsidP="00175626">
            <w:pPr>
              <w:rPr>
                <w:rFonts w:cs="Arial"/>
                <w:lang w:val="nl-NL"/>
              </w:rPr>
            </w:pPr>
            <w:r w:rsidRPr="001B1D62">
              <w:rPr>
                <w:rFonts w:cs="Arial"/>
                <w:lang w:val="nl-NL"/>
              </w:rPr>
              <w:t> </w:t>
            </w:r>
          </w:p>
        </w:tc>
        <w:tc>
          <w:tcPr>
            <w:tcW w:w="5680" w:type="dxa"/>
            <w:tcBorders>
              <w:top w:val="single" w:sz="8" w:space="0" w:color="auto"/>
              <w:left w:val="nil"/>
              <w:bottom w:val="single" w:sz="8" w:space="0" w:color="auto"/>
              <w:right w:val="nil"/>
            </w:tcBorders>
            <w:shd w:val="clear" w:color="auto" w:fill="auto"/>
            <w:vAlign w:val="center"/>
            <w:hideMark/>
          </w:tcPr>
          <w:p w:rsidR="00CC43DC" w:rsidRPr="001B1D62" w:rsidRDefault="00CC43DC" w:rsidP="00175626">
            <w:pPr>
              <w:rPr>
                <w:rFonts w:cs="Arial"/>
                <w:lang w:val="nl-NL"/>
              </w:rPr>
            </w:pPr>
            <w:r w:rsidRPr="001B1D62">
              <w:rPr>
                <w:rFonts w:cs="Arial"/>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CC43DC" w:rsidRPr="001B1D62" w:rsidRDefault="00CC43DC" w:rsidP="00175626">
            <w:pPr>
              <w:jc w:val="right"/>
              <w:rPr>
                <w:rFonts w:cs="Arial"/>
                <w:lang w:val="nl-NL"/>
              </w:rPr>
            </w:pPr>
            <w:r w:rsidRPr="001B1D62">
              <w:rPr>
                <w:rFonts w:cs="Arial"/>
                <w:lang w:val="nl-NL"/>
              </w:rPr>
              <w:t>ontvangsten</w:t>
            </w:r>
          </w:p>
        </w:tc>
      </w:tr>
      <w:tr w:rsidR="00CC43DC" w:rsidRPr="001B1D62" w:rsidTr="00175626">
        <w:trPr>
          <w:trHeight w:val="300"/>
        </w:trPr>
        <w:tc>
          <w:tcPr>
            <w:tcW w:w="200" w:type="dxa"/>
            <w:tcBorders>
              <w:top w:val="nil"/>
              <w:left w:val="nil"/>
              <w:bottom w:val="nil"/>
              <w:right w:val="nil"/>
            </w:tcBorders>
            <w:shd w:val="clear" w:color="auto" w:fill="auto"/>
            <w:noWrap/>
            <w:vAlign w:val="bottom"/>
            <w:hideMark/>
          </w:tcPr>
          <w:p w:rsidR="00CC43DC" w:rsidRPr="001B1D62" w:rsidRDefault="00CC43DC" w:rsidP="00175626">
            <w:pPr>
              <w:rPr>
                <w:rFonts w:ascii="Calibri" w:hAnsi="Calibri"/>
                <w:lang w:val="nl-NL"/>
              </w:rPr>
            </w:pPr>
          </w:p>
        </w:tc>
        <w:tc>
          <w:tcPr>
            <w:tcW w:w="5680" w:type="dxa"/>
            <w:tcBorders>
              <w:top w:val="nil"/>
              <w:left w:val="nil"/>
              <w:bottom w:val="nil"/>
              <w:right w:val="nil"/>
            </w:tcBorders>
            <w:shd w:val="clear" w:color="auto" w:fill="auto"/>
            <w:vAlign w:val="center"/>
            <w:hideMark/>
          </w:tcPr>
          <w:p w:rsidR="00CC43DC" w:rsidRPr="001B1D62" w:rsidRDefault="00CC43DC" w:rsidP="00175626">
            <w:pPr>
              <w:rPr>
                <w:rFonts w:cs="Arial"/>
                <w:b/>
                <w:bCs/>
                <w:lang w:val="nl-NL"/>
              </w:rPr>
            </w:pPr>
            <w:r w:rsidRPr="001B1D62">
              <w:rPr>
                <w:rFonts w:cs="Arial"/>
                <w:b/>
                <w:bCs/>
                <w:lang w:val="nl-NL"/>
              </w:rPr>
              <w:t>Stand ontwerpbegroting 2015</w:t>
            </w:r>
          </w:p>
        </w:tc>
        <w:tc>
          <w:tcPr>
            <w:tcW w:w="1000" w:type="dxa"/>
            <w:tcBorders>
              <w:top w:val="nil"/>
              <w:left w:val="nil"/>
              <w:bottom w:val="nil"/>
              <w:right w:val="nil"/>
            </w:tcBorders>
            <w:shd w:val="clear" w:color="auto" w:fill="auto"/>
            <w:vAlign w:val="center"/>
            <w:hideMark/>
          </w:tcPr>
          <w:p w:rsidR="00CC43DC" w:rsidRPr="001B1D62" w:rsidRDefault="00CC43DC" w:rsidP="00175626">
            <w:pPr>
              <w:jc w:val="right"/>
              <w:rPr>
                <w:rFonts w:cs="Arial"/>
                <w:b/>
                <w:bCs/>
                <w:lang w:val="nl-NL"/>
              </w:rPr>
            </w:pPr>
            <w:r w:rsidRPr="001B1D62">
              <w:rPr>
                <w:rFonts w:cs="Arial"/>
                <w:b/>
                <w:bCs/>
                <w:lang w:val="nl-NL"/>
              </w:rPr>
              <w:t>4.295</w:t>
            </w:r>
          </w:p>
        </w:tc>
      </w:tr>
      <w:tr w:rsidR="00CC43DC" w:rsidRPr="001B1D62" w:rsidTr="00175626">
        <w:trPr>
          <w:trHeight w:val="300"/>
        </w:trPr>
        <w:tc>
          <w:tcPr>
            <w:tcW w:w="200" w:type="dxa"/>
            <w:tcBorders>
              <w:top w:val="nil"/>
              <w:left w:val="nil"/>
              <w:bottom w:val="nil"/>
              <w:right w:val="nil"/>
            </w:tcBorders>
            <w:shd w:val="clear" w:color="auto" w:fill="auto"/>
            <w:noWrap/>
            <w:vAlign w:val="bottom"/>
            <w:hideMark/>
          </w:tcPr>
          <w:p w:rsidR="00CC43DC" w:rsidRPr="001B1D62" w:rsidRDefault="00CC43DC" w:rsidP="00175626">
            <w:pPr>
              <w:rPr>
                <w:rFonts w:ascii="Calibri" w:hAnsi="Calibri"/>
                <w:lang w:val="nl-NL"/>
              </w:rPr>
            </w:pPr>
          </w:p>
        </w:tc>
        <w:tc>
          <w:tcPr>
            <w:tcW w:w="5680" w:type="dxa"/>
            <w:tcBorders>
              <w:top w:val="nil"/>
              <w:left w:val="nil"/>
              <w:bottom w:val="nil"/>
              <w:right w:val="nil"/>
            </w:tcBorders>
            <w:shd w:val="clear" w:color="auto" w:fill="auto"/>
            <w:vAlign w:val="center"/>
            <w:hideMark/>
          </w:tcPr>
          <w:p w:rsidR="00CC43DC" w:rsidRPr="001B1D62" w:rsidRDefault="00CC43DC" w:rsidP="00175626">
            <w:pPr>
              <w:rPr>
                <w:rFonts w:cs="Arial"/>
                <w:lang w:val="nl-NL"/>
              </w:rPr>
            </w:pPr>
          </w:p>
        </w:tc>
        <w:tc>
          <w:tcPr>
            <w:tcW w:w="1000" w:type="dxa"/>
            <w:tcBorders>
              <w:top w:val="nil"/>
              <w:left w:val="nil"/>
              <w:bottom w:val="nil"/>
              <w:right w:val="nil"/>
            </w:tcBorders>
            <w:shd w:val="clear" w:color="auto" w:fill="auto"/>
            <w:vAlign w:val="center"/>
            <w:hideMark/>
          </w:tcPr>
          <w:p w:rsidR="00CC43DC" w:rsidRPr="001B1D62" w:rsidRDefault="00CC43DC" w:rsidP="00175626">
            <w:pPr>
              <w:jc w:val="center"/>
              <w:rPr>
                <w:rFonts w:cs="Arial"/>
                <w:lang w:val="nl-NL"/>
              </w:rPr>
            </w:pPr>
          </w:p>
        </w:tc>
      </w:tr>
      <w:tr w:rsidR="00CC43DC" w:rsidRPr="001B1D62" w:rsidTr="00175626">
        <w:trPr>
          <w:trHeight w:val="300"/>
        </w:trPr>
        <w:tc>
          <w:tcPr>
            <w:tcW w:w="200" w:type="dxa"/>
            <w:tcBorders>
              <w:top w:val="nil"/>
              <w:left w:val="nil"/>
              <w:bottom w:val="nil"/>
              <w:right w:val="nil"/>
            </w:tcBorders>
            <w:shd w:val="clear" w:color="auto" w:fill="auto"/>
            <w:noWrap/>
            <w:vAlign w:val="bottom"/>
            <w:hideMark/>
          </w:tcPr>
          <w:p w:rsidR="00CC43DC" w:rsidRPr="001B1D62" w:rsidRDefault="00CC43DC" w:rsidP="00175626">
            <w:pPr>
              <w:rPr>
                <w:rFonts w:ascii="Calibri" w:hAnsi="Calibri"/>
                <w:lang w:val="nl-NL"/>
              </w:rPr>
            </w:pPr>
          </w:p>
        </w:tc>
        <w:tc>
          <w:tcPr>
            <w:tcW w:w="5680" w:type="dxa"/>
            <w:tcBorders>
              <w:top w:val="nil"/>
              <w:left w:val="nil"/>
              <w:bottom w:val="nil"/>
              <w:right w:val="nil"/>
            </w:tcBorders>
            <w:shd w:val="clear" w:color="auto" w:fill="auto"/>
            <w:vAlign w:val="center"/>
            <w:hideMark/>
          </w:tcPr>
          <w:p w:rsidR="00CC43DC" w:rsidRPr="001B1D62" w:rsidRDefault="00CC43DC" w:rsidP="00175626">
            <w:pPr>
              <w:rPr>
                <w:rFonts w:cs="Arial"/>
                <w:lang w:val="nl-NL"/>
              </w:rPr>
            </w:pPr>
            <w:r w:rsidRPr="001B1D62">
              <w:rPr>
                <w:rFonts w:cs="Arial"/>
                <w:lang w:val="nl-NL"/>
              </w:rPr>
              <w:t xml:space="preserve">Suppletoire mutatie: </w:t>
            </w:r>
          </w:p>
        </w:tc>
        <w:tc>
          <w:tcPr>
            <w:tcW w:w="1000" w:type="dxa"/>
            <w:tcBorders>
              <w:top w:val="nil"/>
              <w:left w:val="nil"/>
              <w:bottom w:val="nil"/>
              <w:right w:val="nil"/>
            </w:tcBorders>
            <w:shd w:val="clear" w:color="auto" w:fill="auto"/>
            <w:vAlign w:val="center"/>
            <w:hideMark/>
          </w:tcPr>
          <w:p w:rsidR="00CC43DC" w:rsidRPr="001B1D62" w:rsidRDefault="00CC43DC" w:rsidP="00175626">
            <w:pPr>
              <w:jc w:val="right"/>
              <w:rPr>
                <w:rFonts w:cs="Arial"/>
                <w:lang w:val="nl-NL"/>
              </w:rPr>
            </w:pPr>
          </w:p>
        </w:tc>
      </w:tr>
      <w:tr w:rsidR="00CC43DC" w:rsidRPr="001B1D62" w:rsidTr="00175626">
        <w:trPr>
          <w:trHeight w:val="300"/>
        </w:trPr>
        <w:tc>
          <w:tcPr>
            <w:tcW w:w="200" w:type="dxa"/>
            <w:tcBorders>
              <w:top w:val="nil"/>
              <w:left w:val="nil"/>
              <w:bottom w:val="nil"/>
              <w:right w:val="nil"/>
            </w:tcBorders>
            <w:shd w:val="clear" w:color="auto" w:fill="auto"/>
            <w:vAlign w:val="center"/>
            <w:hideMark/>
          </w:tcPr>
          <w:p w:rsidR="00CC43DC" w:rsidRPr="001B1D62" w:rsidRDefault="00CC43DC" w:rsidP="00175626">
            <w:pPr>
              <w:jc w:val="right"/>
              <w:rPr>
                <w:rFonts w:cs="Arial"/>
                <w:lang w:val="nl-NL"/>
              </w:rPr>
            </w:pPr>
            <w:r w:rsidRPr="001B1D62">
              <w:rPr>
                <w:rFonts w:cs="Arial"/>
                <w:lang w:val="nl-NL"/>
              </w:rPr>
              <w:t>1</w:t>
            </w:r>
          </w:p>
        </w:tc>
        <w:tc>
          <w:tcPr>
            <w:tcW w:w="5680" w:type="dxa"/>
            <w:tcBorders>
              <w:top w:val="nil"/>
              <w:left w:val="nil"/>
              <w:bottom w:val="nil"/>
              <w:right w:val="nil"/>
            </w:tcBorders>
            <w:shd w:val="clear" w:color="auto" w:fill="auto"/>
            <w:vAlign w:val="center"/>
            <w:hideMark/>
          </w:tcPr>
          <w:p w:rsidR="00CC43DC" w:rsidRPr="001B1D62" w:rsidRDefault="00CC43DC" w:rsidP="00175626">
            <w:pPr>
              <w:rPr>
                <w:rFonts w:cs="Arial"/>
                <w:lang w:val="nl-NL"/>
              </w:rPr>
            </w:pPr>
            <w:r w:rsidRPr="001B1D62">
              <w:rPr>
                <w:rFonts w:cs="Arial"/>
                <w:lang w:val="nl-NL"/>
              </w:rPr>
              <w:t>Desaldering winstuitkering DPC</w:t>
            </w:r>
          </w:p>
        </w:tc>
        <w:tc>
          <w:tcPr>
            <w:tcW w:w="1000" w:type="dxa"/>
            <w:tcBorders>
              <w:top w:val="nil"/>
              <w:left w:val="nil"/>
              <w:bottom w:val="nil"/>
              <w:right w:val="nil"/>
            </w:tcBorders>
            <w:shd w:val="clear" w:color="auto" w:fill="auto"/>
            <w:vAlign w:val="center"/>
            <w:hideMark/>
          </w:tcPr>
          <w:p w:rsidR="00CC43DC" w:rsidRPr="001B1D62" w:rsidRDefault="00CC43DC" w:rsidP="00175626">
            <w:pPr>
              <w:jc w:val="right"/>
              <w:rPr>
                <w:rFonts w:cs="Arial"/>
                <w:lang w:val="nl-NL"/>
              </w:rPr>
            </w:pPr>
            <w:r w:rsidRPr="001B1D62">
              <w:rPr>
                <w:rFonts w:cs="Arial"/>
                <w:lang w:val="nl-NL"/>
              </w:rPr>
              <w:t>301</w:t>
            </w:r>
          </w:p>
        </w:tc>
      </w:tr>
      <w:tr w:rsidR="00CC43DC" w:rsidRPr="001B1D62" w:rsidTr="00175626">
        <w:trPr>
          <w:trHeight w:val="300"/>
        </w:trPr>
        <w:tc>
          <w:tcPr>
            <w:tcW w:w="200" w:type="dxa"/>
            <w:tcBorders>
              <w:top w:val="nil"/>
              <w:left w:val="nil"/>
              <w:bottom w:val="nil"/>
              <w:right w:val="nil"/>
            </w:tcBorders>
            <w:shd w:val="clear" w:color="auto" w:fill="auto"/>
            <w:vAlign w:val="center"/>
            <w:hideMark/>
          </w:tcPr>
          <w:p w:rsidR="00CC43DC" w:rsidRPr="001B1D62" w:rsidRDefault="00CC43DC" w:rsidP="00175626">
            <w:pPr>
              <w:jc w:val="right"/>
              <w:rPr>
                <w:rFonts w:cs="Arial"/>
                <w:lang w:val="nl-NL"/>
              </w:rPr>
            </w:pPr>
            <w:r w:rsidRPr="001B1D62">
              <w:rPr>
                <w:rFonts w:cs="Arial"/>
                <w:lang w:val="nl-NL"/>
              </w:rPr>
              <w:t>2</w:t>
            </w:r>
          </w:p>
        </w:tc>
        <w:tc>
          <w:tcPr>
            <w:tcW w:w="5680" w:type="dxa"/>
            <w:tcBorders>
              <w:top w:val="nil"/>
              <w:left w:val="nil"/>
              <w:bottom w:val="nil"/>
              <w:right w:val="nil"/>
            </w:tcBorders>
            <w:shd w:val="clear" w:color="auto" w:fill="auto"/>
            <w:vAlign w:val="center"/>
            <w:hideMark/>
          </w:tcPr>
          <w:p w:rsidR="00CC43DC" w:rsidRPr="001B1D62" w:rsidRDefault="00CC43DC" w:rsidP="00175626">
            <w:pPr>
              <w:rPr>
                <w:rFonts w:cs="Arial"/>
                <w:lang w:val="nl-NL"/>
              </w:rPr>
            </w:pPr>
            <w:r w:rsidRPr="001B1D62">
              <w:rPr>
                <w:rFonts w:cs="Arial"/>
                <w:lang w:val="nl-NL"/>
              </w:rPr>
              <w:t xml:space="preserve">Communicatie Koninklijk Huis </w:t>
            </w:r>
          </w:p>
        </w:tc>
        <w:tc>
          <w:tcPr>
            <w:tcW w:w="1000" w:type="dxa"/>
            <w:tcBorders>
              <w:top w:val="nil"/>
              <w:left w:val="nil"/>
              <w:bottom w:val="nil"/>
              <w:right w:val="nil"/>
            </w:tcBorders>
            <w:shd w:val="clear" w:color="auto" w:fill="auto"/>
            <w:vAlign w:val="center"/>
            <w:hideMark/>
          </w:tcPr>
          <w:p w:rsidR="00CC43DC" w:rsidRPr="001B1D62" w:rsidRDefault="00CC43DC" w:rsidP="00175626">
            <w:pPr>
              <w:jc w:val="right"/>
              <w:rPr>
                <w:rFonts w:cs="Arial"/>
                <w:lang w:val="nl-NL"/>
              </w:rPr>
            </w:pPr>
            <w:r w:rsidRPr="001B1D62">
              <w:rPr>
                <w:rFonts w:cs="Arial"/>
                <w:lang w:val="nl-NL"/>
              </w:rPr>
              <w:t>86</w:t>
            </w:r>
          </w:p>
        </w:tc>
      </w:tr>
      <w:tr w:rsidR="00CC43DC" w:rsidRPr="001B1D62" w:rsidTr="00175626">
        <w:trPr>
          <w:trHeight w:val="315"/>
        </w:trPr>
        <w:tc>
          <w:tcPr>
            <w:tcW w:w="200" w:type="dxa"/>
            <w:tcBorders>
              <w:top w:val="nil"/>
              <w:left w:val="nil"/>
              <w:bottom w:val="nil"/>
              <w:right w:val="nil"/>
            </w:tcBorders>
            <w:shd w:val="clear" w:color="auto" w:fill="auto"/>
            <w:vAlign w:val="center"/>
            <w:hideMark/>
          </w:tcPr>
          <w:p w:rsidR="00CC43DC" w:rsidRPr="001B1D62" w:rsidRDefault="00CC43DC" w:rsidP="00175626">
            <w:pPr>
              <w:jc w:val="right"/>
              <w:rPr>
                <w:rFonts w:cs="Arial"/>
                <w:lang w:val="nl-NL"/>
              </w:rPr>
            </w:pPr>
            <w:r w:rsidRPr="001B1D62">
              <w:rPr>
                <w:rFonts w:cs="Arial"/>
                <w:lang w:val="nl-NL"/>
              </w:rPr>
              <w:t>3</w:t>
            </w:r>
          </w:p>
        </w:tc>
        <w:tc>
          <w:tcPr>
            <w:tcW w:w="5680" w:type="dxa"/>
            <w:tcBorders>
              <w:top w:val="nil"/>
              <w:left w:val="nil"/>
              <w:bottom w:val="nil"/>
              <w:right w:val="nil"/>
            </w:tcBorders>
            <w:shd w:val="clear" w:color="auto" w:fill="auto"/>
            <w:vAlign w:val="center"/>
            <w:hideMark/>
          </w:tcPr>
          <w:p w:rsidR="00CC43DC" w:rsidRPr="001B1D62" w:rsidRDefault="00CC43DC" w:rsidP="00175626">
            <w:pPr>
              <w:rPr>
                <w:rFonts w:cs="Arial"/>
                <w:lang w:val="nl-NL"/>
              </w:rPr>
            </w:pPr>
            <w:r w:rsidRPr="001B1D62">
              <w:rPr>
                <w:rFonts w:cs="Arial"/>
                <w:lang w:val="nl-NL"/>
              </w:rPr>
              <w:t>Loon- en prijsbijstelling</w:t>
            </w:r>
          </w:p>
        </w:tc>
        <w:tc>
          <w:tcPr>
            <w:tcW w:w="1000" w:type="dxa"/>
            <w:tcBorders>
              <w:top w:val="nil"/>
              <w:left w:val="nil"/>
              <w:bottom w:val="nil"/>
              <w:right w:val="nil"/>
            </w:tcBorders>
            <w:shd w:val="clear" w:color="auto" w:fill="auto"/>
            <w:vAlign w:val="center"/>
            <w:hideMark/>
          </w:tcPr>
          <w:p w:rsidR="00CC43DC" w:rsidRPr="001B1D62" w:rsidRDefault="00CC43DC" w:rsidP="00175626">
            <w:pPr>
              <w:jc w:val="right"/>
              <w:rPr>
                <w:rFonts w:cs="Arial"/>
                <w:lang w:val="nl-NL"/>
              </w:rPr>
            </w:pPr>
            <w:r w:rsidRPr="001B1D62">
              <w:rPr>
                <w:rFonts w:cs="Arial"/>
                <w:lang w:val="nl-NL"/>
              </w:rPr>
              <w:t>6</w:t>
            </w:r>
          </w:p>
        </w:tc>
      </w:tr>
      <w:tr w:rsidR="00CC43DC" w:rsidRPr="001B1D62" w:rsidTr="00175626">
        <w:trPr>
          <w:trHeight w:val="315"/>
        </w:trPr>
        <w:tc>
          <w:tcPr>
            <w:tcW w:w="200" w:type="dxa"/>
            <w:tcBorders>
              <w:top w:val="nil"/>
              <w:left w:val="nil"/>
              <w:bottom w:val="nil"/>
              <w:right w:val="nil"/>
            </w:tcBorders>
            <w:shd w:val="clear" w:color="auto" w:fill="auto"/>
            <w:vAlign w:val="center"/>
          </w:tcPr>
          <w:p w:rsidR="00CC43DC" w:rsidRPr="001B1D62" w:rsidRDefault="00CC43DC" w:rsidP="00175626">
            <w:pPr>
              <w:jc w:val="right"/>
              <w:rPr>
                <w:rFonts w:cs="Arial"/>
                <w:lang w:val="nl-NL"/>
              </w:rPr>
            </w:pPr>
          </w:p>
        </w:tc>
        <w:tc>
          <w:tcPr>
            <w:tcW w:w="5680" w:type="dxa"/>
            <w:tcBorders>
              <w:top w:val="nil"/>
              <w:left w:val="nil"/>
              <w:bottom w:val="nil"/>
              <w:right w:val="nil"/>
            </w:tcBorders>
            <w:shd w:val="clear" w:color="auto" w:fill="auto"/>
            <w:vAlign w:val="center"/>
          </w:tcPr>
          <w:p w:rsidR="00CC43DC" w:rsidRPr="001B1D62" w:rsidRDefault="00CC43DC" w:rsidP="00175626">
            <w:pPr>
              <w:rPr>
                <w:rFonts w:cs="Arial"/>
                <w:lang w:val="nl-NL"/>
              </w:rPr>
            </w:pPr>
          </w:p>
        </w:tc>
        <w:tc>
          <w:tcPr>
            <w:tcW w:w="1000" w:type="dxa"/>
            <w:tcBorders>
              <w:top w:val="nil"/>
              <w:left w:val="nil"/>
              <w:bottom w:val="nil"/>
              <w:right w:val="nil"/>
            </w:tcBorders>
            <w:shd w:val="clear" w:color="auto" w:fill="auto"/>
            <w:vAlign w:val="center"/>
          </w:tcPr>
          <w:p w:rsidR="00CC43DC" w:rsidRPr="001B1D62" w:rsidRDefault="00CC43DC" w:rsidP="00175626">
            <w:pPr>
              <w:jc w:val="right"/>
              <w:rPr>
                <w:rFonts w:cs="Arial"/>
                <w:lang w:val="nl-NL"/>
              </w:rPr>
            </w:pPr>
          </w:p>
        </w:tc>
      </w:tr>
      <w:tr w:rsidR="00CC43DC" w:rsidRPr="001B1D62" w:rsidTr="00175626">
        <w:trPr>
          <w:trHeight w:val="315"/>
        </w:trPr>
        <w:tc>
          <w:tcPr>
            <w:tcW w:w="200" w:type="dxa"/>
            <w:tcBorders>
              <w:top w:val="nil"/>
              <w:left w:val="nil"/>
              <w:bottom w:val="single" w:sz="8" w:space="0" w:color="auto"/>
              <w:right w:val="nil"/>
            </w:tcBorders>
            <w:shd w:val="clear" w:color="auto" w:fill="auto"/>
            <w:noWrap/>
            <w:vAlign w:val="bottom"/>
            <w:hideMark/>
          </w:tcPr>
          <w:p w:rsidR="00CC43DC" w:rsidRPr="001B1D62" w:rsidRDefault="00CC43DC" w:rsidP="00175626">
            <w:pPr>
              <w:rPr>
                <w:rFonts w:ascii="Calibri" w:hAnsi="Calibri"/>
                <w:lang w:val="nl-NL"/>
              </w:rPr>
            </w:pPr>
            <w:r w:rsidRPr="001B1D62">
              <w:rPr>
                <w:rFonts w:ascii="Calibri" w:hAnsi="Calibri"/>
                <w:lang w:val="nl-NL"/>
              </w:rPr>
              <w:t> </w:t>
            </w:r>
          </w:p>
        </w:tc>
        <w:tc>
          <w:tcPr>
            <w:tcW w:w="5680" w:type="dxa"/>
            <w:tcBorders>
              <w:top w:val="nil"/>
              <w:left w:val="nil"/>
              <w:bottom w:val="single" w:sz="8" w:space="0" w:color="auto"/>
              <w:right w:val="nil"/>
            </w:tcBorders>
            <w:shd w:val="clear" w:color="auto" w:fill="auto"/>
            <w:vAlign w:val="center"/>
            <w:hideMark/>
          </w:tcPr>
          <w:p w:rsidR="00CC43DC" w:rsidRPr="001B1D62" w:rsidRDefault="00CC43DC" w:rsidP="00175626">
            <w:pPr>
              <w:rPr>
                <w:rFonts w:cs="Arial"/>
                <w:b/>
                <w:bCs/>
                <w:lang w:val="nl-NL"/>
              </w:rPr>
            </w:pPr>
            <w:r w:rsidRPr="001B1D62">
              <w:rPr>
                <w:rFonts w:cs="Arial"/>
                <w:b/>
                <w:bCs/>
                <w:lang w:val="nl-NL"/>
              </w:rPr>
              <w:t>Stand na 1e suppletoire begroting 2015</w:t>
            </w:r>
          </w:p>
        </w:tc>
        <w:tc>
          <w:tcPr>
            <w:tcW w:w="1000" w:type="dxa"/>
            <w:tcBorders>
              <w:top w:val="nil"/>
              <w:left w:val="nil"/>
              <w:bottom w:val="single" w:sz="8" w:space="0" w:color="auto"/>
              <w:right w:val="nil"/>
            </w:tcBorders>
            <w:shd w:val="clear" w:color="auto" w:fill="auto"/>
            <w:vAlign w:val="center"/>
            <w:hideMark/>
          </w:tcPr>
          <w:p w:rsidR="00CC43DC" w:rsidRPr="001B1D62" w:rsidRDefault="00CC43DC" w:rsidP="00175626">
            <w:pPr>
              <w:jc w:val="right"/>
              <w:rPr>
                <w:rFonts w:cs="Arial"/>
                <w:b/>
                <w:bCs/>
                <w:lang w:val="nl-NL"/>
              </w:rPr>
            </w:pPr>
            <w:r w:rsidRPr="001B1D62">
              <w:rPr>
                <w:rFonts w:cs="Arial"/>
                <w:b/>
                <w:bCs/>
                <w:lang w:val="nl-NL"/>
              </w:rPr>
              <w:t>4.688</w:t>
            </w:r>
          </w:p>
        </w:tc>
      </w:tr>
    </w:tbl>
    <w:p w:rsidR="00CC43DC" w:rsidRDefault="00CC43DC" w:rsidP="00CC43DC">
      <w:pPr>
        <w:pStyle w:val="Plattetekstinspringen2"/>
        <w:ind w:left="0"/>
      </w:pPr>
    </w:p>
    <w:p w:rsidR="00CC43DC" w:rsidRDefault="00CC43DC" w:rsidP="00CC43DC">
      <w:pPr>
        <w:pStyle w:val="Plattetekstinspringen2"/>
        <w:ind w:left="0"/>
      </w:pPr>
    </w:p>
    <w:p w:rsidR="00CC43DC" w:rsidRDefault="00CC43DC" w:rsidP="00CC43DC">
      <w:pPr>
        <w:pStyle w:val="Plattetekstinspringen2"/>
        <w:tabs>
          <w:tab w:val="left" w:pos="567"/>
        </w:tabs>
        <w:ind w:left="0"/>
        <w:rPr>
          <w:u w:val="single"/>
        </w:rPr>
      </w:pPr>
      <w:r w:rsidRPr="00E94D70">
        <w:rPr>
          <w:u w:val="single"/>
        </w:rPr>
        <w:t>Toelichting</w:t>
      </w:r>
    </w:p>
    <w:p w:rsidR="00CC43DC" w:rsidRDefault="00CC43DC" w:rsidP="00CC43DC">
      <w:pPr>
        <w:pStyle w:val="Plattetekstinspringen2"/>
        <w:tabs>
          <w:tab w:val="left" w:pos="567"/>
        </w:tabs>
        <w:ind w:left="0"/>
      </w:pPr>
    </w:p>
    <w:p w:rsidR="00CC43DC" w:rsidRDefault="00CC43DC" w:rsidP="00CC43DC">
      <w:pPr>
        <w:pStyle w:val="Plattetekstinspringen2"/>
        <w:ind w:left="0"/>
        <w:rPr>
          <w:color w:val="auto"/>
        </w:rPr>
      </w:pPr>
      <w:r>
        <w:rPr>
          <w:color w:val="auto"/>
        </w:rPr>
        <w:t>1</w:t>
      </w:r>
      <w:r w:rsidRPr="00446803">
        <w:rPr>
          <w:color w:val="auto"/>
        </w:rPr>
        <w:t>)</w:t>
      </w:r>
      <w:r w:rsidRPr="00692F4A">
        <w:rPr>
          <w:color w:val="auto"/>
        </w:rPr>
        <w:t xml:space="preserve"> </w:t>
      </w:r>
      <w:r>
        <w:t xml:space="preserve">Het betreft de </w:t>
      </w:r>
      <w:r w:rsidRPr="007E44AD">
        <w:t xml:space="preserve">afroming van het eigen vermogen </w:t>
      </w:r>
      <w:r>
        <w:t>van het agentschap Dienst Publiek en Communicatie van € 301.000 vanwege het overschrijden van het toegestane maximum van het eigen vermogen in 2014. Dit is verwerkt als een desaldering, de uitgaven die aan deze ontvangsten zijn gerelateerd zullen op het gebied van automatisering worden gedaan</w:t>
      </w:r>
      <w:r>
        <w:rPr>
          <w:color w:val="auto"/>
        </w:rPr>
        <w:t>.</w:t>
      </w:r>
    </w:p>
    <w:p w:rsidR="00CC43DC" w:rsidRDefault="00CC43DC" w:rsidP="00CC43DC">
      <w:pPr>
        <w:pStyle w:val="Plattetekstinspringen2"/>
        <w:ind w:left="0"/>
        <w:rPr>
          <w:color w:val="auto"/>
        </w:rPr>
      </w:pPr>
    </w:p>
    <w:p w:rsidR="00CC43DC" w:rsidRPr="00BB1C9D" w:rsidRDefault="00CC43DC" w:rsidP="00CC43DC">
      <w:pPr>
        <w:pStyle w:val="Plattetekstinspringen2"/>
        <w:ind w:left="0"/>
        <w:rPr>
          <w:color w:val="auto"/>
        </w:rPr>
      </w:pPr>
      <w:r w:rsidRPr="00BB1C9D">
        <w:rPr>
          <w:color w:val="auto"/>
        </w:rPr>
        <w:t xml:space="preserve">2) Dit betreft </w:t>
      </w:r>
      <w:r w:rsidRPr="00BB1C9D">
        <w:t>een technische ontvangstenmutatie als gevolg van de doorbelasting naar de begroting van de Koning in het kader van de communicatie over het Koninklijk Huis, zoals toegelicht in de eerste suppletoire begroting van de Koning 2015</w:t>
      </w:r>
      <w:r w:rsidRPr="00BB1C9D">
        <w:rPr>
          <w:color w:val="auto"/>
        </w:rPr>
        <w:t>.</w:t>
      </w:r>
    </w:p>
    <w:p w:rsidR="00CC43DC" w:rsidRPr="00BB1C9D" w:rsidRDefault="00CC43DC" w:rsidP="00CC43DC">
      <w:pPr>
        <w:pStyle w:val="Plattetekstinspringen2"/>
        <w:ind w:left="0"/>
        <w:rPr>
          <w:color w:val="auto"/>
        </w:rPr>
      </w:pPr>
    </w:p>
    <w:p w:rsidR="00CC43DC" w:rsidRDefault="00CC43DC" w:rsidP="00CC43DC">
      <w:pPr>
        <w:pStyle w:val="Plattetekstinspringen2"/>
        <w:ind w:left="0"/>
        <w:rPr>
          <w:color w:val="auto"/>
        </w:rPr>
      </w:pPr>
      <w:r w:rsidRPr="00BB1C9D">
        <w:rPr>
          <w:color w:val="auto"/>
        </w:rPr>
        <w:t xml:space="preserve">3) Dit betreft een technische </w:t>
      </w:r>
      <w:r w:rsidRPr="00BB1C9D">
        <w:t>ontvangsten</w:t>
      </w:r>
      <w:r w:rsidRPr="00BB1C9D">
        <w:rPr>
          <w:color w:val="auto"/>
        </w:rPr>
        <w:t xml:space="preserve">mutatie </w:t>
      </w:r>
      <w:r w:rsidRPr="00BB1C9D">
        <w:t>als gevolg</w:t>
      </w:r>
      <w:r w:rsidRPr="00BB1C9D">
        <w:rPr>
          <w:color w:val="auto"/>
        </w:rPr>
        <w:t xml:space="preserve"> van de doorbelasting </w:t>
      </w:r>
      <w:r w:rsidRPr="00BB1C9D">
        <w:t>van loon- en prijsbijstelling naar</w:t>
      </w:r>
      <w:r w:rsidRPr="00BB1C9D">
        <w:rPr>
          <w:color w:val="auto"/>
        </w:rPr>
        <w:t xml:space="preserve"> de begroting </w:t>
      </w:r>
      <w:r>
        <w:rPr>
          <w:color w:val="auto"/>
        </w:rPr>
        <w:t xml:space="preserve">van </w:t>
      </w:r>
      <w:r w:rsidRPr="00BB1C9D">
        <w:rPr>
          <w:color w:val="auto"/>
        </w:rPr>
        <w:t>de Koning.</w:t>
      </w:r>
    </w:p>
    <w:p w:rsidR="00CC43DC" w:rsidRDefault="00CC43DC" w:rsidP="00CC43DC">
      <w:pPr>
        <w:pStyle w:val="Plattetekstinspringen2"/>
        <w:ind w:left="0"/>
        <w:rPr>
          <w:color w:val="auto"/>
        </w:rPr>
      </w:pPr>
    </w:p>
    <w:p w:rsidR="00CC43DC" w:rsidRDefault="00CC43DC" w:rsidP="00CC43DC">
      <w:pPr>
        <w:pStyle w:val="Plattetekstinspringen2"/>
        <w:tabs>
          <w:tab w:val="left" w:pos="567"/>
        </w:tabs>
        <w:ind w:left="-426"/>
        <w:rPr>
          <w:b/>
        </w:rPr>
      </w:pPr>
      <w:r>
        <w:rPr>
          <w:b/>
        </w:rPr>
        <w:br w:type="page"/>
      </w:r>
      <w:r>
        <w:rPr>
          <w:b/>
        </w:rPr>
        <w:lastRenderedPageBreak/>
        <w:t>2.2</w:t>
      </w:r>
      <w:r>
        <w:rPr>
          <w:b/>
        </w:rPr>
        <w:tab/>
        <w:t>Beleidsartikel ‘Eenheid van het algemeen regeringsbeleid’</w:t>
      </w:r>
    </w:p>
    <w:p w:rsidR="00CC43DC" w:rsidRDefault="00CC43DC" w:rsidP="00CC43DC">
      <w:pPr>
        <w:pStyle w:val="Plattetekstinspringen2"/>
        <w:tabs>
          <w:tab w:val="left" w:pos="567"/>
        </w:tabs>
        <w:ind w:left="0"/>
        <w:rPr>
          <w:b/>
        </w:rPr>
      </w:pPr>
    </w:p>
    <w:p w:rsidR="00CC43DC" w:rsidRPr="00B26840" w:rsidRDefault="00CC43DC" w:rsidP="00CC43DC">
      <w:pPr>
        <w:pStyle w:val="Plattetekstinspringen2"/>
        <w:tabs>
          <w:tab w:val="left" w:pos="1134"/>
        </w:tabs>
        <w:ind w:left="0"/>
      </w:pPr>
    </w:p>
    <w:p w:rsidR="00CC43DC" w:rsidRDefault="00CC43DC" w:rsidP="00CC43DC">
      <w:pPr>
        <w:pStyle w:val="Kop1"/>
        <w:tabs>
          <w:tab w:val="clear" w:pos="2268"/>
          <w:tab w:val="left" w:pos="-426"/>
        </w:tabs>
        <w:ind w:left="-453"/>
        <w:rPr>
          <w:b w:val="0"/>
        </w:rPr>
      </w:pPr>
      <w:r w:rsidRPr="00B26840">
        <w:rPr>
          <w:b w:val="0"/>
        </w:rPr>
        <w:tab/>
        <w:t>Budgettaire gevolgen van beleid, Eenheid van het algemeen regeringsbeleid. (Eerste suppletoire begroting) (Bedragen x € 1.000)</w:t>
      </w:r>
    </w:p>
    <w:p w:rsidR="00CC43DC" w:rsidRDefault="00CC43DC" w:rsidP="00CC43DC">
      <w:pPr>
        <w:rPr>
          <w:lang w:val="nl-NL"/>
        </w:rPr>
      </w:pPr>
    </w:p>
    <w:p w:rsidR="00CC43DC" w:rsidRDefault="00CC43DC" w:rsidP="00CC43DC">
      <w:pPr>
        <w:rPr>
          <w:lang w:val="nl-NL"/>
        </w:rPr>
      </w:pPr>
    </w:p>
    <w:tbl>
      <w:tblPr>
        <w:tblW w:w="9360" w:type="dxa"/>
        <w:tblInd w:w="-705" w:type="dxa"/>
        <w:tblCellMar>
          <w:left w:w="70" w:type="dxa"/>
          <w:right w:w="70" w:type="dxa"/>
        </w:tblCellMar>
        <w:tblLook w:val="04A0" w:firstRow="1" w:lastRow="0" w:firstColumn="1" w:lastColumn="0" w:noHBand="0" w:noVBand="1"/>
      </w:tblPr>
      <w:tblGrid>
        <w:gridCol w:w="1691"/>
        <w:gridCol w:w="1000"/>
        <w:gridCol w:w="891"/>
        <w:gridCol w:w="1151"/>
        <w:gridCol w:w="1160"/>
        <w:gridCol w:w="1021"/>
        <w:gridCol w:w="731"/>
        <w:gridCol w:w="731"/>
        <w:gridCol w:w="731"/>
        <w:gridCol w:w="731"/>
      </w:tblGrid>
      <w:tr w:rsidR="00CC43DC" w:rsidRPr="00981069" w:rsidTr="00175626">
        <w:trPr>
          <w:trHeight w:val="900"/>
        </w:trPr>
        <w:tc>
          <w:tcPr>
            <w:tcW w:w="1697" w:type="dxa"/>
            <w:vMerge w:val="restart"/>
            <w:tcBorders>
              <w:top w:val="nil"/>
              <w:left w:val="nil"/>
              <w:bottom w:val="single" w:sz="8" w:space="0" w:color="000000"/>
              <w:right w:val="nil"/>
            </w:tcBorders>
            <w:shd w:val="clear" w:color="auto" w:fill="auto"/>
            <w:vAlign w:val="center"/>
            <w:hideMark/>
          </w:tcPr>
          <w:p w:rsidR="00CC43DC" w:rsidRPr="00981069" w:rsidRDefault="00CC43DC" w:rsidP="00175626">
            <w:pPr>
              <w:rPr>
                <w:rFonts w:cs="Arial"/>
                <w:b/>
                <w:bCs/>
                <w:color w:val="auto"/>
                <w:sz w:val="18"/>
                <w:szCs w:val="18"/>
                <w:lang w:val="nl-NL"/>
              </w:rPr>
            </w:pPr>
          </w:p>
        </w:tc>
        <w:tc>
          <w:tcPr>
            <w:tcW w:w="1000" w:type="dxa"/>
            <w:vMerge w:val="restart"/>
            <w:tcBorders>
              <w:top w:val="nil"/>
              <w:left w:val="nil"/>
              <w:bottom w:val="single" w:sz="8" w:space="0" w:color="000000"/>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Stand ontwerp begroting (1)</w:t>
            </w:r>
          </w:p>
        </w:tc>
        <w:tc>
          <w:tcPr>
            <w:tcW w:w="840" w:type="dxa"/>
            <w:vMerge w:val="restart"/>
            <w:tcBorders>
              <w:top w:val="nil"/>
              <w:left w:val="nil"/>
              <w:bottom w:val="single" w:sz="8" w:space="0" w:color="000000"/>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Mutaties ontwerp begroting (2)</w:t>
            </w:r>
          </w:p>
        </w:tc>
        <w:tc>
          <w:tcPr>
            <w:tcW w:w="1080" w:type="dxa"/>
            <w:vMerge w:val="restart"/>
            <w:tcBorders>
              <w:top w:val="nil"/>
              <w:left w:val="nil"/>
              <w:bottom w:val="single" w:sz="8" w:space="0" w:color="000000"/>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Stand vastgestelde begroting (3=1+2)</w:t>
            </w:r>
          </w:p>
        </w:tc>
        <w:tc>
          <w:tcPr>
            <w:tcW w:w="1160" w:type="dxa"/>
            <w:vMerge w:val="restart"/>
            <w:tcBorders>
              <w:top w:val="nil"/>
              <w:left w:val="nil"/>
              <w:bottom w:val="single" w:sz="8" w:space="0" w:color="000000"/>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 xml:space="preserve"> Mutaties 1e suppletoire begroting (4)</w:t>
            </w: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 xml:space="preserve"> Stand 1e suppletoire begroting</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Mutatie</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Mutatie</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Mutatie</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Mutatie</w:t>
            </w:r>
          </w:p>
        </w:tc>
      </w:tr>
      <w:tr w:rsidR="00CC43DC" w:rsidRPr="00981069" w:rsidTr="00175626">
        <w:trPr>
          <w:trHeight w:val="315"/>
        </w:trPr>
        <w:tc>
          <w:tcPr>
            <w:tcW w:w="1697" w:type="dxa"/>
            <w:vMerge/>
            <w:tcBorders>
              <w:top w:val="nil"/>
              <w:left w:val="nil"/>
              <w:bottom w:val="single" w:sz="8" w:space="0" w:color="000000"/>
              <w:right w:val="nil"/>
            </w:tcBorders>
            <w:vAlign w:val="center"/>
            <w:hideMark/>
          </w:tcPr>
          <w:p w:rsidR="00CC43DC" w:rsidRPr="00981069" w:rsidRDefault="00CC43DC" w:rsidP="00175626">
            <w:pPr>
              <w:rPr>
                <w:rFonts w:cs="Arial"/>
                <w:b/>
                <w:bCs/>
                <w:color w:val="auto"/>
                <w:sz w:val="18"/>
                <w:szCs w:val="18"/>
                <w:lang w:val="nl-NL"/>
              </w:rPr>
            </w:pPr>
          </w:p>
        </w:tc>
        <w:tc>
          <w:tcPr>
            <w:tcW w:w="1000" w:type="dxa"/>
            <w:vMerge/>
            <w:tcBorders>
              <w:top w:val="nil"/>
              <w:left w:val="nil"/>
              <w:bottom w:val="single" w:sz="8" w:space="0" w:color="000000"/>
              <w:right w:val="nil"/>
            </w:tcBorders>
            <w:vAlign w:val="center"/>
            <w:hideMark/>
          </w:tcPr>
          <w:p w:rsidR="00CC43DC" w:rsidRPr="00981069" w:rsidRDefault="00CC43DC" w:rsidP="00175626">
            <w:pPr>
              <w:rPr>
                <w:rFonts w:cs="Arial"/>
                <w:color w:val="auto"/>
                <w:sz w:val="18"/>
                <w:szCs w:val="18"/>
                <w:lang w:val="nl-NL"/>
              </w:rPr>
            </w:pPr>
          </w:p>
        </w:tc>
        <w:tc>
          <w:tcPr>
            <w:tcW w:w="840" w:type="dxa"/>
            <w:vMerge/>
            <w:tcBorders>
              <w:top w:val="nil"/>
              <w:left w:val="nil"/>
              <w:bottom w:val="single" w:sz="8" w:space="0" w:color="000000"/>
              <w:right w:val="nil"/>
            </w:tcBorders>
            <w:vAlign w:val="center"/>
            <w:hideMark/>
          </w:tcPr>
          <w:p w:rsidR="00CC43DC" w:rsidRPr="00981069" w:rsidRDefault="00CC43DC" w:rsidP="00175626">
            <w:pPr>
              <w:rPr>
                <w:rFonts w:cs="Arial"/>
                <w:color w:val="auto"/>
                <w:sz w:val="18"/>
                <w:szCs w:val="18"/>
                <w:lang w:val="nl-NL"/>
              </w:rPr>
            </w:pPr>
          </w:p>
        </w:tc>
        <w:tc>
          <w:tcPr>
            <w:tcW w:w="1080" w:type="dxa"/>
            <w:vMerge/>
            <w:tcBorders>
              <w:top w:val="nil"/>
              <w:left w:val="nil"/>
              <w:bottom w:val="single" w:sz="8" w:space="0" w:color="000000"/>
              <w:right w:val="nil"/>
            </w:tcBorders>
            <w:vAlign w:val="center"/>
            <w:hideMark/>
          </w:tcPr>
          <w:p w:rsidR="00CC43DC" w:rsidRPr="00981069" w:rsidRDefault="00CC43DC" w:rsidP="00175626">
            <w:pPr>
              <w:rPr>
                <w:rFonts w:cs="Arial"/>
                <w:color w:val="auto"/>
                <w:sz w:val="18"/>
                <w:szCs w:val="18"/>
                <w:lang w:val="nl-NL"/>
              </w:rPr>
            </w:pPr>
          </w:p>
        </w:tc>
        <w:tc>
          <w:tcPr>
            <w:tcW w:w="1160" w:type="dxa"/>
            <w:vMerge/>
            <w:tcBorders>
              <w:top w:val="nil"/>
              <w:left w:val="nil"/>
              <w:bottom w:val="single" w:sz="8" w:space="0" w:color="000000"/>
              <w:right w:val="nil"/>
            </w:tcBorders>
            <w:vAlign w:val="center"/>
            <w:hideMark/>
          </w:tcPr>
          <w:p w:rsidR="00CC43DC" w:rsidRPr="00981069" w:rsidRDefault="00CC43DC" w:rsidP="00175626">
            <w:pPr>
              <w:rPr>
                <w:rFonts w:cs="Arial"/>
                <w:color w:val="auto"/>
                <w:sz w:val="18"/>
                <w:szCs w:val="18"/>
                <w:lang w:val="nl-NL"/>
              </w:rPr>
            </w:pPr>
          </w:p>
        </w:tc>
        <w:tc>
          <w:tcPr>
            <w:tcW w:w="923"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(5 = 3+4)</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2016</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2017</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2018</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color w:val="auto"/>
                <w:sz w:val="18"/>
                <w:szCs w:val="18"/>
                <w:lang w:val="nl-NL"/>
              </w:rPr>
            </w:pPr>
            <w:r w:rsidRPr="00981069">
              <w:rPr>
                <w:rFonts w:cs="Arial"/>
                <w:color w:val="auto"/>
                <w:sz w:val="18"/>
                <w:szCs w:val="18"/>
                <w:lang w:val="nl-NL"/>
              </w:rPr>
              <w:t>2019</w:t>
            </w: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b/>
                <w:bCs/>
                <w:sz w:val="18"/>
                <w:szCs w:val="18"/>
                <w:lang w:val="nl-NL"/>
              </w:rPr>
            </w:pPr>
            <w:r w:rsidRPr="00981069">
              <w:rPr>
                <w:rFonts w:cs="Arial"/>
                <w:b/>
                <w:bCs/>
                <w:sz w:val="18"/>
                <w:szCs w:val="18"/>
                <w:lang w:val="nl-NL"/>
              </w:rPr>
              <w:t>Verplichtingen</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59.429</w:t>
            </w:r>
          </w:p>
        </w:tc>
        <w:tc>
          <w:tcPr>
            <w:tcW w:w="84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0</w:t>
            </w:r>
          </w:p>
        </w:tc>
        <w:tc>
          <w:tcPr>
            <w:tcW w:w="108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59.429</w:t>
            </w:r>
          </w:p>
        </w:tc>
        <w:tc>
          <w:tcPr>
            <w:tcW w:w="116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408</w:t>
            </w: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59.837</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196</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195</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195</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195</w:t>
            </w: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84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108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116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b/>
                <w:bCs/>
                <w:sz w:val="18"/>
                <w:szCs w:val="18"/>
                <w:lang w:val="nl-NL"/>
              </w:rPr>
            </w:pPr>
            <w:r w:rsidRPr="00981069">
              <w:rPr>
                <w:rFonts w:cs="Arial"/>
                <w:b/>
                <w:bCs/>
                <w:sz w:val="18"/>
                <w:szCs w:val="18"/>
                <w:lang w:val="nl-NL"/>
              </w:rPr>
              <w:t>Uitgaven</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59.429</w:t>
            </w:r>
          </w:p>
        </w:tc>
        <w:tc>
          <w:tcPr>
            <w:tcW w:w="84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0</w:t>
            </w:r>
          </w:p>
        </w:tc>
        <w:tc>
          <w:tcPr>
            <w:tcW w:w="108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59.429</w:t>
            </w:r>
          </w:p>
        </w:tc>
        <w:tc>
          <w:tcPr>
            <w:tcW w:w="116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2.209</w:t>
            </w: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61.638</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196</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195</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195</w:t>
            </w: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195</w:t>
            </w: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r w:rsidRPr="00981069">
              <w:rPr>
                <w:rFonts w:cs="Arial"/>
                <w:sz w:val="18"/>
                <w:szCs w:val="18"/>
                <w:lang w:val="nl-NL"/>
              </w:rPr>
              <w:t>Programma-uitgaven</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84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1080"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116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r>
      <w:tr w:rsidR="00CC43DC" w:rsidRPr="00981069" w:rsidTr="00175626">
        <w:trPr>
          <w:trHeight w:val="675"/>
        </w:trPr>
        <w:tc>
          <w:tcPr>
            <w:tcW w:w="1697" w:type="dxa"/>
            <w:tcBorders>
              <w:top w:val="nil"/>
              <w:left w:val="nil"/>
              <w:bottom w:val="nil"/>
              <w:right w:val="nil"/>
            </w:tcBorders>
            <w:shd w:val="clear" w:color="auto" w:fill="auto"/>
            <w:vAlign w:val="center"/>
            <w:hideMark/>
          </w:tcPr>
          <w:p w:rsidR="00CC43DC" w:rsidRDefault="00CC43DC" w:rsidP="00175626">
            <w:pPr>
              <w:rPr>
                <w:rFonts w:cs="Arial"/>
                <w:sz w:val="18"/>
                <w:szCs w:val="18"/>
                <w:lang w:val="nl-NL"/>
              </w:rPr>
            </w:pPr>
          </w:p>
          <w:p w:rsidR="00CC43DC" w:rsidRPr="00981069" w:rsidRDefault="00CC43DC" w:rsidP="00175626">
            <w:pPr>
              <w:rPr>
                <w:rFonts w:cs="Arial"/>
                <w:sz w:val="18"/>
                <w:szCs w:val="18"/>
                <w:lang w:val="nl-NL"/>
              </w:rPr>
            </w:pPr>
            <w:r w:rsidRPr="00981069">
              <w:rPr>
                <w:rFonts w:cs="Arial"/>
                <w:sz w:val="18"/>
                <w:szCs w:val="18"/>
                <w:lang w:val="nl-NL"/>
              </w:rPr>
              <w:t>Coördinatie van het algemeen communicatie- en regeringsbeleid</w:t>
            </w:r>
            <w:r>
              <w:rPr>
                <w:rFonts w:cs="Arial"/>
                <w:sz w:val="18"/>
                <w:szCs w:val="18"/>
                <w:lang w:val="nl-NL"/>
              </w:rPr>
              <w:t xml:space="preserve"> </w:t>
            </w:r>
          </w:p>
        </w:tc>
        <w:tc>
          <w:tcPr>
            <w:tcW w:w="100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4.900</w:t>
            </w:r>
          </w:p>
        </w:tc>
        <w:tc>
          <w:tcPr>
            <w:tcW w:w="84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c>
          <w:tcPr>
            <w:tcW w:w="108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4.900</w:t>
            </w:r>
          </w:p>
        </w:tc>
        <w:tc>
          <w:tcPr>
            <w:tcW w:w="116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-11</w:t>
            </w:r>
          </w:p>
        </w:tc>
        <w:tc>
          <w:tcPr>
            <w:tcW w:w="923"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4.889</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-11</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-10</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-6</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-6</w:t>
            </w: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p>
        </w:tc>
        <w:tc>
          <w:tcPr>
            <w:tcW w:w="100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84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108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116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r>
      <w:tr w:rsidR="00CC43DC" w:rsidRPr="00981069" w:rsidTr="00175626">
        <w:trPr>
          <w:trHeight w:val="675"/>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r w:rsidRPr="00981069">
              <w:rPr>
                <w:rFonts w:cs="Arial"/>
                <w:sz w:val="18"/>
                <w:szCs w:val="18"/>
                <w:lang w:val="nl-NL"/>
              </w:rPr>
              <w:t>Bijdrage aan de lange termijn beleidsontwikkeling</w:t>
            </w:r>
          </w:p>
        </w:tc>
        <w:tc>
          <w:tcPr>
            <w:tcW w:w="100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594</w:t>
            </w:r>
          </w:p>
        </w:tc>
        <w:tc>
          <w:tcPr>
            <w:tcW w:w="84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c>
          <w:tcPr>
            <w:tcW w:w="108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594</w:t>
            </w:r>
          </w:p>
        </w:tc>
        <w:tc>
          <w:tcPr>
            <w:tcW w:w="116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80</w:t>
            </w:r>
          </w:p>
        </w:tc>
        <w:tc>
          <w:tcPr>
            <w:tcW w:w="923"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674</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p>
        </w:tc>
        <w:tc>
          <w:tcPr>
            <w:tcW w:w="100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84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108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1160"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cs="Arial"/>
                <w:sz w:val="18"/>
                <w:szCs w:val="18"/>
                <w:lang w:val="nl-NL"/>
              </w:rPr>
            </w:pP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r w:rsidRPr="00981069">
              <w:rPr>
                <w:rFonts w:cs="Arial"/>
                <w:sz w:val="18"/>
                <w:szCs w:val="18"/>
                <w:lang w:val="nl-NL"/>
              </w:rPr>
              <w:t>Apparaatsuitgaven</w:t>
            </w:r>
          </w:p>
        </w:tc>
        <w:tc>
          <w:tcPr>
            <w:tcW w:w="100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31.935</w:t>
            </w:r>
          </w:p>
        </w:tc>
        <w:tc>
          <w:tcPr>
            <w:tcW w:w="84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c>
          <w:tcPr>
            <w:tcW w:w="1080"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r w:rsidRPr="00981069">
              <w:rPr>
                <w:rFonts w:cs="Arial"/>
                <w:sz w:val="18"/>
                <w:szCs w:val="18"/>
                <w:lang w:val="nl-NL"/>
              </w:rPr>
              <w:t>31.935</w:t>
            </w:r>
          </w:p>
        </w:tc>
        <w:tc>
          <w:tcPr>
            <w:tcW w:w="116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1.517</w:t>
            </w:r>
          </w:p>
        </w:tc>
        <w:tc>
          <w:tcPr>
            <w:tcW w:w="923"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33.452</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113</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111</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107</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107</w:t>
            </w: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b/>
                <w:bCs/>
                <w:sz w:val="18"/>
                <w:szCs w:val="18"/>
                <w:lang w:val="nl-NL"/>
              </w:rPr>
            </w:pPr>
          </w:p>
        </w:tc>
        <w:tc>
          <w:tcPr>
            <w:tcW w:w="10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84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108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116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b/>
                <w:bCs/>
                <w:sz w:val="18"/>
                <w:szCs w:val="18"/>
                <w:lang w:val="nl-NL"/>
              </w:rPr>
            </w:pPr>
            <w:r w:rsidRPr="00981069">
              <w:rPr>
                <w:rFonts w:cs="Arial"/>
                <w:b/>
                <w:bCs/>
                <w:sz w:val="18"/>
                <w:szCs w:val="18"/>
                <w:lang w:val="nl-NL"/>
              </w:rPr>
              <w:t>Bijdrage agentschap</w:t>
            </w:r>
          </w:p>
        </w:tc>
        <w:tc>
          <w:tcPr>
            <w:tcW w:w="10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84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108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116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c>
          <w:tcPr>
            <w:tcW w:w="665"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sz w:val="18"/>
                <w:szCs w:val="18"/>
                <w:lang w:val="nl-NL"/>
              </w:rPr>
            </w:pPr>
          </w:p>
        </w:tc>
      </w:tr>
      <w:tr w:rsidR="00CC43DC" w:rsidRPr="00981069" w:rsidTr="00175626">
        <w:trPr>
          <w:trHeight w:val="45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r w:rsidRPr="00981069">
              <w:rPr>
                <w:rFonts w:cs="Arial"/>
                <w:sz w:val="18"/>
                <w:szCs w:val="18"/>
                <w:lang w:val="nl-NL"/>
              </w:rPr>
              <w:t>Dienst Publiek en Communicatie</w:t>
            </w:r>
          </w:p>
        </w:tc>
        <w:tc>
          <w:tcPr>
            <w:tcW w:w="100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22.000</w:t>
            </w:r>
          </w:p>
        </w:tc>
        <w:tc>
          <w:tcPr>
            <w:tcW w:w="84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0</w:t>
            </w:r>
          </w:p>
        </w:tc>
        <w:tc>
          <w:tcPr>
            <w:tcW w:w="108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22.000</w:t>
            </w:r>
          </w:p>
        </w:tc>
        <w:tc>
          <w:tcPr>
            <w:tcW w:w="1160"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623</w:t>
            </w:r>
          </w:p>
        </w:tc>
        <w:tc>
          <w:tcPr>
            <w:tcW w:w="923"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22.623</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94</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94</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94</w:t>
            </w:r>
          </w:p>
        </w:tc>
        <w:tc>
          <w:tcPr>
            <w:tcW w:w="665" w:type="dxa"/>
            <w:tcBorders>
              <w:top w:val="nil"/>
              <w:left w:val="nil"/>
              <w:bottom w:val="nil"/>
              <w:right w:val="nil"/>
            </w:tcBorders>
            <w:shd w:val="clear" w:color="auto" w:fill="auto"/>
            <w:noWrap/>
            <w:vAlign w:val="bottom"/>
            <w:hideMark/>
          </w:tcPr>
          <w:p w:rsidR="00CC43DC" w:rsidRPr="00981069" w:rsidRDefault="00CC43DC" w:rsidP="00175626">
            <w:pPr>
              <w:jc w:val="right"/>
              <w:rPr>
                <w:rFonts w:cs="Arial"/>
                <w:sz w:val="18"/>
                <w:szCs w:val="18"/>
                <w:lang w:val="nl-NL"/>
              </w:rPr>
            </w:pPr>
            <w:r w:rsidRPr="00981069">
              <w:rPr>
                <w:rFonts w:cs="Arial"/>
                <w:sz w:val="18"/>
                <w:szCs w:val="18"/>
                <w:lang w:val="nl-NL"/>
              </w:rPr>
              <w:t>94</w:t>
            </w:r>
          </w:p>
        </w:tc>
      </w:tr>
      <w:tr w:rsidR="00CC43DC" w:rsidRPr="00981069" w:rsidTr="00175626">
        <w:trPr>
          <w:trHeight w:val="300"/>
        </w:trPr>
        <w:tc>
          <w:tcPr>
            <w:tcW w:w="1697" w:type="dxa"/>
            <w:tcBorders>
              <w:top w:val="nil"/>
              <w:left w:val="nil"/>
              <w:bottom w:val="nil"/>
              <w:right w:val="nil"/>
            </w:tcBorders>
            <w:shd w:val="clear" w:color="auto" w:fill="auto"/>
            <w:vAlign w:val="center"/>
            <w:hideMark/>
          </w:tcPr>
          <w:p w:rsidR="00CC43DC" w:rsidRPr="00981069" w:rsidRDefault="00CC43DC" w:rsidP="00175626">
            <w:pPr>
              <w:rPr>
                <w:rFonts w:cs="Arial"/>
                <w:sz w:val="18"/>
                <w:szCs w:val="18"/>
                <w:lang w:val="nl-NL"/>
              </w:rPr>
            </w:pP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840"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1080"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1160"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923"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c>
          <w:tcPr>
            <w:tcW w:w="665" w:type="dxa"/>
            <w:tcBorders>
              <w:top w:val="nil"/>
              <w:left w:val="nil"/>
              <w:bottom w:val="nil"/>
              <w:right w:val="nil"/>
            </w:tcBorders>
            <w:shd w:val="clear" w:color="auto" w:fill="auto"/>
            <w:vAlign w:val="center"/>
            <w:hideMark/>
          </w:tcPr>
          <w:p w:rsidR="00CC43DC" w:rsidRPr="00981069" w:rsidRDefault="00CC43DC" w:rsidP="00175626">
            <w:pPr>
              <w:jc w:val="right"/>
              <w:rPr>
                <w:rFonts w:cs="Arial"/>
                <w:sz w:val="18"/>
                <w:szCs w:val="18"/>
                <w:lang w:val="nl-NL"/>
              </w:rPr>
            </w:pPr>
          </w:p>
        </w:tc>
      </w:tr>
      <w:tr w:rsidR="00CC43DC" w:rsidRPr="00981069" w:rsidTr="00175626">
        <w:trPr>
          <w:trHeight w:val="315"/>
        </w:trPr>
        <w:tc>
          <w:tcPr>
            <w:tcW w:w="1697" w:type="dxa"/>
            <w:tcBorders>
              <w:top w:val="nil"/>
              <w:left w:val="nil"/>
              <w:bottom w:val="single" w:sz="8" w:space="0" w:color="auto"/>
              <w:right w:val="nil"/>
            </w:tcBorders>
            <w:shd w:val="clear" w:color="auto" w:fill="auto"/>
            <w:vAlign w:val="center"/>
            <w:hideMark/>
          </w:tcPr>
          <w:p w:rsidR="00CC43DC" w:rsidRPr="00981069" w:rsidRDefault="00CC43DC" w:rsidP="00175626">
            <w:pPr>
              <w:rPr>
                <w:rFonts w:cs="Arial"/>
                <w:b/>
                <w:bCs/>
                <w:sz w:val="18"/>
                <w:szCs w:val="18"/>
                <w:lang w:val="nl-NL"/>
              </w:rPr>
            </w:pPr>
            <w:r w:rsidRPr="00981069">
              <w:rPr>
                <w:rFonts w:cs="Arial"/>
                <w:b/>
                <w:bCs/>
                <w:sz w:val="18"/>
                <w:szCs w:val="18"/>
                <w:lang w:val="nl-NL"/>
              </w:rPr>
              <w:t>Ontvangsten</w:t>
            </w:r>
          </w:p>
        </w:tc>
        <w:tc>
          <w:tcPr>
            <w:tcW w:w="1000"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4.295</w:t>
            </w:r>
          </w:p>
        </w:tc>
        <w:tc>
          <w:tcPr>
            <w:tcW w:w="840"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0</w:t>
            </w:r>
          </w:p>
        </w:tc>
        <w:tc>
          <w:tcPr>
            <w:tcW w:w="1080"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4.295</w:t>
            </w:r>
          </w:p>
        </w:tc>
        <w:tc>
          <w:tcPr>
            <w:tcW w:w="1160"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393</w:t>
            </w:r>
          </w:p>
        </w:tc>
        <w:tc>
          <w:tcPr>
            <w:tcW w:w="923"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4.688</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92</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92</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92</w:t>
            </w:r>
          </w:p>
        </w:tc>
        <w:tc>
          <w:tcPr>
            <w:tcW w:w="665"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sz w:val="18"/>
                <w:szCs w:val="18"/>
                <w:lang w:val="nl-NL"/>
              </w:rPr>
            </w:pPr>
            <w:r w:rsidRPr="00981069">
              <w:rPr>
                <w:rFonts w:cs="Arial"/>
                <w:b/>
                <w:bCs/>
                <w:sz w:val="18"/>
                <w:szCs w:val="18"/>
                <w:lang w:val="nl-NL"/>
              </w:rPr>
              <w:t>92</w:t>
            </w:r>
          </w:p>
        </w:tc>
      </w:tr>
    </w:tbl>
    <w:p w:rsidR="00CC43DC" w:rsidRDefault="00CC43DC" w:rsidP="00CC43DC">
      <w:pPr>
        <w:rPr>
          <w:lang w:val="nl-NL"/>
        </w:rPr>
      </w:pPr>
    </w:p>
    <w:p w:rsidR="00CC43DC" w:rsidRDefault="00CC43DC" w:rsidP="00CC43DC">
      <w:pPr>
        <w:ind w:hanging="426"/>
        <w:rPr>
          <w:lang w:val="nl-NL"/>
        </w:rPr>
      </w:pPr>
    </w:p>
    <w:p w:rsidR="00CC43DC" w:rsidRPr="00671509" w:rsidRDefault="00CC43DC" w:rsidP="00CC43DC">
      <w:pPr>
        <w:pStyle w:val="Voettekst"/>
        <w:tabs>
          <w:tab w:val="clear" w:pos="4536"/>
          <w:tab w:val="clear" w:pos="9072"/>
        </w:tabs>
        <w:rPr>
          <w:u w:val="single"/>
        </w:rPr>
      </w:pPr>
      <w:r w:rsidRPr="00671509">
        <w:rPr>
          <w:u w:val="single"/>
        </w:rPr>
        <w:t xml:space="preserve">Toelichting </w:t>
      </w:r>
    </w:p>
    <w:p w:rsidR="00CC43DC" w:rsidRPr="00544A14" w:rsidRDefault="00CC43DC" w:rsidP="00CC43DC">
      <w:pPr>
        <w:pStyle w:val="Voettekst"/>
        <w:tabs>
          <w:tab w:val="clear" w:pos="4536"/>
          <w:tab w:val="clear" w:pos="9072"/>
        </w:tabs>
        <w:rPr>
          <w:highlight w:val="yellow"/>
        </w:rPr>
      </w:pPr>
    </w:p>
    <w:p w:rsidR="00CC43DC" w:rsidRPr="007B0507" w:rsidRDefault="00CC43DC" w:rsidP="00CC43DC">
      <w:pPr>
        <w:numPr>
          <w:ilvl w:val="12"/>
          <w:numId w:val="0"/>
        </w:numPr>
      </w:pPr>
      <w:r>
        <w:t>Zie toelichting bij Overzicht suppletoire uitgavenmutaties voor 2015.</w:t>
      </w:r>
    </w:p>
    <w:p w:rsidR="00CC43DC" w:rsidRPr="007B0507" w:rsidRDefault="00CC43DC" w:rsidP="00CC43DC">
      <w:pPr>
        <w:numPr>
          <w:ilvl w:val="12"/>
          <w:numId w:val="0"/>
        </w:numPr>
      </w:pPr>
    </w:p>
    <w:p w:rsidR="00CC43DC" w:rsidRPr="00EE097A" w:rsidRDefault="00CC43DC" w:rsidP="00CC43DC">
      <w:pPr>
        <w:numPr>
          <w:ilvl w:val="12"/>
          <w:numId w:val="0"/>
        </w:numPr>
        <w:rPr>
          <w:b/>
        </w:rPr>
      </w:pPr>
      <w:r>
        <w:rPr>
          <w:b/>
        </w:rPr>
        <w:br w:type="page"/>
      </w:r>
      <w:r>
        <w:rPr>
          <w:b/>
        </w:rPr>
        <w:lastRenderedPageBreak/>
        <w:t>3</w:t>
      </w:r>
      <w:r>
        <w:rPr>
          <w:b/>
        </w:rPr>
        <w:tab/>
      </w:r>
      <w:r w:rsidRPr="00EC0AC3">
        <w:rPr>
          <w:b/>
        </w:rPr>
        <w:t>KABINET VAN DE KONING</w:t>
      </w:r>
      <w:r>
        <w:rPr>
          <w:b/>
        </w:rPr>
        <w:t xml:space="preserve"> </w:t>
      </w:r>
    </w:p>
    <w:p w:rsidR="00CC43DC" w:rsidRDefault="00CC43DC" w:rsidP="00CC43DC">
      <w:pPr>
        <w:numPr>
          <w:ilvl w:val="12"/>
          <w:numId w:val="0"/>
        </w:numPr>
      </w:pPr>
    </w:p>
    <w:p w:rsidR="00CC43DC" w:rsidRDefault="00CC43DC" w:rsidP="00CC43DC">
      <w:pPr>
        <w:numPr>
          <w:ilvl w:val="12"/>
          <w:numId w:val="0"/>
        </w:numPr>
        <w:rPr>
          <w:b/>
        </w:rPr>
      </w:pPr>
      <w:r>
        <w:rPr>
          <w:b/>
        </w:rPr>
        <w:t>3.1</w:t>
      </w:r>
      <w:r>
        <w:rPr>
          <w:b/>
        </w:rPr>
        <w:tab/>
        <w:t>Suppletoire mutaties</w:t>
      </w:r>
    </w:p>
    <w:p w:rsidR="00CC43DC" w:rsidRDefault="00CC43DC" w:rsidP="00CC43DC">
      <w:pPr>
        <w:numPr>
          <w:ilvl w:val="12"/>
          <w:numId w:val="0"/>
        </w:numPr>
      </w:pPr>
    </w:p>
    <w:p w:rsidR="00CC43DC" w:rsidRDefault="00CC43DC" w:rsidP="00CC43DC">
      <w:r>
        <w:t xml:space="preserve">Overzicht suppletoire uitgavenmutaties voor 2015 </w:t>
      </w:r>
      <w:r w:rsidRPr="001B1D62">
        <w:rPr>
          <w:rFonts w:cs="Arial"/>
          <w:bCs/>
        </w:rPr>
        <w:t>(Eerste suppletoire begroting)</w:t>
      </w:r>
      <w:r w:rsidRPr="00D17FFA">
        <w:rPr>
          <w:rFonts w:cs="Arial"/>
          <w:b/>
          <w:bCs/>
        </w:rPr>
        <w:t xml:space="preserve"> </w:t>
      </w:r>
      <w:r>
        <w:t>(Bedragen x € 1.000)</w:t>
      </w:r>
      <w:r w:rsidRPr="00634445">
        <w:t xml:space="preserve"> </w:t>
      </w:r>
    </w:p>
    <w:p w:rsidR="00CC43DC" w:rsidRDefault="00CC43DC" w:rsidP="00CC43DC"/>
    <w:tbl>
      <w:tblPr>
        <w:tblW w:w="6880" w:type="dxa"/>
        <w:tblInd w:w="55" w:type="dxa"/>
        <w:tblCellMar>
          <w:left w:w="70" w:type="dxa"/>
          <w:right w:w="70" w:type="dxa"/>
        </w:tblCellMar>
        <w:tblLook w:val="04A0" w:firstRow="1" w:lastRow="0" w:firstColumn="1" w:lastColumn="0" w:noHBand="0" w:noVBand="1"/>
      </w:tblPr>
      <w:tblGrid>
        <w:gridCol w:w="252"/>
        <w:gridCol w:w="5629"/>
        <w:gridCol w:w="999"/>
      </w:tblGrid>
      <w:tr w:rsidR="00CC43DC" w:rsidRPr="00981069" w:rsidTr="00175626">
        <w:trPr>
          <w:trHeight w:val="315"/>
        </w:trPr>
        <w:tc>
          <w:tcPr>
            <w:tcW w:w="200" w:type="dxa"/>
            <w:tcBorders>
              <w:top w:val="single" w:sz="8" w:space="0" w:color="auto"/>
              <w:left w:val="nil"/>
              <w:bottom w:val="single" w:sz="8" w:space="0" w:color="auto"/>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 </w:t>
            </w:r>
          </w:p>
        </w:tc>
        <w:tc>
          <w:tcPr>
            <w:tcW w:w="5680" w:type="dxa"/>
            <w:tcBorders>
              <w:top w:val="single" w:sz="8" w:space="0" w:color="auto"/>
              <w:left w:val="nil"/>
              <w:bottom w:val="single" w:sz="8" w:space="0" w:color="auto"/>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uitgaven</w:t>
            </w:r>
          </w:p>
        </w:tc>
      </w:tr>
      <w:tr w:rsidR="00CC43DC" w:rsidRPr="00981069" w:rsidTr="00175626">
        <w:trPr>
          <w:trHeight w:val="300"/>
        </w:trPr>
        <w:tc>
          <w:tcPr>
            <w:tcW w:w="2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b/>
                <w:bCs/>
                <w:lang w:val="nl-NL"/>
              </w:rPr>
            </w:pPr>
            <w:r w:rsidRPr="00981069">
              <w:rPr>
                <w:rFonts w:cs="Arial"/>
                <w:b/>
                <w:bCs/>
                <w:lang w:val="nl-NL"/>
              </w:rPr>
              <w:t>Stand ontwerpbegroting 2015</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lang w:val="nl-NL"/>
              </w:rPr>
            </w:pPr>
            <w:r w:rsidRPr="00981069">
              <w:rPr>
                <w:rFonts w:cs="Arial"/>
                <w:b/>
                <w:bCs/>
                <w:lang w:val="nl-NL"/>
              </w:rPr>
              <w:t>2.33</w:t>
            </w:r>
            <w:r>
              <w:rPr>
                <w:rFonts w:cs="Arial"/>
                <w:b/>
                <w:bCs/>
                <w:lang w:val="nl-NL"/>
              </w:rPr>
              <w:t>8</w:t>
            </w:r>
          </w:p>
        </w:tc>
      </w:tr>
      <w:tr w:rsidR="00CC43DC" w:rsidRPr="00981069" w:rsidTr="00175626">
        <w:trPr>
          <w:trHeight w:val="300"/>
        </w:trPr>
        <w:tc>
          <w:tcPr>
            <w:tcW w:w="2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p>
        </w:tc>
        <w:tc>
          <w:tcPr>
            <w:tcW w:w="1000" w:type="dxa"/>
            <w:tcBorders>
              <w:top w:val="nil"/>
              <w:left w:val="nil"/>
              <w:bottom w:val="nil"/>
              <w:right w:val="nil"/>
            </w:tcBorders>
            <w:shd w:val="clear" w:color="auto" w:fill="auto"/>
            <w:vAlign w:val="center"/>
            <w:hideMark/>
          </w:tcPr>
          <w:p w:rsidR="00CC43DC" w:rsidRPr="00981069" w:rsidRDefault="00CC43DC" w:rsidP="00175626">
            <w:pPr>
              <w:jc w:val="center"/>
              <w:rPr>
                <w:rFonts w:cs="Arial"/>
                <w:lang w:val="nl-NL"/>
              </w:rPr>
            </w:pPr>
          </w:p>
        </w:tc>
      </w:tr>
      <w:tr w:rsidR="00CC43DC" w:rsidRPr="00981069" w:rsidTr="00175626">
        <w:trPr>
          <w:trHeight w:val="300"/>
        </w:trPr>
        <w:tc>
          <w:tcPr>
            <w:tcW w:w="2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Suppletoire mutaties:</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center"/>
              <w:rPr>
                <w:rFonts w:cs="Arial"/>
                <w:lang w:val="nl-NL"/>
              </w:rPr>
            </w:pPr>
          </w:p>
        </w:tc>
      </w:tr>
      <w:tr w:rsidR="00CC43DC" w:rsidRPr="00981069" w:rsidTr="00175626">
        <w:trPr>
          <w:trHeight w:val="300"/>
        </w:trPr>
        <w:tc>
          <w:tcPr>
            <w:tcW w:w="2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1</w:t>
            </w: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Eindejaarsmarge 2014</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23</w:t>
            </w:r>
          </w:p>
        </w:tc>
      </w:tr>
      <w:tr w:rsidR="00CC43DC" w:rsidRPr="00981069" w:rsidTr="00175626">
        <w:trPr>
          <w:trHeight w:val="300"/>
        </w:trPr>
        <w:tc>
          <w:tcPr>
            <w:tcW w:w="2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2</w:t>
            </w: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Bijdrage categoriemanagement vakliteratuur en abonnementen (SDU)</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-2</w:t>
            </w:r>
          </w:p>
        </w:tc>
      </w:tr>
      <w:tr w:rsidR="00CC43DC" w:rsidRPr="00981069" w:rsidTr="00175626">
        <w:trPr>
          <w:trHeight w:val="315"/>
        </w:trPr>
        <w:tc>
          <w:tcPr>
            <w:tcW w:w="2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3</w:t>
            </w: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Loon- en prijsbijstelling</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10</w:t>
            </w:r>
          </w:p>
        </w:tc>
      </w:tr>
      <w:tr w:rsidR="00CC43DC" w:rsidRPr="00981069" w:rsidTr="00175626">
        <w:trPr>
          <w:trHeight w:val="315"/>
        </w:trPr>
        <w:tc>
          <w:tcPr>
            <w:tcW w:w="200" w:type="dxa"/>
            <w:tcBorders>
              <w:top w:val="nil"/>
              <w:left w:val="nil"/>
              <w:bottom w:val="single" w:sz="8" w:space="0" w:color="auto"/>
              <w:right w:val="nil"/>
            </w:tcBorders>
            <w:shd w:val="clear" w:color="auto" w:fill="auto"/>
            <w:noWrap/>
            <w:vAlign w:val="bottom"/>
            <w:hideMark/>
          </w:tcPr>
          <w:p w:rsidR="00CC43DC" w:rsidRPr="00981069" w:rsidRDefault="00CC43DC" w:rsidP="00175626">
            <w:pPr>
              <w:rPr>
                <w:rFonts w:ascii="Calibri" w:hAnsi="Calibri" w:cs="Calibri"/>
                <w:lang w:val="nl-NL"/>
              </w:rPr>
            </w:pPr>
            <w:r w:rsidRPr="00981069">
              <w:rPr>
                <w:rFonts w:ascii="Calibri" w:hAnsi="Calibri" w:cs="Calibri"/>
                <w:lang w:val="nl-NL"/>
              </w:rPr>
              <w:t> </w:t>
            </w:r>
          </w:p>
        </w:tc>
        <w:tc>
          <w:tcPr>
            <w:tcW w:w="5680" w:type="dxa"/>
            <w:tcBorders>
              <w:top w:val="nil"/>
              <w:left w:val="nil"/>
              <w:bottom w:val="single" w:sz="8" w:space="0" w:color="auto"/>
              <w:right w:val="nil"/>
            </w:tcBorders>
            <w:shd w:val="clear" w:color="auto" w:fill="auto"/>
            <w:vAlign w:val="center"/>
            <w:hideMark/>
          </w:tcPr>
          <w:p w:rsidR="00CC43DC" w:rsidRPr="00981069" w:rsidRDefault="00CC43DC" w:rsidP="00175626">
            <w:pPr>
              <w:rPr>
                <w:rFonts w:cs="Arial"/>
                <w:b/>
                <w:bCs/>
                <w:lang w:val="nl-NL"/>
              </w:rPr>
            </w:pPr>
            <w:r w:rsidRPr="00981069">
              <w:rPr>
                <w:rFonts w:cs="Arial"/>
                <w:b/>
                <w:bCs/>
                <w:lang w:val="nl-NL"/>
              </w:rPr>
              <w:t>Stand na 1e suppletoire begroting 2015</w:t>
            </w:r>
          </w:p>
        </w:tc>
        <w:tc>
          <w:tcPr>
            <w:tcW w:w="1000"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lang w:val="nl-NL"/>
              </w:rPr>
            </w:pPr>
            <w:r w:rsidRPr="00981069">
              <w:rPr>
                <w:rFonts w:cs="Arial"/>
                <w:b/>
                <w:bCs/>
                <w:lang w:val="nl-NL"/>
              </w:rPr>
              <w:t>2.36</w:t>
            </w:r>
            <w:r>
              <w:rPr>
                <w:rFonts w:cs="Arial"/>
                <w:b/>
                <w:bCs/>
                <w:lang w:val="nl-NL"/>
              </w:rPr>
              <w:t>9</w:t>
            </w:r>
          </w:p>
        </w:tc>
      </w:tr>
    </w:tbl>
    <w:p w:rsidR="00CC43DC" w:rsidRDefault="00CC43DC" w:rsidP="00CC43DC"/>
    <w:p w:rsidR="00CC43DC" w:rsidRPr="00E76CA7" w:rsidRDefault="00CC43DC" w:rsidP="00CC43DC">
      <w:pPr>
        <w:rPr>
          <w:u w:val="single"/>
        </w:rPr>
      </w:pPr>
      <w:r w:rsidRPr="00E76CA7">
        <w:rPr>
          <w:u w:val="single"/>
        </w:rPr>
        <w:t>Toelichting</w:t>
      </w:r>
    </w:p>
    <w:p w:rsidR="00CC43DC" w:rsidRPr="00711B3F" w:rsidRDefault="00CC43DC" w:rsidP="00CC43DC">
      <w:pPr>
        <w:rPr>
          <w:highlight w:val="yellow"/>
        </w:rPr>
      </w:pPr>
    </w:p>
    <w:p w:rsidR="00CC43DC" w:rsidRDefault="00CC43DC" w:rsidP="00CC43DC">
      <w:r>
        <w:t xml:space="preserve">1) </w:t>
      </w:r>
      <w:r w:rsidRPr="003331B9">
        <w:t>Dit betreft de</w:t>
      </w:r>
      <w:r>
        <w:t xml:space="preserve"> eindejaarsmarge 2014.</w:t>
      </w:r>
    </w:p>
    <w:p w:rsidR="00CC43DC" w:rsidRDefault="00CC43DC" w:rsidP="00CC43DC"/>
    <w:p w:rsidR="00CC43DC" w:rsidRDefault="00CC43DC" w:rsidP="00CC43DC">
      <w:pPr>
        <w:pStyle w:val="Plattetekstinspringen2"/>
        <w:ind w:left="0"/>
        <w:rPr>
          <w:color w:val="auto"/>
        </w:rPr>
      </w:pPr>
      <w:r>
        <w:rPr>
          <w:color w:val="auto"/>
        </w:rPr>
        <w:t>2) Dit betreft de overboeking categoriemanagement vakliteratuur en abonnementen (SDU) naar het ministerie van Financi</w:t>
      </w:r>
      <w:r>
        <w:t>ë</w:t>
      </w:r>
      <w:r>
        <w:rPr>
          <w:color w:val="auto"/>
        </w:rPr>
        <w:t xml:space="preserve">n. </w:t>
      </w:r>
    </w:p>
    <w:p w:rsidR="00CC43DC" w:rsidRDefault="00CC43DC" w:rsidP="00CC43DC">
      <w:pPr>
        <w:pStyle w:val="Plattetekstinspringen2"/>
        <w:ind w:left="0"/>
        <w:rPr>
          <w:color w:val="auto"/>
        </w:rPr>
      </w:pPr>
    </w:p>
    <w:p w:rsidR="00CC43DC" w:rsidRDefault="00CC43DC" w:rsidP="00CC43DC">
      <w:pPr>
        <w:pStyle w:val="Plattetekstinspringen2"/>
        <w:ind w:left="0"/>
        <w:rPr>
          <w:color w:val="auto"/>
        </w:rPr>
      </w:pPr>
      <w:r>
        <w:rPr>
          <w:color w:val="auto"/>
        </w:rPr>
        <w:t xml:space="preserve">3) </w:t>
      </w:r>
      <w:r w:rsidRPr="00215C00">
        <w:rPr>
          <w:color w:val="auto"/>
        </w:rPr>
        <w:t>Vanuit de aanvullende posten arbeidsvoorwaarden en prijsbijstelling is budget overgeheveld als tegemoetkoming voor de extra uitgaven als gevolg van de loonkostenontwikkeling en prijsstijginge</w:t>
      </w:r>
      <w:r>
        <w:rPr>
          <w:color w:val="auto"/>
        </w:rPr>
        <w:t>n</w:t>
      </w:r>
      <w:r w:rsidRPr="00215C00">
        <w:rPr>
          <w:color w:val="auto"/>
        </w:rPr>
        <w:t>.</w:t>
      </w:r>
    </w:p>
    <w:p w:rsidR="00CC43DC" w:rsidRDefault="00CC43DC" w:rsidP="00CC43DC">
      <w:pPr>
        <w:pStyle w:val="Plattetekstinspringen2"/>
        <w:ind w:left="0"/>
        <w:rPr>
          <w:color w:val="auto"/>
        </w:rPr>
      </w:pPr>
    </w:p>
    <w:p w:rsidR="00CC43DC" w:rsidRDefault="00CC43DC" w:rsidP="00CC43DC"/>
    <w:p w:rsidR="00CC43DC" w:rsidRDefault="00CC43DC" w:rsidP="00CC43DC">
      <w:r>
        <w:t xml:space="preserve">Overzicht suppletoire ontvangstenmutaties voor 2015 </w:t>
      </w:r>
      <w:r w:rsidRPr="001B1D62">
        <w:rPr>
          <w:rFonts w:cs="Arial"/>
          <w:bCs/>
        </w:rPr>
        <w:t>(Eerste suppletoire begroting)</w:t>
      </w:r>
      <w:r w:rsidRPr="00D17FFA">
        <w:rPr>
          <w:rFonts w:cs="Arial"/>
          <w:b/>
          <w:bCs/>
        </w:rPr>
        <w:t xml:space="preserve"> </w:t>
      </w:r>
      <w:r>
        <w:t>(Bedragen x € 1.000)</w:t>
      </w:r>
      <w:r w:rsidRPr="00634445">
        <w:t xml:space="preserve"> </w:t>
      </w:r>
    </w:p>
    <w:p w:rsidR="00CC43DC" w:rsidRPr="00DD4E59" w:rsidRDefault="00CC43DC" w:rsidP="00CC43DC"/>
    <w:tbl>
      <w:tblPr>
        <w:tblW w:w="6880" w:type="dxa"/>
        <w:tblInd w:w="55" w:type="dxa"/>
        <w:tblCellMar>
          <w:left w:w="70" w:type="dxa"/>
          <w:right w:w="70" w:type="dxa"/>
        </w:tblCellMar>
        <w:tblLook w:val="04A0" w:firstRow="1" w:lastRow="0" w:firstColumn="1" w:lastColumn="0" w:noHBand="0" w:noVBand="1"/>
      </w:tblPr>
      <w:tblGrid>
        <w:gridCol w:w="252"/>
        <w:gridCol w:w="5353"/>
        <w:gridCol w:w="1275"/>
      </w:tblGrid>
      <w:tr w:rsidR="00CC43DC" w:rsidRPr="00981069" w:rsidTr="00175626">
        <w:trPr>
          <w:trHeight w:val="315"/>
        </w:trPr>
        <w:tc>
          <w:tcPr>
            <w:tcW w:w="200" w:type="dxa"/>
            <w:tcBorders>
              <w:top w:val="single" w:sz="8" w:space="0" w:color="auto"/>
              <w:left w:val="nil"/>
              <w:bottom w:val="single" w:sz="8" w:space="0" w:color="auto"/>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 </w:t>
            </w:r>
          </w:p>
        </w:tc>
        <w:tc>
          <w:tcPr>
            <w:tcW w:w="5680" w:type="dxa"/>
            <w:tcBorders>
              <w:top w:val="single" w:sz="8" w:space="0" w:color="auto"/>
              <w:left w:val="nil"/>
              <w:bottom w:val="single" w:sz="8" w:space="0" w:color="auto"/>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Ontvangsten</w:t>
            </w:r>
          </w:p>
        </w:tc>
      </w:tr>
      <w:tr w:rsidR="00CC43DC" w:rsidRPr="00981069" w:rsidTr="00175626">
        <w:trPr>
          <w:trHeight w:val="300"/>
        </w:trPr>
        <w:tc>
          <w:tcPr>
            <w:tcW w:w="2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b/>
                <w:bCs/>
                <w:lang w:val="nl-NL"/>
              </w:rPr>
            </w:pPr>
            <w:r w:rsidRPr="00981069">
              <w:rPr>
                <w:rFonts w:cs="Arial"/>
                <w:b/>
                <w:bCs/>
                <w:lang w:val="nl-NL"/>
              </w:rPr>
              <w:t>Stand ontwerpbegroting 2015</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b/>
                <w:bCs/>
                <w:lang w:val="nl-NL"/>
              </w:rPr>
            </w:pPr>
            <w:r w:rsidRPr="00981069">
              <w:rPr>
                <w:rFonts w:cs="Arial"/>
                <w:b/>
                <w:bCs/>
                <w:lang w:val="nl-NL"/>
              </w:rPr>
              <w:t>2.33</w:t>
            </w:r>
            <w:r>
              <w:rPr>
                <w:rFonts w:cs="Arial"/>
                <w:b/>
                <w:bCs/>
                <w:lang w:val="nl-NL"/>
              </w:rPr>
              <w:t>8</w:t>
            </w:r>
          </w:p>
        </w:tc>
      </w:tr>
      <w:tr w:rsidR="00CC43DC" w:rsidRPr="00981069" w:rsidTr="00175626">
        <w:trPr>
          <w:trHeight w:val="300"/>
        </w:trPr>
        <w:tc>
          <w:tcPr>
            <w:tcW w:w="2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p>
        </w:tc>
        <w:tc>
          <w:tcPr>
            <w:tcW w:w="1000" w:type="dxa"/>
            <w:tcBorders>
              <w:top w:val="nil"/>
              <w:left w:val="nil"/>
              <w:bottom w:val="nil"/>
              <w:right w:val="nil"/>
            </w:tcBorders>
            <w:shd w:val="clear" w:color="auto" w:fill="auto"/>
            <w:vAlign w:val="center"/>
            <w:hideMark/>
          </w:tcPr>
          <w:p w:rsidR="00CC43DC" w:rsidRPr="00981069" w:rsidRDefault="00CC43DC" w:rsidP="00175626">
            <w:pPr>
              <w:jc w:val="center"/>
              <w:rPr>
                <w:rFonts w:cs="Arial"/>
                <w:lang w:val="nl-NL"/>
              </w:rPr>
            </w:pPr>
          </w:p>
        </w:tc>
      </w:tr>
      <w:tr w:rsidR="00CC43DC" w:rsidRPr="00981069" w:rsidTr="00175626">
        <w:trPr>
          <w:trHeight w:val="300"/>
        </w:trPr>
        <w:tc>
          <w:tcPr>
            <w:tcW w:w="200" w:type="dxa"/>
            <w:tcBorders>
              <w:top w:val="nil"/>
              <w:left w:val="nil"/>
              <w:bottom w:val="nil"/>
              <w:right w:val="nil"/>
            </w:tcBorders>
            <w:shd w:val="clear" w:color="auto" w:fill="auto"/>
            <w:noWrap/>
            <w:vAlign w:val="bottom"/>
            <w:hideMark/>
          </w:tcPr>
          <w:p w:rsidR="00CC43DC" w:rsidRPr="00981069" w:rsidRDefault="00CC43DC" w:rsidP="00175626">
            <w:pPr>
              <w:rPr>
                <w:rFonts w:ascii="Calibri" w:hAnsi="Calibri" w:cs="Calibri"/>
                <w:lang w:val="nl-NL"/>
              </w:rPr>
            </w:pP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Suppletoire mutaties:</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center"/>
              <w:rPr>
                <w:rFonts w:cs="Arial"/>
                <w:lang w:val="nl-NL"/>
              </w:rPr>
            </w:pPr>
          </w:p>
        </w:tc>
      </w:tr>
      <w:tr w:rsidR="00CC43DC" w:rsidRPr="00981069" w:rsidTr="00175626">
        <w:trPr>
          <w:trHeight w:val="300"/>
        </w:trPr>
        <w:tc>
          <w:tcPr>
            <w:tcW w:w="2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1</w:t>
            </w: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Eindejaarsmarge 2014</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23</w:t>
            </w:r>
          </w:p>
        </w:tc>
      </w:tr>
      <w:tr w:rsidR="00CC43DC" w:rsidRPr="00981069" w:rsidTr="00175626">
        <w:trPr>
          <w:trHeight w:val="300"/>
        </w:trPr>
        <w:tc>
          <w:tcPr>
            <w:tcW w:w="2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2</w:t>
            </w: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Bijdrage categoriemanagement vakliteratuur en abonnementen (SDU)</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-2</w:t>
            </w:r>
          </w:p>
        </w:tc>
      </w:tr>
      <w:tr w:rsidR="00CC43DC" w:rsidRPr="00981069" w:rsidTr="00175626">
        <w:trPr>
          <w:trHeight w:val="315"/>
        </w:trPr>
        <w:tc>
          <w:tcPr>
            <w:tcW w:w="2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3</w:t>
            </w:r>
          </w:p>
        </w:tc>
        <w:tc>
          <w:tcPr>
            <w:tcW w:w="5680" w:type="dxa"/>
            <w:tcBorders>
              <w:top w:val="nil"/>
              <w:left w:val="nil"/>
              <w:bottom w:val="nil"/>
              <w:right w:val="nil"/>
            </w:tcBorders>
            <w:shd w:val="clear" w:color="auto" w:fill="auto"/>
            <w:vAlign w:val="center"/>
            <w:hideMark/>
          </w:tcPr>
          <w:p w:rsidR="00CC43DC" w:rsidRPr="00981069" w:rsidRDefault="00CC43DC" w:rsidP="00175626">
            <w:pPr>
              <w:rPr>
                <w:rFonts w:cs="Arial"/>
                <w:lang w:val="nl-NL"/>
              </w:rPr>
            </w:pPr>
            <w:r w:rsidRPr="00981069">
              <w:rPr>
                <w:rFonts w:cs="Arial"/>
                <w:lang w:val="nl-NL"/>
              </w:rPr>
              <w:t>Loon- en prijsbijstelling</w:t>
            </w:r>
          </w:p>
        </w:tc>
        <w:tc>
          <w:tcPr>
            <w:tcW w:w="1000" w:type="dxa"/>
            <w:tcBorders>
              <w:top w:val="nil"/>
              <w:left w:val="nil"/>
              <w:bottom w:val="nil"/>
              <w:right w:val="nil"/>
            </w:tcBorders>
            <w:shd w:val="clear" w:color="auto" w:fill="auto"/>
            <w:vAlign w:val="center"/>
            <w:hideMark/>
          </w:tcPr>
          <w:p w:rsidR="00CC43DC" w:rsidRPr="00981069" w:rsidRDefault="00CC43DC" w:rsidP="00175626">
            <w:pPr>
              <w:jc w:val="right"/>
              <w:rPr>
                <w:rFonts w:cs="Arial"/>
                <w:lang w:val="nl-NL"/>
              </w:rPr>
            </w:pPr>
            <w:r w:rsidRPr="00981069">
              <w:rPr>
                <w:rFonts w:cs="Arial"/>
                <w:lang w:val="nl-NL"/>
              </w:rPr>
              <w:t>10</w:t>
            </w:r>
          </w:p>
        </w:tc>
      </w:tr>
      <w:tr w:rsidR="00CC43DC" w:rsidRPr="00981069" w:rsidTr="00175626">
        <w:trPr>
          <w:trHeight w:val="315"/>
        </w:trPr>
        <w:tc>
          <w:tcPr>
            <w:tcW w:w="200" w:type="dxa"/>
            <w:tcBorders>
              <w:top w:val="nil"/>
              <w:left w:val="nil"/>
              <w:bottom w:val="single" w:sz="8" w:space="0" w:color="auto"/>
              <w:right w:val="nil"/>
            </w:tcBorders>
            <w:shd w:val="clear" w:color="auto" w:fill="auto"/>
            <w:noWrap/>
            <w:vAlign w:val="bottom"/>
            <w:hideMark/>
          </w:tcPr>
          <w:p w:rsidR="00CC43DC" w:rsidRPr="00981069" w:rsidRDefault="00CC43DC" w:rsidP="00175626">
            <w:pPr>
              <w:rPr>
                <w:rFonts w:ascii="Calibri" w:hAnsi="Calibri" w:cs="Calibri"/>
                <w:lang w:val="nl-NL"/>
              </w:rPr>
            </w:pPr>
            <w:r w:rsidRPr="00981069">
              <w:rPr>
                <w:rFonts w:ascii="Calibri" w:hAnsi="Calibri" w:cs="Calibri"/>
                <w:lang w:val="nl-NL"/>
              </w:rPr>
              <w:t> </w:t>
            </w:r>
          </w:p>
        </w:tc>
        <w:tc>
          <w:tcPr>
            <w:tcW w:w="5680" w:type="dxa"/>
            <w:tcBorders>
              <w:top w:val="nil"/>
              <w:left w:val="nil"/>
              <w:bottom w:val="single" w:sz="8" w:space="0" w:color="auto"/>
              <w:right w:val="nil"/>
            </w:tcBorders>
            <w:shd w:val="clear" w:color="auto" w:fill="auto"/>
            <w:vAlign w:val="center"/>
            <w:hideMark/>
          </w:tcPr>
          <w:p w:rsidR="00CC43DC" w:rsidRPr="00981069" w:rsidRDefault="00CC43DC" w:rsidP="00175626">
            <w:pPr>
              <w:rPr>
                <w:rFonts w:cs="Arial"/>
                <w:b/>
                <w:bCs/>
                <w:lang w:val="nl-NL"/>
              </w:rPr>
            </w:pPr>
            <w:r w:rsidRPr="00981069">
              <w:rPr>
                <w:rFonts w:cs="Arial"/>
                <w:b/>
                <w:bCs/>
                <w:lang w:val="nl-NL"/>
              </w:rPr>
              <w:t>Stand na 1e suppletoire begroting 2015</w:t>
            </w:r>
          </w:p>
        </w:tc>
        <w:tc>
          <w:tcPr>
            <w:tcW w:w="1000" w:type="dxa"/>
            <w:tcBorders>
              <w:top w:val="nil"/>
              <w:left w:val="nil"/>
              <w:bottom w:val="single" w:sz="8" w:space="0" w:color="auto"/>
              <w:right w:val="nil"/>
            </w:tcBorders>
            <w:shd w:val="clear" w:color="auto" w:fill="auto"/>
            <w:vAlign w:val="center"/>
            <w:hideMark/>
          </w:tcPr>
          <w:p w:rsidR="00CC43DC" w:rsidRPr="00981069" w:rsidRDefault="00CC43DC" w:rsidP="00175626">
            <w:pPr>
              <w:jc w:val="right"/>
              <w:rPr>
                <w:rFonts w:cs="Arial"/>
                <w:b/>
                <w:bCs/>
                <w:lang w:val="nl-NL"/>
              </w:rPr>
            </w:pPr>
            <w:r w:rsidRPr="00981069">
              <w:rPr>
                <w:rFonts w:cs="Arial"/>
                <w:b/>
                <w:bCs/>
                <w:lang w:val="nl-NL"/>
              </w:rPr>
              <w:t>2.36</w:t>
            </w:r>
            <w:r>
              <w:rPr>
                <w:rFonts w:cs="Arial"/>
                <w:b/>
                <w:bCs/>
                <w:lang w:val="nl-NL"/>
              </w:rPr>
              <w:t>9</w:t>
            </w:r>
          </w:p>
        </w:tc>
      </w:tr>
    </w:tbl>
    <w:p w:rsidR="00CC43DC" w:rsidRDefault="00CC43DC" w:rsidP="00CC43DC"/>
    <w:p w:rsidR="00CC43DC" w:rsidRPr="00E76CA7" w:rsidRDefault="00CC43DC" w:rsidP="00CC43DC">
      <w:pPr>
        <w:rPr>
          <w:u w:val="single"/>
        </w:rPr>
      </w:pPr>
      <w:r w:rsidRPr="00E76CA7">
        <w:rPr>
          <w:u w:val="single"/>
        </w:rPr>
        <w:t>Toelichting</w:t>
      </w:r>
    </w:p>
    <w:p w:rsidR="00CC43DC" w:rsidRPr="00711B3F" w:rsidRDefault="00CC43DC" w:rsidP="00CC43DC">
      <w:pPr>
        <w:rPr>
          <w:highlight w:val="yellow"/>
        </w:rPr>
      </w:pPr>
    </w:p>
    <w:p w:rsidR="00CC43DC" w:rsidRPr="00AA7D68" w:rsidRDefault="00CC43DC" w:rsidP="00CC43DC">
      <w:r>
        <w:t>Dit betreffen technische mutaties die in het kader van de doorbelasting naar de begroting van de Koning (I) tot ontvangsten leiden op de begrotingsstaat van het Kabinet van de Koning</w:t>
      </w:r>
      <w:r w:rsidRPr="00AA7D68">
        <w:t>.</w:t>
      </w:r>
    </w:p>
    <w:p w:rsidR="00CC43DC" w:rsidRDefault="00CC43DC" w:rsidP="00CC43DC">
      <w:pPr>
        <w:numPr>
          <w:ilvl w:val="0"/>
          <w:numId w:val="1"/>
        </w:numPr>
        <w:rPr>
          <w:b/>
          <w:sz w:val="22"/>
        </w:rPr>
      </w:pPr>
      <w:r>
        <w:br w:type="page"/>
      </w:r>
      <w:r w:rsidRPr="00EE6814">
        <w:rPr>
          <w:b/>
          <w:sz w:val="22"/>
        </w:rPr>
        <w:lastRenderedPageBreak/>
        <w:t xml:space="preserve">Commissie van </w:t>
      </w:r>
      <w:r>
        <w:rPr>
          <w:b/>
          <w:sz w:val="22"/>
        </w:rPr>
        <w:t>Toe</w:t>
      </w:r>
      <w:r w:rsidRPr="00EE6814">
        <w:rPr>
          <w:b/>
          <w:sz w:val="22"/>
        </w:rPr>
        <w:t xml:space="preserve">zicht betreffende de Inlichtingen- en </w:t>
      </w:r>
      <w:r>
        <w:rPr>
          <w:b/>
          <w:sz w:val="22"/>
        </w:rPr>
        <w:t>V</w:t>
      </w:r>
      <w:r w:rsidRPr="006F4F11">
        <w:rPr>
          <w:b/>
          <w:sz w:val="22"/>
        </w:rPr>
        <w:t>eiligheidsdiensten</w:t>
      </w:r>
    </w:p>
    <w:p w:rsidR="00CC43DC" w:rsidRDefault="00CC43DC" w:rsidP="00CC43DC">
      <w:pPr>
        <w:ind w:left="360"/>
        <w:rPr>
          <w:b/>
          <w:sz w:val="22"/>
        </w:rPr>
      </w:pPr>
    </w:p>
    <w:p w:rsidR="00CC43DC" w:rsidRDefault="00CC43DC" w:rsidP="00CC43DC">
      <w:r w:rsidRPr="00E67DD4">
        <w:rPr>
          <w:b/>
        </w:rPr>
        <w:t>4.1</w:t>
      </w:r>
      <w:r>
        <w:tab/>
      </w:r>
      <w:r>
        <w:rPr>
          <w:b/>
        </w:rPr>
        <w:t>Suppletoire mutaties</w:t>
      </w:r>
    </w:p>
    <w:p w:rsidR="00CC43DC" w:rsidRDefault="00CC43DC" w:rsidP="00CC43DC"/>
    <w:p w:rsidR="00CC43DC" w:rsidRDefault="00CC43DC" w:rsidP="00CC43DC">
      <w:r>
        <w:t xml:space="preserve">Overzicht suppletoire uitgavenmutaties voor 2015 </w:t>
      </w:r>
      <w:r w:rsidRPr="001B1D62">
        <w:rPr>
          <w:rFonts w:cs="Arial"/>
          <w:bCs/>
        </w:rPr>
        <w:t>(Eerste suppletoire begroting)</w:t>
      </w:r>
      <w:r w:rsidRPr="00D17FFA">
        <w:rPr>
          <w:rFonts w:cs="Arial"/>
          <w:b/>
          <w:bCs/>
        </w:rPr>
        <w:t xml:space="preserve"> </w:t>
      </w:r>
      <w:r>
        <w:t>(Bedragen x € 1.000)</w:t>
      </w:r>
      <w:r w:rsidRPr="00634445">
        <w:t xml:space="preserve"> </w:t>
      </w:r>
    </w:p>
    <w:p w:rsidR="00CC43DC" w:rsidRDefault="00CC43DC" w:rsidP="00CC43DC"/>
    <w:tbl>
      <w:tblPr>
        <w:tblW w:w="6880" w:type="dxa"/>
        <w:tblInd w:w="55" w:type="dxa"/>
        <w:tblCellMar>
          <w:left w:w="70" w:type="dxa"/>
          <w:right w:w="70" w:type="dxa"/>
        </w:tblCellMar>
        <w:tblLook w:val="04A0" w:firstRow="1" w:lastRow="0" w:firstColumn="1" w:lastColumn="0" w:noHBand="0" w:noVBand="1"/>
      </w:tblPr>
      <w:tblGrid>
        <w:gridCol w:w="252"/>
        <w:gridCol w:w="5629"/>
        <w:gridCol w:w="999"/>
      </w:tblGrid>
      <w:tr w:rsidR="00CC43DC" w:rsidRPr="00D33EBA" w:rsidTr="00175626">
        <w:trPr>
          <w:trHeight w:val="315"/>
        </w:trPr>
        <w:tc>
          <w:tcPr>
            <w:tcW w:w="252" w:type="dxa"/>
            <w:tcBorders>
              <w:top w:val="single" w:sz="8" w:space="0" w:color="auto"/>
              <w:left w:val="nil"/>
              <w:bottom w:val="single" w:sz="8" w:space="0" w:color="auto"/>
              <w:right w:val="nil"/>
            </w:tcBorders>
            <w:shd w:val="clear" w:color="auto" w:fill="auto"/>
            <w:vAlign w:val="center"/>
            <w:hideMark/>
          </w:tcPr>
          <w:p w:rsidR="00CC43DC" w:rsidRPr="00D33EBA" w:rsidRDefault="00CC43DC" w:rsidP="00175626">
            <w:pPr>
              <w:rPr>
                <w:rFonts w:cs="Arial"/>
                <w:lang w:val="nl-NL"/>
              </w:rPr>
            </w:pPr>
            <w:r w:rsidRPr="00D33EBA">
              <w:rPr>
                <w:rFonts w:cs="Arial"/>
                <w:lang w:val="nl-NL"/>
              </w:rPr>
              <w:t> </w:t>
            </w:r>
          </w:p>
        </w:tc>
        <w:tc>
          <w:tcPr>
            <w:tcW w:w="5629" w:type="dxa"/>
            <w:tcBorders>
              <w:top w:val="single" w:sz="8" w:space="0" w:color="auto"/>
              <w:left w:val="nil"/>
              <w:bottom w:val="single" w:sz="8" w:space="0" w:color="auto"/>
              <w:right w:val="nil"/>
            </w:tcBorders>
            <w:shd w:val="clear" w:color="auto" w:fill="auto"/>
            <w:vAlign w:val="center"/>
            <w:hideMark/>
          </w:tcPr>
          <w:p w:rsidR="00CC43DC" w:rsidRPr="00D33EBA" w:rsidRDefault="00CC43DC" w:rsidP="00175626">
            <w:pPr>
              <w:rPr>
                <w:rFonts w:cs="Arial"/>
                <w:lang w:val="nl-NL"/>
              </w:rPr>
            </w:pPr>
            <w:r w:rsidRPr="00D33EBA">
              <w:rPr>
                <w:rFonts w:cs="Arial"/>
                <w:lang w:val="nl-NL"/>
              </w:rPr>
              <w:t> </w:t>
            </w:r>
          </w:p>
        </w:tc>
        <w:tc>
          <w:tcPr>
            <w:tcW w:w="999" w:type="dxa"/>
            <w:tcBorders>
              <w:top w:val="single" w:sz="8" w:space="0" w:color="auto"/>
              <w:left w:val="nil"/>
              <w:bottom w:val="single" w:sz="8" w:space="0" w:color="auto"/>
              <w:right w:val="nil"/>
            </w:tcBorders>
            <w:shd w:val="clear" w:color="auto" w:fill="auto"/>
            <w:vAlign w:val="center"/>
            <w:hideMark/>
          </w:tcPr>
          <w:p w:rsidR="00CC43DC" w:rsidRPr="00D33EBA" w:rsidRDefault="00CC43DC" w:rsidP="00175626">
            <w:pPr>
              <w:jc w:val="right"/>
              <w:rPr>
                <w:rFonts w:cs="Arial"/>
                <w:lang w:val="nl-NL"/>
              </w:rPr>
            </w:pPr>
            <w:r w:rsidRPr="00D33EBA">
              <w:rPr>
                <w:rFonts w:cs="Arial"/>
                <w:lang w:val="nl-NL"/>
              </w:rPr>
              <w:t>uitgaven</w:t>
            </w:r>
          </w:p>
        </w:tc>
      </w:tr>
      <w:tr w:rsidR="00CC43DC" w:rsidRPr="00D33EBA" w:rsidTr="00175626">
        <w:trPr>
          <w:trHeight w:val="300"/>
        </w:trPr>
        <w:tc>
          <w:tcPr>
            <w:tcW w:w="252" w:type="dxa"/>
            <w:tcBorders>
              <w:top w:val="nil"/>
              <w:left w:val="nil"/>
              <w:bottom w:val="nil"/>
              <w:right w:val="nil"/>
            </w:tcBorders>
            <w:shd w:val="clear" w:color="auto" w:fill="auto"/>
            <w:noWrap/>
            <w:vAlign w:val="bottom"/>
            <w:hideMark/>
          </w:tcPr>
          <w:p w:rsidR="00CC43DC" w:rsidRPr="00D33EBA" w:rsidRDefault="00CC43DC" w:rsidP="00175626">
            <w:pPr>
              <w:rPr>
                <w:rFonts w:ascii="Calibri" w:hAnsi="Calibri" w:cs="Calibri"/>
                <w:lang w:val="nl-NL"/>
              </w:rPr>
            </w:pPr>
          </w:p>
        </w:tc>
        <w:tc>
          <w:tcPr>
            <w:tcW w:w="5629" w:type="dxa"/>
            <w:tcBorders>
              <w:top w:val="nil"/>
              <w:left w:val="nil"/>
              <w:bottom w:val="nil"/>
              <w:right w:val="nil"/>
            </w:tcBorders>
            <w:shd w:val="clear" w:color="auto" w:fill="auto"/>
            <w:vAlign w:val="center"/>
            <w:hideMark/>
          </w:tcPr>
          <w:p w:rsidR="00CC43DC" w:rsidRPr="00D33EBA" w:rsidRDefault="00CC43DC" w:rsidP="00175626">
            <w:pPr>
              <w:rPr>
                <w:rFonts w:cs="Arial"/>
                <w:b/>
                <w:bCs/>
                <w:lang w:val="nl-NL"/>
              </w:rPr>
            </w:pPr>
            <w:r w:rsidRPr="00D33EBA">
              <w:rPr>
                <w:rFonts w:cs="Arial"/>
                <w:b/>
                <w:bCs/>
                <w:lang w:val="nl-NL"/>
              </w:rPr>
              <w:t>Stand ontwerpbegroting 201</w:t>
            </w:r>
            <w:r>
              <w:rPr>
                <w:rFonts w:cs="Arial"/>
                <w:b/>
                <w:bCs/>
                <w:lang w:val="nl-NL"/>
              </w:rPr>
              <w:t>5</w:t>
            </w:r>
          </w:p>
        </w:tc>
        <w:tc>
          <w:tcPr>
            <w:tcW w:w="999" w:type="dxa"/>
            <w:tcBorders>
              <w:top w:val="nil"/>
              <w:left w:val="nil"/>
              <w:bottom w:val="nil"/>
              <w:right w:val="nil"/>
            </w:tcBorders>
            <w:shd w:val="clear" w:color="auto" w:fill="auto"/>
            <w:vAlign w:val="center"/>
            <w:hideMark/>
          </w:tcPr>
          <w:p w:rsidR="00CC43DC" w:rsidRPr="00D33EBA" w:rsidRDefault="00CC43DC" w:rsidP="00175626">
            <w:pPr>
              <w:jc w:val="right"/>
              <w:rPr>
                <w:rFonts w:cs="Arial"/>
                <w:b/>
                <w:bCs/>
                <w:lang w:val="nl-NL"/>
              </w:rPr>
            </w:pPr>
            <w:r w:rsidRPr="00D33EBA">
              <w:rPr>
                <w:rFonts w:cs="Arial"/>
                <w:b/>
                <w:bCs/>
                <w:lang w:val="nl-NL"/>
              </w:rPr>
              <w:t>1.078</w:t>
            </w:r>
          </w:p>
        </w:tc>
      </w:tr>
      <w:tr w:rsidR="00CC43DC" w:rsidRPr="00D33EBA" w:rsidTr="00175626">
        <w:trPr>
          <w:trHeight w:val="300"/>
        </w:trPr>
        <w:tc>
          <w:tcPr>
            <w:tcW w:w="252" w:type="dxa"/>
            <w:tcBorders>
              <w:top w:val="nil"/>
              <w:left w:val="nil"/>
              <w:bottom w:val="nil"/>
              <w:right w:val="nil"/>
            </w:tcBorders>
            <w:shd w:val="clear" w:color="auto" w:fill="auto"/>
            <w:noWrap/>
            <w:vAlign w:val="bottom"/>
            <w:hideMark/>
          </w:tcPr>
          <w:p w:rsidR="00CC43DC" w:rsidRPr="00D33EBA" w:rsidRDefault="00CC43DC" w:rsidP="00175626">
            <w:pPr>
              <w:rPr>
                <w:rFonts w:ascii="Calibri" w:hAnsi="Calibri" w:cs="Calibri"/>
                <w:lang w:val="nl-NL"/>
              </w:rPr>
            </w:pPr>
          </w:p>
        </w:tc>
        <w:tc>
          <w:tcPr>
            <w:tcW w:w="5629" w:type="dxa"/>
            <w:tcBorders>
              <w:top w:val="nil"/>
              <w:left w:val="nil"/>
              <w:bottom w:val="nil"/>
              <w:right w:val="nil"/>
            </w:tcBorders>
            <w:shd w:val="clear" w:color="auto" w:fill="auto"/>
            <w:vAlign w:val="center"/>
            <w:hideMark/>
          </w:tcPr>
          <w:p w:rsidR="00CC43DC" w:rsidRPr="00D33EBA" w:rsidRDefault="00CC43DC" w:rsidP="00175626">
            <w:pPr>
              <w:rPr>
                <w:rFonts w:cs="Arial"/>
                <w:lang w:val="nl-NL"/>
              </w:rPr>
            </w:pPr>
          </w:p>
        </w:tc>
        <w:tc>
          <w:tcPr>
            <w:tcW w:w="999" w:type="dxa"/>
            <w:tcBorders>
              <w:top w:val="nil"/>
              <w:left w:val="nil"/>
              <w:bottom w:val="nil"/>
              <w:right w:val="nil"/>
            </w:tcBorders>
            <w:shd w:val="clear" w:color="auto" w:fill="auto"/>
            <w:vAlign w:val="center"/>
            <w:hideMark/>
          </w:tcPr>
          <w:p w:rsidR="00CC43DC" w:rsidRPr="00D33EBA" w:rsidRDefault="00CC43DC" w:rsidP="00175626">
            <w:pPr>
              <w:jc w:val="center"/>
              <w:rPr>
                <w:rFonts w:cs="Arial"/>
                <w:lang w:val="nl-NL"/>
              </w:rPr>
            </w:pPr>
          </w:p>
        </w:tc>
      </w:tr>
      <w:tr w:rsidR="00CC43DC" w:rsidRPr="00D33EBA" w:rsidTr="00175626">
        <w:trPr>
          <w:trHeight w:val="300"/>
        </w:trPr>
        <w:tc>
          <w:tcPr>
            <w:tcW w:w="252" w:type="dxa"/>
            <w:tcBorders>
              <w:top w:val="nil"/>
              <w:left w:val="nil"/>
              <w:bottom w:val="nil"/>
              <w:right w:val="nil"/>
            </w:tcBorders>
            <w:shd w:val="clear" w:color="auto" w:fill="auto"/>
            <w:noWrap/>
            <w:vAlign w:val="bottom"/>
            <w:hideMark/>
          </w:tcPr>
          <w:p w:rsidR="00CC43DC" w:rsidRPr="00D33EBA" w:rsidRDefault="00CC43DC" w:rsidP="00175626">
            <w:pPr>
              <w:rPr>
                <w:rFonts w:ascii="Calibri" w:hAnsi="Calibri" w:cs="Calibri"/>
                <w:lang w:val="nl-NL"/>
              </w:rPr>
            </w:pPr>
          </w:p>
        </w:tc>
        <w:tc>
          <w:tcPr>
            <w:tcW w:w="5629" w:type="dxa"/>
            <w:tcBorders>
              <w:top w:val="nil"/>
              <w:left w:val="nil"/>
              <w:bottom w:val="nil"/>
              <w:right w:val="nil"/>
            </w:tcBorders>
            <w:shd w:val="clear" w:color="auto" w:fill="auto"/>
            <w:vAlign w:val="center"/>
            <w:hideMark/>
          </w:tcPr>
          <w:p w:rsidR="00CC43DC" w:rsidRPr="00D33EBA" w:rsidRDefault="00CC43DC" w:rsidP="00175626">
            <w:pPr>
              <w:rPr>
                <w:rFonts w:cs="Arial"/>
                <w:lang w:val="nl-NL"/>
              </w:rPr>
            </w:pPr>
            <w:r w:rsidRPr="00D33EBA">
              <w:rPr>
                <w:rFonts w:cs="Arial"/>
                <w:lang w:val="nl-NL"/>
              </w:rPr>
              <w:t>Suppletoire mutaties:</w:t>
            </w:r>
          </w:p>
        </w:tc>
        <w:tc>
          <w:tcPr>
            <w:tcW w:w="999" w:type="dxa"/>
            <w:tcBorders>
              <w:top w:val="nil"/>
              <w:left w:val="nil"/>
              <w:bottom w:val="nil"/>
              <w:right w:val="nil"/>
            </w:tcBorders>
            <w:shd w:val="clear" w:color="auto" w:fill="auto"/>
            <w:vAlign w:val="center"/>
            <w:hideMark/>
          </w:tcPr>
          <w:p w:rsidR="00CC43DC" w:rsidRPr="00D33EBA" w:rsidRDefault="00CC43DC" w:rsidP="00175626">
            <w:pPr>
              <w:jc w:val="center"/>
              <w:rPr>
                <w:rFonts w:cs="Arial"/>
                <w:lang w:val="nl-NL"/>
              </w:rPr>
            </w:pPr>
          </w:p>
        </w:tc>
      </w:tr>
      <w:tr w:rsidR="00CC43DC" w:rsidRPr="00D33EBA" w:rsidTr="00175626">
        <w:trPr>
          <w:trHeight w:val="300"/>
        </w:trPr>
        <w:tc>
          <w:tcPr>
            <w:tcW w:w="252" w:type="dxa"/>
            <w:tcBorders>
              <w:top w:val="nil"/>
              <w:left w:val="nil"/>
              <w:bottom w:val="nil"/>
              <w:right w:val="nil"/>
            </w:tcBorders>
            <w:shd w:val="clear" w:color="auto" w:fill="auto"/>
            <w:vAlign w:val="center"/>
            <w:hideMark/>
          </w:tcPr>
          <w:p w:rsidR="00CC43DC" w:rsidRPr="00D33EBA" w:rsidRDefault="00CC43DC" w:rsidP="00175626">
            <w:pPr>
              <w:jc w:val="right"/>
              <w:rPr>
                <w:rFonts w:cs="Arial"/>
                <w:lang w:val="nl-NL"/>
              </w:rPr>
            </w:pPr>
            <w:r w:rsidRPr="00D33EBA">
              <w:rPr>
                <w:rFonts w:cs="Arial"/>
                <w:lang w:val="nl-NL"/>
              </w:rPr>
              <w:t>1</w:t>
            </w:r>
          </w:p>
        </w:tc>
        <w:tc>
          <w:tcPr>
            <w:tcW w:w="5629" w:type="dxa"/>
            <w:tcBorders>
              <w:top w:val="nil"/>
              <w:left w:val="nil"/>
              <w:bottom w:val="nil"/>
              <w:right w:val="nil"/>
            </w:tcBorders>
            <w:shd w:val="clear" w:color="auto" w:fill="auto"/>
            <w:vAlign w:val="center"/>
            <w:hideMark/>
          </w:tcPr>
          <w:p w:rsidR="00CC43DC" w:rsidRPr="00D33EBA" w:rsidRDefault="00CC43DC" w:rsidP="00175626">
            <w:pPr>
              <w:rPr>
                <w:rFonts w:cs="Arial"/>
                <w:lang w:val="nl-NL"/>
              </w:rPr>
            </w:pPr>
            <w:r w:rsidRPr="00D33EBA">
              <w:rPr>
                <w:rFonts w:cs="Arial"/>
                <w:lang w:val="nl-NL"/>
              </w:rPr>
              <w:t>Loon- en prijsbijstelling</w:t>
            </w:r>
          </w:p>
        </w:tc>
        <w:tc>
          <w:tcPr>
            <w:tcW w:w="999" w:type="dxa"/>
            <w:tcBorders>
              <w:top w:val="nil"/>
              <w:left w:val="nil"/>
              <w:bottom w:val="nil"/>
              <w:right w:val="nil"/>
            </w:tcBorders>
            <w:shd w:val="clear" w:color="auto" w:fill="auto"/>
            <w:vAlign w:val="center"/>
            <w:hideMark/>
          </w:tcPr>
          <w:p w:rsidR="00CC43DC" w:rsidRPr="00D33EBA" w:rsidRDefault="00CC43DC" w:rsidP="00175626">
            <w:pPr>
              <w:jc w:val="right"/>
              <w:rPr>
                <w:rFonts w:cs="Arial"/>
                <w:lang w:val="nl-NL"/>
              </w:rPr>
            </w:pPr>
            <w:r w:rsidRPr="00D33EBA">
              <w:rPr>
                <w:rFonts w:cs="Arial"/>
                <w:lang w:val="nl-NL"/>
              </w:rPr>
              <w:t>5</w:t>
            </w:r>
          </w:p>
        </w:tc>
      </w:tr>
      <w:tr w:rsidR="00CC43DC" w:rsidRPr="00D33EBA" w:rsidTr="00175626">
        <w:trPr>
          <w:trHeight w:val="315"/>
        </w:trPr>
        <w:tc>
          <w:tcPr>
            <w:tcW w:w="252" w:type="dxa"/>
            <w:tcBorders>
              <w:top w:val="nil"/>
              <w:left w:val="nil"/>
              <w:bottom w:val="single" w:sz="8" w:space="0" w:color="auto"/>
              <w:right w:val="nil"/>
            </w:tcBorders>
            <w:shd w:val="clear" w:color="auto" w:fill="auto"/>
            <w:noWrap/>
            <w:vAlign w:val="bottom"/>
            <w:hideMark/>
          </w:tcPr>
          <w:p w:rsidR="00CC43DC" w:rsidRPr="00D33EBA" w:rsidRDefault="00CC43DC" w:rsidP="00175626">
            <w:pPr>
              <w:rPr>
                <w:rFonts w:ascii="Calibri" w:hAnsi="Calibri" w:cs="Calibri"/>
                <w:lang w:val="nl-NL"/>
              </w:rPr>
            </w:pPr>
            <w:r w:rsidRPr="00D33EBA">
              <w:rPr>
                <w:rFonts w:ascii="Calibri" w:hAnsi="Calibri" w:cs="Calibri"/>
                <w:lang w:val="nl-NL"/>
              </w:rPr>
              <w:t> </w:t>
            </w:r>
          </w:p>
        </w:tc>
        <w:tc>
          <w:tcPr>
            <w:tcW w:w="5629" w:type="dxa"/>
            <w:tcBorders>
              <w:top w:val="nil"/>
              <w:left w:val="nil"/>
              <w:bottom w:val="single" w:sz="8" w:space="0" w:color="auto"/>
              <w:right w:val="nil"/>
            </w:tcBorders>
            <w:shd w:val="clear" w:color="auto" w:fill="auto"/>
            <w:vAlign w:val="center"/>
            <w:hideMark/>
          </w:tcPr>
          <w:p w:rsidR="00CC43DC" w:rsidRPr="00D33EBA" w:rsidRDefault="00CC43DC" w:rsidP="00175626">
            <w:pPr>
              <w:rPr>
                <w:rFonts w:cs="Arial"/>
                <w:b/>
                <w:bCs/>
                <w:lang w:val="nl-NL"/>
              </w:rPr>
            </w:pPr>
            <w:r w:rsidRPr="00D33EBA">
              <w:rPr>
                <w:rFonts w:cs="Arial"/>
                <w:b/>
                <w:bCs/>
                <w:lang w:val="nl-NL"/>
              </w:rPr>
              <w:t>Stand na 1e suppletoire begroting 201</w:t>
            </w:r>
            <w:r>
              <w:rPr>
                <w:rFonts w:cs="Arial"/>
                <w:b/>
                <w:bCs/>
                <w:lang w:val="nl-NL"/>
              </w:rPr>
              <w:t>5</w:t>
            </w:r>
          </w:p>
        </w:tc>
        <w:tc>
          <w:tcPr>
            <w:tcW w:w="999" w:type="dxa"/>
            <w:tcBorders>
              <w:top w:val="nil"/>
              <w:left w:val="nil"/>
              <w:bottom w:val="single" w:sz="8" w:space="0" w:color="auto"/>
              <w:right w:val="nil"/>
            </w:tcBorders>
            <w:shd w:val="clear" w:color="auto" w:fill="auto"/>
            <w:vAlign w:val="center"/>
            <w:hideMark/>
          </w:tcPr>
          <w:p w:rsidR="00CC43DC" w:rsidRPr="00D33EBA" w:rsidRDefault="00CC43DC" w:rsidP="00175626">
            <w:pPr>
              <w:jc w:val="right"/>
              <w:rPr>
                <w:rFonts w:cs="Arial"/>
                <w:b/>
                <w:bCs/>
                <w:lang w:val="nl-NL"/>
              </w:rPr>
            </w:pPr>
            <w:r w:rsidRPr="00D33EBA">
              <w:rPr>
                <w:rFonts w:cs="Arial"/>
                <w:b/>
                <w:bCs/>
                <w:lang w:val="nl-NL"/>
              </w:rPr>
              <w:t>1.083</w:t>
            </w:r>
          </w:p>
        </w:tc>
      </w:tr>
    </w:tbl>
    <w:p w:rsidR="00CC43DC" w:rsidRDefault="00CC43DC" w:rsidP="00CC43DC"/>
    <w:p w:rsidR="00CC43DC" w:rsidRDefault="00CC43DC" w:rsidP="00CC43DC">
      <w:pPr>
        <w:ind w:left="360"/>
        <w:rPr>
          <w:b/>
          <w:sz w:val="22"/>
        </w:rPr>
      </w:pPr>
    </w:p>
    <w:p w:rsidR="00CC43DC" w:rsidRDefault="00CC43DC" w:rsidP="00CC43DC"/>
    <w:p w:rsidR="00CC43DC" w:rsidRDefault="00CC43DC" w:rsidP="00CC43DC">
      <w:pPr>
        <w:rPr>
          <w:u w:val="single"/>
        </w:rPr>
      </w:pPr>
      <w:r w:rsidRPr="00E67DD4">
        <w:rPr>
          <w:u w:val="single"/>
        </w:rPr>
        <w:t>Toelichting</w:t>
      </w:r>
    </w:p>
    <w:p w:rsidR="00CC43DC" w:rsidRDefault="00CC43DC" w:rsidP="00CC43DC">
      <w:pPr>
        <w:rPr>
          <w:u w:val="single"/>
        </w:rPr>
      </w:pPr>
    </w:p>
    <w:p w:rsidR="00CC43DC" w:rsidRDefault="00CC43DC" w:rsidP="00CC43DC">
      <w:r>
        <w:t xml:space="preserve">1) </w:t>
      </w:r>
      <w:r w:rsidRPr="00215C00">
        <w:rPr>
          <w:color w:val="auto"/>
        </w:rPr>
        <w:t>Vanuit de aanvullende posten arbeidsvoorwaarden en prijsbijstelling is budget overgeheveld als tegemoetkoming voor de extra uitgaven als gevolg van de loonkostenontwikkeling en prijsstijginge</w:t>
      </w:r>
      <w:r>
        <w:rPr>
          <w:color w:val="auto"/>
        </w:rPr>
        <w:t>n</w:t>
      </w:r>
      <w:r>
        <w:t>.</w:t>
      </w:r>
    </w:p>
    <w:p w:rsidR="00CC43DC" w:rsidRDefault="00CC43DC" w:rsidP="00CC43DC">
      <w:pPr>
        <w:rPr>
          <w:u w:val="single"/>
        </w:rPr>
      </w:pPr>
    </w:p>
    <w:p w:rsidR="009E7070" w:rsidRDefault="009E7070">
      <w:bookmarkStart w:id="0" w:name="_GoBack"/>
      <w:bookmarkEnd w:id="0"/>
    </w:p>
    <w:sectPr w:rsidR="009E7070">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276" w:left="1985" w:header="567" w:footer="567"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BC" w:rsidRDefault="00CC43DC" w:rsidP="00A8079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C10EBC" w:rsidRDefault="00CC43DC" w:rsidP="00A8079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BC" w:rsidRDefault="00CC43DC" w:rsidP="00A8079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C10EBC" w:rsidRDefault="00CC43DC" w:rsidP="00A8079B">
    <w:pPr>
      <w:pStyle w:val="Voettekst"/>
      <w:ind w:right="36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BC" w:rsidRDefault="00CC43DC">
    <w:pPr>
      <w:pStyle w:val="Voettekst"/>
      <w:rPr>
        <w:lang w:val="nl-NL"/>
      </w:rPr>
    </w:pPr>
    <w:r>
      <w:rPr>
        <w:lang w:val="nl-NL"/>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r>
      <w:rPr>
        <w:lang w:val="nl-NL"/>
      </w:rPr>
      <w:tab/>
    </w:r>
    <w:r>
      <w:rPr>
        <w:lang w:val="nl-NL"/>
      </w:rPr>
      <w:tab/>
    </w:r>
    <w:r>
      <w:rPr>
        <w:rStyle w:val="Paginanummer"/>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65" w:rsidRDefault="00CC43D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BC" w:rsidRDefault="00CC43DC">
    <w:pPr>
      <w:pStyle w:val="Koptekst"/>
      <w:rPr>
        <w:lang w:val="nl-NL"/>
      </w:rPr>
    </w:pPr>
  </w:p>
  <w:p w:rsidR="00C10EBC" w:rsidRDefault="00CC43DC">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BC" w:rsidRDefault="00CC43DC">
    <w:pPr>
      <w:pStyle w:val="Koptekst"/>
      <w:rPr>
        <w:lang w:val="nl-NL"/>
      </w:rPr>
    </w:pPr>
    <w:r>
      <w:rPr>
        <w:lang w:val="nl-NL"/>
      </w:rPr>
      <w:tab/>
    </w:r>
    <w:r>
      <w:rPr>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85B"/>
    <w:multiLevelType w:val="hybridMultilevel"/>
    <w:tmpl w:val="D9F4EDC0"/>
    <w:lvl w:ilvl="0" w:tplc="1722C038">
      <w:start w:val="4"/>
      <w:numFmt w:val="decimal"/>
      <w:lvlText w:val="%1"/>
      <w:lvlJc w:val="left"/>
      <w:pPr>
        <w:tabs>
          <w:tab w:val="num" w:pos="705"/>
        </w:tabs>
        <w:ind w:left="705" w:hanging="705"/>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DC"/>
    <w:rsid w:val="00485333"/>
    <w:rsid w:val="004F79F1"/>
    <w:rsid w:val="009E7070"/>
    <w:rsid w:val="00A54391"/>
    <w:rsid w:val="00CC43DC"/>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C43DC"/>
    <w:rPr>
      <w:rFonts w:ascii="Arial" w:hAnsi="Arial"/>
      <w:color w:val="000000"/>
      <w:lang w:val="nl"/>
    </w:rPr>
  </w:style>
  <w:style w:type="paragraph" w:styleId="Kop1">
    <w:name w:val="heading 1"/>
    <w:basedOn w:val="Standaard"/>
    <w:next w:val="Standaard"/>
    <w:link w:val="Kop1Char"/>
    <w:qFormat/>
    <w:rsid w:val="00CC43DC"/>
    <w:pPr>
      <w:keepNext/>
      <w:widowControl w:val="0"/>
      <w:tabs>
        <w:tab w:val="left" w:pos="2268"/>
      </w:tabs>
      <w:spacing w:line="360" w:lineRule="auto"/>
      <w:ind w:left="2268" w:hanging="2268"/>
      <w:outlineLvl w:val="0"/>
    </w:pPr>
    <w:rPr>
      <w:b/>
      <w:color w:val="au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43DC"/>
    <w:rPr>
      <w:rFonts w:ascii="Arial" w:hAnsi="Arial"/>
      <w:b/>
    </w:rPr>
  </w:style>
  <w:style w:type="paragraph" w:styleId="Koptekst">
    <w:name w:val="header"/>
    <w:basedOn w:val="Standaard"/>
    <w:link w:val="KoptekstChar"/>
    <w:rsid w:val="00CC43DC"/>
    <w:pPr>
      <w:tabs>
        <w:tab w:val="center" w:pos="4536"/>
        <w:tab w:val="right" w:pos="9072"/>
      </w:tabs>
    </w:pPr>
    <w:rPr>
      <w:color w:val="auto"/>
    </w:rPr>
  </w:style>
  <w:style w:type="character" w:customStyle="1" w:styleId="KoptekstChar">
    <w:name w:val="Koptekst Char"/>
    <w:basedOn w:val="Standaardalinea-lettertype"/>
    <w:link w:val="Koptekst"/>
    <w:rsid w:val="00CC43DC"/>
    <w:rPr>
      <w:rFonts w:ascii="Arial" w:hAnsi="Arial"/>
      <w:lang w:val="nl"/>
    </w:rPr>
  </w:style>
  <w:style w:type="paragraph" w:customStyle="1" w:styleId="StandaardAfw">
    <w:name w:val="StandaardAfw"/>
    <w:basedOn w:val="Standaard"/>
    <w:rsid w:val="00CC43DC"/>
    <w:pPr>
      <w:tabs>
        <w:tab w:val="left" w:pos="2268"/>
      </w:tabs>
      <w:spacing w:after="120"/>
      <w:ind w:left="2268"/>
    </w:pPr>
    <w:rPr>
      <w:color w:val="auto"/>
      <w:lang w:val="nl-NL"/>
    </w:rPr>
  </w:style>
  <w:style w:type="paragraph" w:styleId="Voettekst">
    <w:name w:val="footer"/>
    <w:basedOn w:val="Standaard"/>
    <w:link w:val="VoettekstChar"/>
    <w:rsid w:val="00CC43DC"/>
    <w:pPr>
      <w:tabs>
        <w:tab w:val="center" w:pos="4536"/>
        <w:tab w:val="right" w:pos="9072"/>
      </w:tabs>
    </w:pPr>
  </w:style>
  <w:style w:type="character" w:customStyle="1" w:styleId="VoettekstChar">
    <w:name w:val="Voettekst Char"/>
    <w:basedOn w:val="Standaardalinea-lettertype"/>
    <w:link w:val="Voettekst"/>
    <w:rsid w:val="00CC43DC"/>
    <w:rPr>
      <w:rFonts w:ascii="Arial" w:hAnsi="Arial"/>
      <w:color w:val="000000"/>
      <w:lang w:val="nl"/>
    </w:rPr>
  </w:style>
  <w:style w:type="paragraph" w:styleId="Plattetekstinspringen2">
    <w:name w:val="Body Text Indent 2"/>
    <w:basedOn w:val="Standaard"/>
    <w:link w:val="Plattetekstinspringen2Char"/>
    <w:rsid w:val="00CC43DC"/>
    <w:pPr>
      <w:ind w:left="567"/>
    </w:pPr>
    <w:rPr>
      <w:lang w:eastAsia="x-none"/>
    </w:rPr>
  </w:style>
  <w:style w:type="character" w:customStyle="1" w:styleId="Plattetekstinspringen2Char">
    <w:name w:val="Platte tekst inspringen 2 Char"/>
    <w:basedOn w:val="Standaardalinea-lettertype"/>
    <w:link w:val="Plattetekstinspringen2"/>
    <w:rsid w:val="00CC43DC"/>
    <w:rPr>
      <w:rFonts w:ascii="Arial" w:hAnsi="Arial"/>
      <w:color w:val="000000"/>
      <w:lang w:val="nl" w:eastAsia="x-none"/>
    </w:rPr>
  </w:style>
  <w:style w:type="character" w:styleId="Paginanummer">
    <w:name w:val="page number"/>
    <w:basedOn w:val="Standaardalinea-lettertype"/>
    <w:rsid w:val="00CC4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C43DC"/>
    <w:rPr>
      <w:rFonts w:ascii="Arial" w:hAnsi="Arial"/>
      <w:color w:val="000000"/>
      <w:lang w:val="nl"/>
    </w:rPr>
  </w:style>
  <w:style w:type="paragraph" w:styleId="Kop1">
    <w:name w:val="heading 1"/>
    <w:basedOn w:val="Standaard"/>
    <w:next w:val="Standaard"/>
    <w:link w:val="Kop1Char"/>
    <w:qFormat/>
    <w:rsid w:val="00CC43DC"/>
    <w:pPr>
      <w:keepNext/>
      <w:widowControl w:val="0"/>
      <w:tabs>
        <w:tab w:val="left" w:pos="2268"/>
      </w:tabs>
      <w:spacing w:line="360" w:lineRule="auto"/>
      <w:ind w:left="2268" w:hanging="2268"/>
      <w:outlineLvl w:val="0"/>
    </w:pPr>
    <w:rPr>
      <w:b/>
      <w:color w:val="au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43DC"/>
    <w:rPr>
      <w:rFonts w:ascii="Arial" w:hAnsi="Arial"/>
      <w:b/>
    </w:rPr>
  </w:style>
  <w:style w:type="paragraph" w:styleId="Koptekst">
    <w:name w:val="header"/>
    <w:basedOn w:val="Standaard"/>
    <w:link w:val="KoptekstChar"/>
    <w:rsid w:val="00CC43DC"/>
    <w:pPr>
      <w:tabs>
        <w:tab w:val="center" w:pos="4536"/>
        <w:tab w:val="right" w:pos="9072"/>
      </w:tabs>
    </w:pPr>
    <w:rPr>
      <w:color w:val="auto"/>
    </w:rPr>
  </w:style>
  <w:style w:type="character" w:customStyle="1" w:styleId="KoptekstChar">
    <w:name w:val="Koptekst Char"/>
    <w:basedOn w:val="Standaardalinea-lettertype"/>
    <w:link w:val="Koptekst"/>
    <w:rsid w:val="00CC43DC"/>
    <w:rPr>
      <w:rFonts w:ascii="Arial" w:hAnsi="Arial"/>
      <w:lang w:val="nl"/>
    </w:rPr>
  </w:style>
  <w:style w:type="paragraph" w:customStyle="1" w:styleId="StandaardAfw">
    <w:name w:val="StandaardAfw"/>
    <w:basedOn w:val="Standaard"/>
    <w:rsid w:val="00CC43DC"/>
    <w:pPr>
      <w:tabs>
        <w:tab w:val="left" w:pos="2268"/>
      </w:tabs>
      <w:spacing w:after="120"/>
      <w:ind w:left="2268"/>
    </w:pPr>
    <w:rPr>
      <w:color w:val="auto"/>
      <w:lang w:val="nl-NL"/>
    </w:rPr>
  </w:style>
  <w:style w:type="paragraph" w:styleId="Voettekst">
    <w:name w:val="footer"/>
    <w:basedOn w:val="Standaard"/>
    <w:link w:val="VoettekstChar"/>
    <w:rsid w:val="00CC43DC"/>
    <w:pPr>
      <w:tabs>
        <w:tab w:val="center" w:pos="4536"/>
        <w:tab w:val="right" w:pos="9072"/>
      </w:tabs>
    </w:pPr>
  </w:style>
  <w:style w:type="character" w:customStyle="1" w:styleId="VoettekstChar">
    <w:name w:val="Voettekst Char"/>
    <w:basedOn w:val="Standaardalinea-lettertype"/>
    <w:link w:val="Voettekst"/>
    <w:rsid w:val="00CC43DC"/>
    <w:rPr>
      <w:rFonts w:ascii="Arial" w:hAnsi="Arial"/>
      <w:color w:val="000000"/>
      <w:lang w:val="nl"/>
    </w:rPr>
  </w:style>
  <w:style w:type="paragraph" w:styleId="Plattetekstinspringen2">
    <w:name w:val="Body Text Indent 2"/>
    <w:basedOn w:val="Standaard"/>
    <w:link w:val="Plattetekstinspringen2Char"/>
    <w:rsid w:val="00CC43DC"/>
    <w:pPr>
      <w:ind w:left="567"/>
    </w:pPr>
    <w:rPr>
      <w:lang w:eastAsia="x-none"/>
    </w:rPr>
  </w:style>
  <w:style w:type="character" w:customStyle="1" w:styleId="Plattetekstinspringen2Char">
    <w:name w:val="Platte tekst inspringen 2 Char"/>
    <w:basedOn w:val="Standaardalinea-lettertype"/>
    <w:link w:val="Plattetekstinspringen2"/>
    <w:rsid w:val="00CC43DC"/>
    <w:rPr>
      <w:rFonts w:ascii="Arial" w:hAnsi="Arial"/>
      <w:color w:val="000000"/>
      <w:lang w:val="nl" w:eastAsia="x-none"/>
    </w:rPr>
  </w:style>
  <w:style w:type="character" w:styleId="Paginanummer">
    <w:name w:val="page number"/>
    <w:basedOn w:val="Standaardalinea-lettertype"/>
    <w:rsid w:val="00CC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A8E6F-006D-4636-933E-A356A6D4A12E}"/>
</file>

<file path=customXml/itemProps2.xml><?xml version="1.0" encoding="utf-8"?>
<ds:datastoreItem xmlns:ds="http://schemas.openxmlformats.org/officeDocument/2006/customXml" ds:itemID="{951D2C02-9F47-4FDC-AA51-86FBA2BFBF04}"/>
</file>

<file path=customXml/itemProps3.xml><?xml version="1.0" encoding="utf-8"?>
<ds:datastoreItem xmlns:ds="http://schemas.openxmlformats.org/officeDocument/2006/customXml" ds:itemID="{F7C0193C-6FE2-4816-9604-529E82F69DA4}"/>
</file>

<file path=docProps/app.xml><?xml version="1.0" encoding="utf-8"?>
<Properties xmlns="http://schemas.openxmlformats.org/officeDocument/2006/extended-properties" xmlns:vt="http://schemas.openxmlformats.org/officeDocument/2006/docPropsVTypes">
  <Template>CF57014C.dotm</Template>
  <TotalTime>0</TotalTime>
  <Pages>6</Pages>
  <Words>1026</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2015-06-01T15:54:00Z</dcterms:created>
  <dcterms:modified xsi:type="dcterms:W3CDTF">2015-06-01T15:54:00Z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