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44" w:rsidRPr="007E6C70" w:rsidRDefault="00602244" w:rsidP="00602244">
      <w:pPr>
        <w:rPr>
          <w:rFonts w:cs="Arial"/>
          <w:b/>
          <w:sz w:val="24"/>
          <w:szCs w:val="24"/>
        </w:rPr>
      </w:pPr>
      <w:r w:rsidRPr="007E6C70">
        <w:rPr>
          <w:rFonts w:cs="Arial"/>
          <w:b/>
          <w:sz w:val="24"/>
          <w:szCs w:val="24"/>
        </w:rPr>
        <w:t>MEMORIE VAN TOELICHTING</w:t>
      </w:r>
    </w:p>
    <w:p w:rsidR="00602244" w:rsidRDefault="00602244" w:rsidP="00602244">
      <w:pPr>
        <w:rPr>
          <w:rFonts w:ascii="Verdana" w:hAnsi="Verdana"/>
          <w:szCs w:val="20"/>
        </w:rPr>
      </w:pPr>
    </w:p>
    <w:p w:rsidR="00602244" w:rsidRPr="007E6C70" w:rsidRDefault="00602244" w:rsidP="00602244">
      <w:pPr>
        <w:rPr>
          <w:rFonts w:cs="Arial"/>
          <w:b/>
          <w:sz w:val="24"/>
          <w:szCs w:val="24"/>
        </w:rPr>
      </w:pPr>
      <w:r w:rsidRPr="007E6C70">
        <w:rPr>
          <w:rFonts w:cs="Arial"/>
          <w:b/>
          <w:sz w:val="24"/>
          <w:szCs w:val="24"/>
        </w:rPr>
        <w:t>A. ARTIKELSGEWIJZE TOELICHTING BIJ HET WETSVOORSTEL</w:t>
      </w:r>
    </w:p>
    <w:p w:rsidR="00602244" w:rsidRPr="00307DAD" w:rsidRDefault="00602244" w:rsidP="00602244">
      <w:pPr>
        <w:rPr>
          <w:rFonts w:cs="Arial"/>
          <w:szCs w:val="20"/>
        </w:rPr>
      </w:pPr>
      <w:r w:rsidRPr="007E6C70">
        <w:rPr>
          <w:rFonts w:cs="Arial"/>
          <w:b/>
          <w:szCs w:val="20"/>
        </w:rPr>
        <w:t>Wetsartikel 1</w:t>
      </w:r>
      <w:r w:rsidRPr="007E6C70">
        <w:rPr>
          <w:rFonts w:cs="Arial"/>
          <w:b/>
          <w:szCs w:val="20"/>
        </w:rPr>
        <w:br/>
      </w:r>
      <w:r w:rsidRPr="00307DAD">
        <w:rPr>
          <w:rFonts w:cs="Arial"/>
          <w:szCs w:val="20"/>
        </w:rPr>
        <w:t>De begrotingsstaten die deel uitmaken van de Rijksbegroting, worden op grond van artikel 1, derde lid, van de Comptabiliteitswet 2001 elk afzonderlijk bij de wet vastgesteld en derhalve ook gewijzigd. Het onderhavige wetsvoorstel strekt ertoe om voor het jaar 201</w:t>
      </w:r>
      <w:r>
        <w:rPr>
          <w:rFonts w:cs="Arial"/>
          <w:szCs w:val="20"/>
        </w:rPr>
        <w:t>5</w:t>
      </w:r>
      <w:r w:rsidRPr="00307DAD">
        <w:rPr>
          <w:rFonts w:cs="Arial"/>
          <w:szCs w:val="20"/>
        </w:rPr>
        <w:t xml:space="preserve"> wijzigingen aan te brengen in de departementale begrotingsstaat van het Ministerie van Veiligheid en Justitie.</w:t>
      </w:r>
      <w:r w:rsidRPr="00307DAD">
        <w:rPr>
          <w:rFonts w:cs="Arial"/>
          <w:szCs w:val="20"/>
        </w:rPr>
        <w:br/>
      </w:r>
    </w:p>
    <w:p w:rsidR="00602244" w:rsidRPr="00307DAD" w:rsidRDefault="00602244" w:rsidP="00602244">
      <w:pPr>
        <w:rPr>
          <w:rFonts w:cs="Arial"/>
          <w:szCs w:val="20"/>
        </w:rPr>
      </w:pPr>
      <w:r w:rsidRPr="00307DAD">
        <w:rPr>
          <w:rFonts w:cs="Arial"/>
          <w:szCs w:val="20"/>
        </w:rPr>
        <w:t>De in de begrotingsstaten opgenomen begrotingsartikelen worden in onderdeel B van deze memorie van toelichting toegelicht (de zgn. begrotingstoelichting).</w:t>
      </w:r>
    </w:p>
    <w:p w:rsidR="00602244" w:rsidRPr="009A588D" w:rsidRDefault="00602244" w:rsidP="00602244">
      <w:pPr>
        <w:rPr>
          <w:rFonts w:ascii="Verdana" w:hAnsi="Verdana"/>
          <w:szCs w:val="20"/>
        </w:rPr>
      </w:pPr>
    </w:p>
    <w:p w:rsidR="00602244" w:rsidRPr="009A588D" w:rsidRDefault="00602244" w:rsidP="00602244">
      <w:pPr>
        <w:rPr>
          <w:rFonts w:ascii="Verdana" w:hAnsi="Verdana"/>
          <w:szCs w:val="20"/>
        </w:rPr>
      </w:pPr>
    </w:p>
    <w:p w:rsidR="00602244" w:rsidRPr="009A588D" w:rsidRDefault="00602244" w:rsidP="00602244">
      <w:pPr>
        <w:rPr>
          <w:rFonts w:ascii="Verdana" w:hAnsi="Verdana"/>
          <w:szCs w:val="20"/>
        </w:rPr>
      </w:pPr>
    </w:p>
    <w:p w:rsidR="00602244" w:rsidRPr="00307DAD" w:rsidRDefault="00602244" w:rsidP="00602244">
      <w:pPr>
        <w:rPr>
          <w:rFonts w:cs="Arial"/>
          <w:szCs w:val="20"/>
        </w:rPr>
      </w:pPr>
      <w:r w:rsidRPr="00307DAD">
        <w:rPr>
          <w:rFonts w:cs="Arial"/>
          <w:szCs w:val="20"/>
        </w:rPr>
        <w:t>De Minister van Veiligheid en Justitie,</w:t>
      </w:r>
    </w:p>
    <w:p w:rsidR="00602244" w:rsidRPr="00307DAD" w:rsidRDefault="00602244" w:rsidP="00602244">
      <w:pPr>
        <w:rPr>
          <w:rFonts w:cs="Arial"/>
          <w:szCs w:val="20"/>
        </w:rPr>
      </w:pPr>
    </w:p>
    <w:p w:rsidR="00602244" w:rsidRPr="00307DAD" w:rsidRDefault="00602244" w:rsidP="00602244">
      <w:pPr>
        <w:rPr>
          <w:rFonts w:cs="Arial"/>
          <w:szCs w:val="20"/>
        </w:rPr>
      </w:pPr>
      <w:r>
        <w:rPr>
          <w:rFonts w:cs="Arial"/>
          <w:szCs w:val="20"/>
        </w:rPr>
        <w:t>G.A. van der Steur</w:t>
      </w: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Default="00602244" w:rsidP="00602244">
      <w:pPr>
        <w:rPr>
          <w:rFonts w:ascii="Verdana" w:hAnsi="Verdana"/>
          <w:szCs w:val="20"/>
        </w:rPr>
      </w:pPr>
    </w:p>
    <w:p w:rsidR="00602244" w:rsidRPr="00BC12EE" w:rsidRDefault="00602244" w:rsidP="00602244">
      <w:pPr>
        <w:rPr>
          <w:rFonts w:cs="Arial"/>
          <w:b/>
          <w:sz w:val="24"/>
          <w:szCs w:val="24"/>
        </w:rPr>
      </w:pPr>
      <w:r w:rsidRPr="00BC12EE">
        <w:rPr>
          <w:rFonts w:cs="Arial"/>
          <w:b/>
          <w:sz w:val="24"/>
          <w:szCs w:val="24"/>
        </w:rPr>
        <w:t>B. BEGROTINGSTOELICHTING</w:t>
      </w:r>
    </w:p>
    <w:p w:rsidR="00602244" w:rsidRDefault="00602244" w:rsidP="00602244">
      <w:pPr>
        <w:rPr>
          <w:rFonts w:ascii="Verdana" w:hAnsi="Verdana"/>
          <w:szCs w:val="20"/>
        </w:rPr>
      </w:pPr>
    </w:p>
    <w:p w:rsidR="00602244" w:rsidRPr="00BC12EE" w:rsidRDefault="00602244" w:rsidP="00602244">
      <w:pPr>
        <w:rPr>
          <w:rFonts w:cs="Arial"/>
          <w:b/>
          <w:szCs w:val="20"/>
        </w:rPr>
      </w:pPr>
      <w:r w:rsidRPr="00BC12EE">
        <w:rPr>
          <w:rFonts w:cs="Arial"/>
          <w:b/>
          <w:szCs w:val="20"/>
        </w:rPr>
        <w:t>1. Leeswijzer</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3</w:t>
      </w:r>
    </w:p>
    <w:p w:rsidR="00602244" w:rsidRPr="00BC12EE" w:rsidRDefault="00602244" w:rsidP="00602244">
      <w:pPr>
        <w:rPr>
          <w:rFonts w:cs="Arial"/>
          <w:b/>
          <w:szCs w:val="20"/>
        </w:rPr>
      </w:pPr>
      <w:r w:rsidRPr="00BC12EE">
        <w:rPr>
          <w:rFonts w:cs="Arial"/>
          <w:b/>
          <w:szCs w:val="20"/>
        </w:rPr>
        <w:t>2. Het beleid</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4</w:t>
      </w:r>
    </w:p>
    <w:p w:rsidR="00602244" w:rsidRPr="00BC12EE" w:rsidRDefault="00602244" w:rsidP="00602244">
      <w:pPr>
        <w:rPr>
          <w:rFonts w:cs="Arial"/>
          <w:b/>
          <w:szCs w:val="20"/>
        </w:rPr>
      </w:pPr>
      <w:r w:rsidRPr="00BC12EE">
        <w:rPr>
          <w:rFonts w:cs="Arial"/>
          <w:b/>
          <w:szCs w:val="20"/>
        </w:rPr>
        <w:t>2.1 Overzicht belangrijkste uitgaven- en ontvangstenmutaties</w:t>
      </w:r>
      <w:r>
        <w:rPr>
          <w:rFonts w:cs="Arial"/>
          <w:b/>
          <w:szCs w:val="20"/>
        </w:rPr>
        <w:tab/>
      </w:r>
      <w:r>
        <w:rPr>
          <w:rFonts w:cs="Arial"/>
          <w:b/>
          <w:szCs w:val="20"/>
        </w:rPr>
        <w:tab/>
      </w:r>
      <w:r>
        <w:rPr>
          <w:rFonts w:cs="Arial"/>
          <w:b/>
          <w:szCs w:val="20"/>
        </w:rPr>
        <w:tab/>
      </w:r>
      <w:r>
        <w:rPr>
          <w:rFonts w:cs="Arial"/>
          <w:b/>
          <w:szCs w:val="20"/>
        </w:rPr>
        <w:tab/>
        <w:t>4</w:t>
      </w:r>
    </w:p>
    <w:p w:rsidR="00602244" w:rsidRPr="00BC12EE" w:rsidRDefault="00602244" w:rsidP="00602244">
      <w:pPr>
        <w:spacing w:line="240" w:lineRule="auto"/>
        <w:rPr>
          <w:rFonts w:cs="Arial"/>
          <w:b/>
          <w:szCs w:val="20"/>
        </w:rPr>
      </w:pPr>
      <w:r w:rsidRPr="00BC12EE">
        <w:rPr>
          <w:rFonts w:cs="Arial"/>
          <w:b/>
          <w:szCs w:val="20"/>
        </w:rPr>
        <w:t>2.2 De Beleidsartikelen</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7</w:t>
      </w:r>
      <w:r w:rsidRPr="00BC12EE">
        <w:rPr>
          <w:rFonts w:cs="Arial"/>
          <w:b/>
          <w:szCs w:val="20"/>
        </w:rPr>
        <w:br/>
      </w:r>
    </w:p>
    <w:p w:rsidR="00602244" w:rsidRPr="00BC12EE" w:rsidRDefault="00602244" w:rsidP="00602244">
      <w:pPr>
        <w:spacing w:line="240" w:lineRule="auto"/>
        <w:ind w:left="708"/>
        <w:rPr>
          <w:rFonts w:cs="Arial"/>
          <w:szCs w:val="20"/>
        </w:rPr>
      </w:pPr>
      <w:r w:rsidRPr="00BC12EE">
        <w:rPr>
          <w:rFonts w:cs="Arial"/>
          <w:szCs w:val="20"/>
        </w:rPr>
        <w:t>31 Nationale politie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7</w:t>
      </w:r>
      <w:r w:rsidRPr="00BC12EE">
        <w:rPr>
          <w:rFonts w:cs="Arial"/>
          <w:szCs w:val="20"/>
        </w:rPr>
        <w:br/>
        <w:t>32 Rechtspleging en rechtsbijstand</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8</w:t>
      </w:r>
      <w:r w:rsidRPr="00BC12EE">
        <w:rPr>
          <w:rFonts w:cs="Arial"/>
          <w:szCs w:val="20"/>
        </w:rPr>
        <w:br/>
        <w:t>33 Veiligheid en criminaliteitsbestrijding</w:t>
      </w:r>
      <w:r>
        <w:rPr>
          <w:rFonts w:cs="Arial"/>
          <w:szCs w:val="20"/>
        </w:rPr>
        <w:tab/>
      </w:r>
      <w:r>
        <w:rPr>
          <w:rFonts w:cs="Arial"/>
          <w:szCs w:val="20"/>
        </w:rPr>
        <w:tab/>
      </w:r>
      <w:r>
        <w:rPr>
          <w:rFonts w:cs="Arial"/>
          <w:szCs w:val="20"/>
        </w:rPr>
        <w:tab/>
      </w:r>
      <w:r>
        <w:rPr>
          <w:rFonts w:cs="Arial"/>
          <w:szCs w:val="20"/>
        </w:rPr>
        <w:tab/>
      </w:r>
      <w:r>
        <w:rPr>
          <w:rFonts w:cs="Arial"/>
          <w:szCs w:val="20"/>
        </w:rPr>
        <w:tab/>
        <w:t>10</w:t>
      </w:r>
      <w:r w:rsidRPr="00BC12EE">
        <w:rPr>
          <w:rFonts w:cs="Arial"/>
          <w:szCs w:val="20"/>
        </w:rPr>
        <w:br/>
        <w:t>34 Sanctietoepassing</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12</w:t>
      </w:r>
      <w:r w:rsidRPr="00BC12EE">
        <w:rPr>
          <w:rFonts w:cs="Arial"/>
          <w:szCs w:val="20"/>
        </w:rPr>
        <w:br/>
        <w:t>35 Jeugd</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14</w:t>
      </w:r>
      <w:r w:rsidRPr="00BC12EE">
        <w:rPr>
          <w:rFonts w:cs="Arial"/>
          <w:szCs w:val="20"/>
        </w:rPr>
        <w:br/>
        <w:t>36 Contraterrorisme en Nationaal Veiligheidsbeleid</w:t>
      </w:r>
      <w:r>
        <w:rPr>
          <w:rFonts w:cs="Arial"/>
          <w:szCs w:val="20"/>
        </w:rPr>
        <w:tab/>
      </w:r>
      <w:r>
        <w:rPr>
          <w:rFonts w:cs="Arial"/>
          <w:szCs w:val="20"/>
        </w:rPr>
        <w:tab/>
      </w:r>
      <w:r>
        <w:rPr>
          <w:rFonts w:cs="Arial"/>
          <w:szCs w:val="20"/>
        </w:rPr>
        <w:tab/>
      </w:r>
      <w:r>
        <w:rPr>
          <w:rFonts w:cs="Arial"/>
          <w:szCs w:val="20"/>
        </w:rPr>
        <w:tab/>
        <w:t>16</w:t>
      </w:r>
      <w:r w:rsidRPr="00BC12EE">
        <w:rPr>
          <w:rFonts w:cs="Arial"/>
          <w:szCs w:val="20"/>
        </w:rPr>
        <w:br/>
        <w:t>37 Vreemdelingen</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17</w:t>
      </w:r>
    </w:p>
    <w:p w:rsidR="00602244" w:rsidRPr="00C80897" w:rsidRDefault="00602244" w:rsidP="00602244">
      <w:pPr>
        <w:rPr>
          <w:rFonts w:ascii="Verdana" w:hAnsi="Verdana"/>
          <w:szCs w:val="20"/>
        </w:rPr>
      </w:pPr>
    </w:p>
    <w:p w:rsidR="00602244" w:rsidRPr="00BC12EE" w:rsidRDefault="00602244" w:rsidP="00602244">
      <w:pPr>
        <w:spacing w:line="240" w:lineRule="auto"/>
        <w:rPr>
          <w:rFonts w:cs="Arial"/>
          <w:b/>
          <w:szCs w:val="20"/>
        </w:rPr>
      </w:pPr>
      <w:r w:rsidRPr="00BC12EE">
        <w:rPr>
          <w:rFonts w:cs="Arial"/>
          <w:b/>
          <w:szCs w:val="20"/>
        </w:rPr>
        <w:t>2.3 De niet-beleidsartikelen</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18</w:t>
      </w:r>
      <w:r w:rsidRPr="00BC12EE">
        <w:rPr>
          <w:rFonts w:cs="Arial"/>
          <w:b/>
          <w:szCs w:val="20"/>
        </w:rPr>
        <w:br/>
      </w:r>
    </w:p>
    <w:p w:rsidR="00602244" w:rsidRPr="00BC12EE" w:rsidRDefault="00602244" w:rsidP="00602244">
      <w:pPr>
        <w:spacing w:line="240" w:lineRule="auto"/>
        <w:ind w:left="708"/>
        <w:rPr>
          <w:rFonts w:cs="Arial"/>
          <w:szCs w:val="20"/>
        </w:rPr>
      </w:pPr>
      <w:r w:rsidRPr="00BC12EE">
        <w:rPr>
          <w:rFonts w:cs="Arial"/>
          <w:szCs w:val="20"/>
        </w:rPr>
        <w:t>91 Apparaatsuitgaven kerndepartement</w:t>
      </w:r>
      <w:r>
        <w:rPr>
          <w:rFonts w:cs="Arial"/>
          <w:szCs w:val="20"/>
        </w:rPr>
        <w:tab/>
      </w:r>
      <w:r>
        <w:rPr>
          <w:rFonts w:cs="Arial"/>
          <w:szCs w:val="20"/>
        </w:rPr>
        <w:tab/>
      </w:r>
      <w:r>
        <w:rPr>
          <w:rFonts w:cs="Arial"/>
          <w:szCs w:val="20"/>
        </w:rPr>
        <w:tab/>
      </w:r>
      <w:r>
        <w:rPr>
          <w:rFonts w:cs="Arial"/>
          <w:szCs w:val="20"/>
        </w:rPr>
        <w:tab/>
      </w:r>
      <w:r>
        <w:rPr>
          <w:rFonts w:cs="Arial"/>
          <w:szCs w:val="20"/>
        </w:rPr>
        <w:tab/>
        <w:t>18</w:t>
      </w:r>
      <w:r w:rsidRPr="00BC12EE">
        <w:rPr>
          <w:rFonts w:cs="Arial"/>
          <w:szCs w:val="20"/>
        </w:rPr>
        <w:br/>
        <w:t>92 Nominaal en Onvoorzien</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20</w:t>
      </w:r>
      <w:r w:rsidRPr="00BC12EE">
        <w:rPr>
          <w:rFonts w:cs="Arial"/>
          <w:szCs w:val="20"/>
        </w:rPr>
        <w:br/>
        <w:t>93 Geheim</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21</w:t>
      </w:r>
    </w:p>
    <w:p w:rsidR="00602244" w:rsidRDefault="00602244" w:rsidP="00602244">
      <w:pPr>
        <w:spacing w:line="240" w:lineRule="auto"/>
        <w:ind w:left="708"/>
        <w:rPr>
          <w:rFonts w:ascii="Verdana" w:hAnsi="Verdana"/>
          <w:szCs w:val="20"/>
        </w:rPr>
      </w:pPr>
    </w:p>
    <w:p w:rsidR="00602244" w:rsidRDefault="00602244" w:rsidP="00602244"/>
    <w:p w:rsidR="00602244" w:rsidRDefault="00602244" w:rsidP="00602244">
      <w:pPr>
        <w:rPr>
          <w:rFonts w:ascii="Verdana" w:hAnsi="Verdana"/>
        </w:rPr>
      </w:pPr>
      <w:r w:rsidRPr="00BC12EE">
        <w:br/>
      </w: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rPr>
          <w:rFonts w:cs="Arial"/>
          <w:b/>
          <w:sz w:val="24"/>
          <w:szCs w:val="24"/>
        </w:rPr>
      </w:pPr>
      <w:bookmarkStart w:id="0" w:name="_Toc259535559"/>
      <w:bookmarkStart w:id="1" w:name="_Toc259535878"/>
      <w:bookmarkStart w:id="2" w:name="_Toc293396557"/>
    </w:p>
    <w:p w:rsidR="00602244" w:rsidRPr="00D62F3B" w:rsidRDefault="00602244" w:rsidP="00602244">
      <w:pPr>
        <w:rPr>
          <w:rFonts w:cs="Arial"/>
          <w:b/>
          <w:sz w:val="24"/>
          <w:szCs w:val="24"/>
        </w:rPr>
      </w:pPr>
      <w:r w:rsidRPr="00D62F3B">
        <w:rPr>
          <w:rFonts w:cs="Arial"/>
          <w:b/>
          <w:sz w:val="24"/>
          <w:szCs w:val="24"/>
        </w:rPr>
        <w:t xml:space="preserve">1. </w:t>
      </w:r>
      <w:bookmarkEnd w:id="0"/>
      <w:bookmarkEnd w:id="1"/>
      <w:bookmarkEnd w:id="2"/>
      <w:r w:rsidRPr="00D62F3B">
        <w:rPr>
          <w:rFonts w:cs="Arial"/>
          <w:b/>
          <w:sz w:val="24"/>
          <w:szCs w:val="24"/>
        </w:rPr>
        <w:t>LEESWIJZER</w:t>
      </w:r>
    </w:p>
    <w:p w:rsidR="00602244" w:rsidRPr="00845891" w:rsidRDefault="00602244" w:rsidP="00602244">
      <w:pPr>
        <w:rPr>
          <w:rFonts w:ascii="Verdana" w:hAnsi="Verdana"/>
          <w:szCs w:val="20"/>
        </w:rPr>
      </w:pPr>
    </w:p>
    <w:p w:rsidR="00602244" w:rsidRPr="00D62F3B" w:rsidRDefault="00602244" w:rsidP="00602244">
      <w:pPr>
        <w:spacing w:line="240" w:lineRule="auto"/>
        <w:rPr>
          <w:rFonts w:cs="Arial"/>
          <w:szCs w:val="20"/>
        </w:rPr>
      </w:pPr>
      <w:r w:rsidRPr="00D62F3B">
        <w:rPr>
          <w:rFonts w:cs="Arial"/>
          <w:szCs w:val="20"/>
        </w:rPr>
        <w:t>De eerste suppletoire begroting 201</w:t>
      </w:r>
      <w:r>
        <w:rPr>
          <w:rFonts w:cs="Arial"/>
          <w:szCs w:val="20"/>
        </w:rPr>
        <w:t>5</w:t>
      </w:r>
      <w:r w:rsidRPr="00D62F3B">
        <w:rPr>
          <w:rFonts w:cs="Arial"/>
          <w:szCs w:val="20"/>
        </w:rPr>
        <w:t xml:space="preserve"> geeft een beeld van de uitvoering van de begroting 201</w:t>
      </w:r>
      <w:r>
        <w:rPr>
          <w:rFonts w:cs="Arial"/>
          <w:szCs w:val="20"/>
        </w:rPr>
        <w:t>5</w:t>
      </w:r>
      <w:r w:rsidRPr="00D62F3B">
        <w:rPr>
          <w:rFonts w:cs="Arial"/>
          <w:szCs w:val="20"/>
        </w:rPr>
        <w:t xml:space="preserve"> en bevat de voorgestelde wijzigingen ten opzichte van de begroting 201</w:t>
      </w:r>
      <w:r>
        <w:rPr>
          <w:rFonts w:cs="Arial"/>
          <w:szCs w:val="20"/>
        </w:rPr>
        <w:t>5</w:t>
      </w:r>
      <w:r w:rsidRPr="00D62F3B">
        <w:rPr>
          <w:rFonts w:cs="Arial"/>
          <w:szCs w:val="20"/>
        </w:rPr>
        <w:t xml:space="preserve">. </w:t>
      </w:r>
    </w:p>
    <w:p w:rsidR="00602244" w:rsidRPr="00D62F3B" w:rsidRDefault="00602244" w:rsidP="00602244">
      <w:pPr>
        <w:spacing w:line="240" w:lineRule="auto"/>
        <w:rPr>
          <w:rFonts w:cs="Arial"/>
          <w:szCs w:val="20"/>
        </w:rPr>
      </w:pPr>
      <w:r w:rsidRPr="00D62F3B">
        <w:rPr>
          <w:rFonts w:cs="Arial"/>
          <w:szCs w:val="20"/>
        </w:rPr>
        <w:t xml:space="preserve">In hoofdstuk 2 is een overzicht opgenomen van de belangrijkste uitgaven- en ontvangstenmutaties op de beleidsartikelen (paragraaf 2.1). Het betreft mutaties die groter zijn dan € 10 mln. </w:t>
      </w:r>
    </w:p>
    <w:p w:rsidR="00602244" w:rsidRPr="00D62F3B" w:rsidRDefault="00602244" w:rsidP="00602244">
      <w:pPr>
        <w:spacing w:after="0" w:line="240" w:lineRule="auto"/>
        <w:rPr>
          <w:rFonts w:cs="Arial"/>
          <w:szCs w:val="20"/>
        </w:rPr>
      </w:pPr>
      <w:r w:rsidRPr="00D62F3B">
        <w:rPr>
          <w:rFonts w:cs="Arial"/>
          <w:szCs w:val="20"/>
        </w:rPr>
        <w:t xml:space="preserve">In paragraaf 2.2 is per beleidsartikel de tabel ‘budgettaire gevolgen van beleid’ opgenomen. In paragraaf 2.3 gebeurt dit voor de niet-beleidsartikelen. </w:t>
      </w:r>
    </w:p>
    <w:p w:rsidR="00602244" w:rsidRDefault="00602244" w:rsidP="00602244">
      <w:pPr>
        <w:spacing w:after="0"/>
        <w:rPr>
          <w:rFonts w:cs="Arial"/>
          <w:szCs w:val="20"/>
        </w:rPr>
      </w:pPr>
      <w:r w:rsidRPr="00D62F3B">
        <w:rPr>
          <w:rFonts w:cs="Arial"/>
          <w:szCs w:val="20"/>
        </w:rPr>
        <w:t>Na de tabel budgettaire gevolgen van beleid wordt een toelichting op de cijfers uit de kolom “mutaties 1ste suppletoire begroting 201</w:t>
      </w:r>
      <w:r>
        <w:rPr>
          <w:rFonts w:cs="Arial"/>
          <w:szCs w:val="20"/>
        </w:rPr>
        <w:t>5</w:t>
      </w:r>
      <w:r w:rsidRPr="00D62F3B">
        <w:rPr>
          <w:rFonts w:cs="Arial"/>
          <w:szCs w:val="20"/>
        </w:rPr>
        <w:t>” gegeven voor zover deze groter zijn dan € 5,0 mln. De mutaties kunnen zowel beleidsmatig als financieel technisch van aard zijn. Financieel technische mutaties worden conform de Rijksbegrotingsvoorschriften niet nader toegelicht.</w:t>
      </w:r>
      <w:r w:rsidRPr="00D62F3B">
        <w:rPr>
          <w:rFonts w:cs="Arial"/>
          <w:sz w:val="18"/>
          <w:szCs w:val="18"/>
        </w:rPr>
        <w:t xml:space="preserve"> </w:t>
      </w:r>
      <w:r w:rsidRPr="00D62F3B">
        <w:rPr>
          <w:rFonts w:cs="Arial"/>
          <w:szCs w:val="20"/>
        </w:rPr>
        <w:t>Voor de verplichtingmutaties is alleen een aanvullende aparte toelichting opgenomen als er sprake is van een opmerkelijk verschil met de uitgavenmutaties.</w:t>
      </w:r>
    </w:p>
    <w:p w:rsidR="00602244" w:rsidRDefault="00602244" w:rsidP="00602244">
      <w:pPr>
        <w:spacing w:after="0"/>
        <w:rPr>
          <w:rFonts w:cs="Arial"/>
          <w:szCs w:val="20"/>
        </w:rPr>
      </w:pPr>
    </w:p>
    <w:p w:rsidR="00602244" w:rsidRPr="000C1220" w:rsidRDefault="00602244" w:rsidP="00602244">
      <w:pPr>
        <w:rPr>
          <w:rFonts w:ascii="Verdana" w:hAnsi="Verdana"/>
          <w:szCs w:val="20"/>
        </w:rPr>
      </w:pPr>
    </w:p>
    <w:p w:rsidR="00602244" w:rsidRPr="000C1220" w:rsidRDefault="00602244" w:rsidP="00602244">
      <w:pPr>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ind w:left="708"/>
        <w:rPr>
          <w:rFonts w:ascii="Verdana" w:hAnsi="Verdana"/>
          <w:szCs w:val="20"/>
        </w:rPr>
      </w:pPr>
    </w:p>
    <w:p w:rsidR="00602244" w:rsidRDefault="00602244" w:rsidP="00602244">
      <w:pPr>
        <w:spacing w:line="240" w:lineRule="auto"/>
        <w:rPr>
          <w:rFonts w:cs="Arial"/>
          <w:b/>
          <w:sz w:val="24"/>
          <w:szCs w:val="24"/>
        </w:rPr>
      </w:pPr>
      <w:r>
        <w:br w:type="page"/>
      </w:r>
      <w:r w:rsidRPr="00974507">
        <w:rPr>
          <w:rFonts w:cs="Arial"/>
          <w:b/>
          <w:sz w:val="24"/>
          <w:szCs w:val="24"/>
        </w:rPr>
        <w:lastRenderedPageBreak/>
        <w:t>2. HET BELEID</w:t>
      </w:r>
    </w:p>
    <w:tbl>
      <w:tblPr>
        <w:tblW w:w="5000" w:type="pct"/>
        <w:tblCellMar>
          <w:left w:w="70" w:type="dxa"/>
          <w:right w:w="70" w:type="dxa"/>
        </w:tblCellMar>
        <w:tblLook w:val="04A0" w:firstRow="1" w:lastRow="0" w:firstColumn="1" w:lastColumn="0" w:noHBand="0" w:noVBand="1"/>
      </w:tblPr>
      <w:tblGrid>
        <w:gridCol w:w="7103"/>
        <w:gridCol w:w="1093"/>
        <w:gridCol w:w="970"/>
      </w:tblGrid>
      <w:tr w:rsidR="00602244" w:rsidRPr="00420C8C" w:rsidTr="00175626">
        <w:trPr>
          <w:trHeight w:val="255"/>
        </w:trPr>
        <w:tc>
          <w:tcPr>
            <w:tcW w:w="5000" w:type="pct"/>
            <w:gridSpan w:val="3"/>
            <w:noWrap/>
            <w:vAlign w:val="bottom"/>
            <w:hideMark/>
          </w:tcPr>
          <w:p w:rsidR="00602244" w:rsidRPr="00420C8C" w:rsidRDefault="00602244" w:rsidP="00175626">
            <w:pPr>
              <w:rPr>
                <w:rFonts w:cs="Arial"/>
                <w:lang w:eastAsia="en-US"/>
              </w:rPr>
            </w:pPr>
            <w:r w:rsidRPr="00420C8C">
              <w:rPr>
                <w:rFonts w:cs="Arial"/>
                <w:b/>
                <w:sz w:val="26"/>
                <w:szCs w:val="26"/>
              </w:rPr>
              <w:t>2.1 OVERZICHT BELANGRIJKSTE UITGAVEN- EN ONTVANGSTENMUTATIES</w:t>
            </w:r>
          </w:p>
        </w:tc>
      </w:tr>
      <w:tr w:rsidR="00602244" w:rsidRPr="00420C8C" w:rsidTr="00175626">
        <w:trPr>
          <w:trHeight w:val="255"/>
        </w:trPr>
        <w:tc>
          <w:tcPr>
            <w:tcW w:w="5000" w:type="pct"/>
            <w:gridSpan w:val="3"/>
            <w:noWrap/>
            <w:vAlign w:val="bottom"/>
            <w:hideMark/>
          </w:tcPr>
          <w:p w:rsidR="00602244" w:rsidRPr="00420C8C" w:rsidRDefault="00602244" w:rsidP="00175626">
            <w:pPr>
              <w:rPr>
                <w:rFonts w:cs="Arial"/>
                <w:sz w:val="24"/>
                <w:szCs w:val="24"/>
                <w:lang w:eastAsia="en-US"/>
              </w:rPr>
            </w:pPr>
            <w:r w:rsidRPr="00420C8C">
              <w:rPr>
                <w:rFonts w:cs="Arial"/>
                <w:sz w:val="24"/>
                <w:szCs w:val="24"/>
              </w:rPr>
              <w:t xml:space="preserve">Overzicht belangrijkste suppletoire uitgavenmutaties 2015 </w:t>
            </w:r>
          </w:p>
        </w:tc>
      </w:tr>
      <w:tr w:rsidR="00602244" w:rsidRPr="00420C8C" w:rsidTr="00175626">
        <w:trPr>
          <w:trHeight w:val="25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b/>
                <w:bCs/>
                <w:sz w:val="20"/>
                <w:szCs w:val="20"/>
              </w:rPr>
            </w:pPr>
          </w:p>
        </w:tc>
        <w:tc>
          <w:tcPr>
            <w:tcW w:w="1125" w:type="pct"/>
            <w:gridSpan w:val="2"/>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b/>
                <w:bCs/>
                <w:sz w:val="16"/>
                <w:szCs w:val="16"/>
              </w:rPr>
            </w:pPr>
            <w:r w:rsidRPr="00420C8C">
              <w:rPr>
                <w:rFonts w:ascii="Utopia" w:hAnsi="Utopia" w:cs="Arial"/>
                <w:b/>
                <w:bCs/>
                <w:sz w:val="16"/>
                <w:szCs w:val="16"/>
              </w:rPr>
              <w:t>x € 1.000</w:t>
            </w:r>
          </w:p>
        </w:tc>
      </w:tr>
      <w:tr w:rsidR="00602244" w:rsidRPr="00420C8C" w:rsidTr="00175626">
        <w:trPr>
          <w:trHeight w:val="225"/>
        </w:trPr>
        <w:tc>
          <w:tcPr>
            <w:tcW w:w="3875" w:type="pct"/>
            <w:tcBorders>
              <w:top w:val="single" w:sz="4" w:space="0" w:color="auto"/>
              <w:left w:val="nil"/>
              <w:bottom w:val="single" w:sz="4" w:space="0" w:color="auto"/>
              <w:right w:val="nil"/>
            </w:tcBorders>
            <w:shd w:val="clear" w:color="000000" w:fill="FFFFCC"/>
            <w:noWrap/>
            <w:vAlign w:val="center"/>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 </w:t>
            </w:r>
          </w:p>
        </w:tc>
        <w:tc>
          <w:tcPr>
            <w:tcW w:w="596" w:type="pct"/>
            <w:tcBorders>
              <w:top w:val="single" w:sz="4" w:space="0" w:color="auto"/>
              <w:left w:val="nil"/>
              <w:bottom w:val="single" w:sz="4" w:space="0" w:color="auto"/>
              <w:right w:val="nil"/>
            </w:tcBorders>
            <w:shd w:val="clear" w:color="000000" w:fill="FFFFCC"/>
            <w:vAlign w:val="center"/>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Beleidsartikel</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Uitgaven</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r>
      <w:tr w:rsidR="00602244" w:rsidRPr="00420C8C" w:rsidTr="00175626">
        <w:trPr>
          <w:trHeight w:val="25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Belangrijkste suppletoire mutaties:</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Arial" w:hAnsi="Arial" w:cs="Arial"/>
                <w:sz w:val="20"/>
                <w:szCs w:val="20"/>
              </w:rPr>
            </w:pP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Arial" w:hAnsi="Arial" w:cs="Arial"/>
                <w:sz w:val="20"/>
                <w:szCs w:val="20"/>
              </w:rPr>
            </w:pP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1. Exploitatiekosten C2000</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31</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10.400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2. Rechtsbijstand Prognosemodel Justitiële Ketens (PMJ)</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32</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31.200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3. Stichting thuiskopie</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33</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33.500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xml:space="preserve">4. PV-vergoeding </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33</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11.500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5. Aanzuiveren eigen vermogen Dienst Justitiële Inrichtingen (DJI)</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34</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77.000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6. Frictiekosten Dienst Justitiële Inrichtingen (DJI)</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34</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34.000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xml:space="preserve">7. </w:t>
            </w:r>
            <w:r>
              <w:rPr>
                <w:rFonts w:ascii="Utopia" w:hAnsi="Utopia" w:cs="Arial"/>
                <w:sz w:val="16"/>
                <w:szCs w:val="16"/>
              </w:rPr>
              <w:t xml:space="preserve">Lagere bezetting </w:t>
            </w:r>
            <w:r w:rsidRPr="00420C8C">
              <w:rPr>
                <w:rFonts w:ascii="Utopia" w:hAnsi="Utopia" w:cs="Arial"/>
                <w:sz w:val="16"/>
                <w:szCs w:val="16"/>
              </w:rPr>
              <w:t>Dienst Justitiële Inrichtingen (DJI)</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34, 35</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-10.300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8. Eerstejaarsopvang asielzoekers aan ODA</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37</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400.000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9. Gevolgen asielinstroom en inzet asielreserve.</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37</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61.880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10. Eindejaarsmarge 2014 Veiligheid en Justitie</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92</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78.800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11. Loonbijstelling tranche 2015</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92</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36.117</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xml:space="preserve">12. </w:t>
            </w:r>
            <w:r>
              <w:rPr>
                <w:rFonts w:ascii="Utopia" w:hAnsi="Utopia" w:cs="Arial"/>
                <w:sz w:val="16"/>
                <w:szCs w:val="16"/>
              </w:rPr>
              <w:t>Taakstelling VenJ</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92</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-30.000</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13. Bed, bad, brood</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92</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jc w:val="right"/>
              <w:rPr>
                <w:rFonts w:ascii="Utopia" w:hAnsi="Utopia" w:cs="Arial"/>
                <w:sz w:val="16"/>
                <w:szCs w:val="16"/>
              </w:rPr>
            </w:pPr>
            <w:r w:rsidRPr="00420C8C">
              <w:rPr>
                <w:rFonts w:ascii="Utopia" w:hAnsi="Utopia" w:cs="Arial"/>
                <w:sz w:val="16"/>
                <w:szCs w:val="16"/>
              </w:rPr>
              <w:t>13.333</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p>
        </w:tc>
      </w:tr>
      <w:tr w:rsidR="00602244" w:rsidRPr="00420C8C" w:rsidTr="00175626">
        <w:trPr>
          <w:trHeight w:val="225"/>
        </w:trPr>
        <w:tc>
          <w:tcPr>
            <w:tcW w:w="3875" w:type="pct"/>
            <w:tcBorders>
              <w:top w:val="single" w:sz="4" w:space="0" w:color="auto"/>
              <w:left w:val="nil"/>
              <w:bottom w:val="single" w:sz="4" w:space="0" w:color="auto"/>
              <w:right w:val="nil"/>
            </w:tcBorders>
            <w:shd w:val="clear" w:color="000000" w:fill="FFFFCC"/>
            <w:noWrap/>
            <w:vAlign w:val="center"/>
            <w:hideMark/>
          </w:tcPr>
          <w:p w:rsidR="00602244" w:rsidRPr="00420C8C" w:rsidRDefault="00602244" w:rsidP="00175626">
            <w:pPr>
              <w:spacing w:after="0" w:line="240" w:lineRule="auto"/>
              <w:rPr>
                <w:rFonts w:ascii="Utopia" w:hAnsi="Utopia" w:cs="Arial"/>
                <w:b/>
                <w:bCs/>
                <w:sz w:val="16"/>
                <w:szCs w:val="16"/>
              </w:rPr>
            </w:pPr>
            <w:r w:rsidRPr="00420C8C">
              <w:rPr>
                <w:rFonts w:ascii="Utopia" w:hAnsi="Utopia" w:cs="Arial"/>
                <w:b/>
                <w:bCs/>
                <w:sz w:val="16"/>
                <w:szCs w:val="16"/>
              </w:rPr>
              <w:t> </w:t>
            </w:r>
          </w:p>
        </w:tc>
        <w:tc>
          <w:tcPr>
            <w:tcW w:w="596" w:type="pct"/>
            <w:tcBorders>
              <w:top w:val="single" w:sz="4" w:space="0" w:color="auto"/>
              <w:left w:val="nil"/>
              <w:bottom w:val="single" w:sz="4" w:space="0" w:color="auto"/>
              <w:right w:val="nil"/>
            </w:tcBorders>
            <w:shd w:val="clear" w:color="000000" w:fill="FFFFCC"/>
            <w:vAlign w:val="center"/>
            <w:hideMark/>
          </w:tcPr>
          <w:p w:rsidR="00602244" w:rsidRPr="00420C8C" w:rsidRDefault="00602244" w:rsidP="00175626">
            <w:pPr>
              <w:spacing w:after="0" w:line="240" w:lineRule="auto"/>
              <w:rPr>
                <w:rFonts w:ascii="Utopia" w:hAnsi="Utopia" w:cs="Arial"/>
                <w:b/>
                <w:bCs/>
                <w:sz w:val="16"/>
                <w:szCs w:val="16"/>
              </w:rPr>
            </w:pPr>
            <w:r w:rsidRPr="00420C8C">
              <w:rPr>
                <w:rFonts w:ascii="Utopia" w:hAnsi="Utopia" w:cs="Arial"/>
                <w:b/>
                <w:bCs/>
                <w:sz w:val="16"/>
                <w:szCs w:val="16"/>
              </w:rPr>
              <w:t> </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420C8C" w:rsidRDefault="00602244" w:rsidP="00175626">
            <w:pPr>
              <w:spacing w:after="0" w:line="240" w:lineRule="auto"/>
              <w:rPr>
                <w:rFonts w:ascii="Utopia" w:hAnsi="Utopia" w:cs="Arial"/>
                <w:b/>
                <w:bCs/>
                <w:sz w:val="16"/>
                <w:szCs w:val="16"/>
              </w:rPr>
            </w:pPr>
            <w:r w:rsidRPr="00420C8C">
              <w:rPr>
                <w:rFonts w:ascii="Utopia" w:hAnsi="Utopia" w:cs="Arial"/>
                <w:b/>
                <w:bCs/>
                <w:sz w:val="16"/>
                <w:szCs w:val="16"/>
              </w:rPr>
              <w:t> </w:t>
            </w:r>
          </w:p>
        </w:tc>
      </w:tr>
      <w:tr w:rsidR="00602244" w:rsidRPr="00420C8C" w:rsidTr="00175626">
        <w:trPr>
          <w:trHeight w:val="225"/>
        </w:trPr>
        <w:tc>
          <w:tcPr>
            <w:tcW w:w="3875"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w:t>
            </w:r>
          </w:p>
        </w:tc>
        <w:tc>
          <w:tcPr>
            <w:tcW w:w="596"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w:t>
            </w:r>
          </w:p>
        </w:tc>
        <w:tc>
          <w:tcPr>
            <w:tcW w:w="529" w:type="pct"/>
            <w:tcBorders>
              <w:top w:val="nil"/>
              <w:left w:val="nil"/>
              <w:bottom w:val="nil"/>
              <w:right w:val="nil"/>
            </w:tcBorders>
            <w:shd w:val="clear" w:color="auto" w:fill="auto"/>
            <w:noWrap/>
            <w:vAlign w:val="bottom"/>
            <w:hideMark/>
          </w:tcPr>
          <w:p w:rsidR="00602244" w:rsidRPr="00420C8C" w:rsidRDefault="00602244" w:rsidP="00175626">
            <w:pPr>
              <w:spacing w:after="0" w:line="240" w:lineRule="auto"/>
              <w:rPr>
                <w:rFonts w:ascii="Utopia" w:hAnsi="Utopia" w:cs="Arial"/>
                <w:sz w:val="16"/>
                <w:szCs w:val="16"/>
              </w:rPr>
            </w:pPr>
            <w:r w:rsidRPr="00420C8C">
              <w:rPr>
                <w:rFonts w:ascii="Utopia" w:hAnsi="Utopia" w:cs="Arial"/>
                <w:sz w:val="16"/>
                <w:szCs w:val="16"/>
              </w:rPr>
              <w:t xml:space="preserve"> </w:t>
            </w:r>
          </w:p>
        </w:tc>
      </w:tr>
    </w:tbl>
    <w:p w:rsidR="00602244" w:rsidRPr="00974507" w:rsidRDefault="00602244" w:rsidP="00602244">
      <w:pPr>
        <w:rPr>
          <w:rFonts w:cs="Arial"/>
          <w:b/>
        </w:rPr>
      </w:pPr>
      <w:r w:rsidRPr="00974507">
        <w:rPr>
          <w:rFonts w:cs="Arial"/>
          <w:b/>
        </w:rPr>
        <w:t>Toelichting</w:t>
      </w:r>
    </w:p>
    <w:p w:rsidR="00602244" w:rsidRDefault="00602244" w:rsidP="00602244">
      <w:pPr>
        <w:spacing w:line="240" w:lineRule="auto"/>
        <w:rPr>
          <w:rFonts w:cs="Arial"/>
          <w:i/>
          <w:szCs w:val="20"/>
          <w:u w:val="single"/>
        </w:rPr>
      </w:pPr>
      <w:r w:rsidRPr="00974507">
        <w:rPr>
          <w:rFonts w:cs="Arial"/>
          <w:b/>
        </w:rPr>
        <w:t>Uitgaven</w:t>
      </w:r>
      <w:r w:rsidRPr="00974507">
        <w:rPr>
          <w:rFonts w:cs="Arial"/>
          <w:b/>
        </w:rPr>
        <w:br/>
      </w:r>
    </w:p>
    <w:p w:rsidR="00602244" w:rsidRPr="00F134BF" w:rsidRDefault="00602244" w:rsidP="00602244">
      <w:pPr>
        <w:numPr>
          <w:ilvl w:val="0"/>
          <w:numId w:val="11"/>
        </w:numPr>
        <w:spacing w:line="240" w:lineRule="auto"/>
      </w:pPr>
      <w:r w:rsidRPr="00B36DCE">
        <w:rPr>
          <w:i/>
          <w:u w:val="single"/>
        </w:rPr>
        <w:t>Exploitatiekosten C2000</w:t>
      </w:r>
      <w:r>
        <w:br/>
      </w:r>
      <w:r w:rsidRPr="00B36DCE">
        <w:t>Het betreft de jaarlijkse bijdrage (€ 10,4 mln.) van VWS en Defensie in de exploitatiekosten van het C2000 systeem in verband met het gebruik van het communicatienetwerk door de politie, brandweer en ambulancezorg.</w:t>
      </w:r>
    </w:p>
    <w:p w:rsidR="00602244" w:rsidRDefault="00602244" w:rsidP="00602244">
      <w:pPr>
        <w:numPr>
          <w:ilvl w:val="0"/>
          <w:numId w:val="11"/>
        </w:numPr>
        <w:spacing w:line="240" w:lineRule="auto"/>
      </w:pPr>
      <w:r>
        <w:rPr>
          <w:rFonts w:cs="Arial"/>
          <w:i/>
          <w:szCs w:val="20"/>
          <w:u w:val="single"/>
        </w:rPr>
        <w:t>Rechtsbijstand Prognosemodel Justitiële Ketens (PMJ)</w:t>
      </w:r>
      <w:r>
        <w:rPr>
          <w:rFonts w:cs="Arial"/>
          <w:i/>
          <w:szCs w:val="20"/>
          <w:u w:val="single"/>
        </w:rPr>
        <w:br/>
      </w:r>
      <w:r>
        <w:t>Uit het Prognosemodel Justitiële Ketens volgt een ophoging van het artikelonderdeel “toevoegingen rechtsbijstand”. De PMJ voorziet voor 2015 een groei in de behoefte van de rechtsbijstand ten opzichte van de eerdere raming, specifiek voor de reguliere straftoevoegingen, piketdiensten en toevoegingen in civiele zaken.</w:t>
      </w:r>
    </w:p>
    <w:p w:rsidR="00602244" w:rsidRPr="00BF007A" w:rsidRDefault="00602244" w:rsidP="00602244">
      <w:pPr>
        <w:pStyle w:val="Lijstalinea"/>
        <w:numPr>
          <w:ilvl w:val="0"/>
          <w:numId w:val="11"/>
        </w:numPr>
        <w:spacing w:line="240" w:lineRule="auto"/>
        <w:rPr>
          <w:rFonts w:cs="Arial"/>
          <w:color w:val="000000"/>
          <w:szCs w:val="20"/>
        </w:rPr>
      </w:pPr>
      <w:r w:rsidRPr="00137AEF">
        <w:rPr>
          <w:rFonts w:cs="Arial"/>
          <w:i/>
          <w:szCs w:val="20"/>
          <w:u w:val="single"/>
        </w:rPr>
        <w:t>Stichting thuiskopie</w:t>
      </w:r>
      <w:r w:rsidRPr="00137AEF">
        <w:rPr>
          <w:rFonts w:cs="Arial"/>
          <w:i/>
          <w:szCs w:val="20"/>
          <w:u w:val="single"/>
        </w:rPr>
        <w:br/>
      </w:r>
      <w:r w:rsidRPr="00137AEF">
        <w:rPr>
          <w:rFonts w:cs="Arial"/>
          <w:color w:val="222233"/>
          <w:szCs w:val="20"/>
        </w:rPr>
        <w:t>De Staat en Stichting Thuiskopie hebben op 8 december 2014 een schikking getroffen in hun geschil over de hoogte van de thuiskopieheffing in de jaren 2007-2012. VenJ betaalt € 33,5 mln. aan de stichting. Het geld is bedoeld voor de rechthebbenden, zoals auteurs, componisten en beeldend kunstenaars. De kasbetaling vindt plaats in 2015.</w:t>
      </w:r>
    </w:p>
    <w:p w:rsidR="00602244" w:rsidRPr="00137AEF" w:rsidRDefault="00602244" w:rsidP="00602244">
      <w:pPr>
        <w:numPr>
          <w:ilvl w:val="0"/>
          <w:numId w:val="11"/>
        </w:numPr>
        <w:spacing w:line="240" w:lineRule="auto"/>
      </w:pPr>
      <w:r w:rsidRPr="003A73F9">
        <w:rPr>
          <w:i/>
          <w:u w:val="single"/>
        </w:rPr>
        <w:t xml:space="preserve">PV-vergoeding </w:t>
      </w:r>
      <w:r w:rsidRPr="00137AEF">
        <w:br/>
        <w:t xml:space="preserve">De </w:t>
      </w:r>
      <w:r>
        <w:t>tijdelijke regeling PV</w:t>
      </w:r>
      <w:r w:rsidRPr="00137AEF">
        <w:t xml:space="preserve">-vergoeding </w:t>
      </w:r>
      <w:r>
        <w:t>bestuurlijke strafbeschikking is met ingang van 31 december 2014 beëindigd</w:t>
      </w:r>
      <w:r w:rsidRPr="00137AEF">
        <w:t xml:space="preserve">. Voor het jaar 2014 is </w:t>
      </w:r>
      <w:r>
        <w:t xml:space="preserve">er </w:t>
      </w:r>
      <w:r w:rsidRPr="00137AEF">
        <w:t>nog een juridische verplichting om de gemeente</w:t>
      </w:r>
      <w:r>
        <w:t>n</w:t>
      </w:r>
      <w:r w:rsidRPr="00137AEF">
        <w:t xml:space="preserve"> te compenseren voor deze vergoedingsregeling. </w:t>
      </w:r>
      <w:r>
        <w:t>Dit betreft de afrekening tranche 2014 van de PV-vergoeding.</w:t>
      </w:r>
      <w:r w:rsidRPr="00137AEF">
        <w:t xml:space="preserve"> </w:t>
      </w:r>
      <w:r>
        <w:t>De kasbetaling vindt plaats in 2015.</w:t>
      </w:r>
    </w:p>
    <w:p w:rsidR="00602244" w:rsidRDefault="00602244" w:rsidP="00602244">
      <w:pPr>
        <w:numPr>
          <w:ilvl w:val="0"/>
          <w:numId w:val="11"/>
        </w:numPr>
        <w:spacing w:line="240" w:lineRule="auto"/>
        <w:rPr>
          <w:rFonts w:cs="Arial"/>
          <w:szCs w:val="20"/>
        </w:rPr>
      </w:pPr>
      <w:r w:rsidRPr="00EE4875">
        <w:rPr>
          <w:rFonts w:cs="Arial"/>
          <w:i/>
          <w:szCs w:val="20"/>
          <w:u w:val="single"/>
        </w:rPr>
        <w:lastRenderedPageBreak/>
        <w:t>Aanzuiveren eigen vermogen Dienst Justitiële Inrichtingen (DJI)</w:t>
      </w:r>
      <w:r>
        <w:rPr>
          <w:rFonts w:cs="Arial"/>
          <w:szCs w:val="20"/>
        </w:rPr>
        <w:br/>
        <w:t>DJI had eind 2014 een negatief eigen vermogen van € 77 mln. Conform de Regeling Agentschappen wordt dit door VenJ aangezuiverd.</w:t>
      </w:r>
    </w:p>
    <w:p w:rsidR="00602244" w:rsidRPr="00253054" w:rsidRDefault="00602244" w:rsidP="00602244">
      <w:pPr>
        <w:numPr>
          <w:ilvl w:val="0"/>
          <w:numId w:val="11"/>
        </w:numPr>
        <w:spacing w:line="240" w:lineRule="atLeast"/>
        <w:ind w:left="357" w:hanging="357"/>
        <w:rPr>
          <w:rFonts w:cs="Calibri"/>
          <w:szCs w:val="20"/>
        </w:rPr>
      </w:pPr>
      <w:r w:rsidRPr="00253054">
        <w:rPr>
          <w:rFonts w:cs="Calibri"/>
          <w:i/>
          <w:u w:val="single"/>
        </w:rPr>
        <w:t>Frictiekosten Dienst Justitiële (DJI)</w:t>
      </w:r>
      <w:r w:rsidRPr="00253054">
        <w:rPr>
          <w:rFonts w:cs="Calibri"/>
          <w:i/>
          <w:u w:val="single"/>
        </w:rPr>
        <w:br/>
      </w:r>
      <w:r w:rsidRPr="00253054">
        <w:rPr>
          <w:rFonts w:cs="Calibri"/>
        </w:rPr>
        <w:t>De uitvoering van het Masterplan DJI (TK 24 587, nr. 535) heeft tot gevolg dat een aanzienlijk aantal justitiële inrichtingen wordt gesloten. Dit brengt onder andere frictiekosten ten aanzien van het vastgoed met zich mee. Op de Aanvullende Post bij het Ministerie van Financiën stond nog de bijdrage voor 2015 gereserveerd. De in 2015 benodigde middelen worden nu via de Aanvullende Post bij Financiën aan de begroting van VenJ beschikbaar gesteld</w:t>
      </w:r>
      <w:r w:rsidRPr="00253054">
        <w:rPr>
          <w:rFonts w:cs="Calibri"/>
          <w:szCs w:val="20"/>
        </w:rPr>
        <w:t xml:space="preserve">. </w:t>
      </w:r>
    </w:p>
    <w:p w:rsidR="00602244" w:rsidRPr="00B4271D" w:rsidRDefault="00602244" w:rsidP="00602244">
      <w:pPr>
        <w:numPr>
          <w:ilvl w:val="0"/>
          <w:numId w:val="11"/>
        </w:numPr>
        <w:rPr>
          <w:rFonts w:cs="Arial"/>
          <w:szCs w:val="20"/>
        </w:rPr>
      </w:pPr>
      <w:r>
        <w:rPr>
          <w:rFonts w:cs="Arial"/>
          <w:i/>
          <w:szCs w:val="20"/>
          <w:u w:val="single"/>
        </w:rPr>
        <w:t>Lagere bezetting Dienst Justitiële Inrichtingen (DJI)</w:t>
      </w:r>
      <w:r>
        <w:rPr>
          <w:rFonts w:cs="Arial"/>
          <w:i/>
          <w:szCs w:val="20"/>
          <w:u w:val="single"/>
        </w:rPr>
        <w:br/>
      </w:r>
      <w:r>
        <w:rPr>
          <w:rFonts w:cs="Arial"/>
          <w:szCs w:val="20"/>
        </w:rPr>
        <w:t>Wegens de</w:t>
      </w:r>
      <w:r w:rsidRPr="00B4271D">
        <w:rPr>
          <w:rFonts w:cs="Arial"/>
          <w:szCs w:val="20"/>
        </w:rPr>
        <w:t xml:space="preserve"> lage bezetting in </w:t>
      </w:r>
      <w:r>
        <w:rPr>
          <w:rFonts w:cs="Arial"/>
          <w:szCs w:val="20"/>
        </w:rPr>
        <w:t xml:space="preserve">het gevangeniswezen, </w:t>
      </w:r>
      <w:r w:rsidRPr="00B4271D">
        <w:rPr>
          <w:rFonts w:cs="Arial"/>
          <w:szCs w:val="20"/>
        </w:rPr>
        <w:t>de jeugdinrichtingen en de vreemdelingenbewaring</w:t>
      </w:r>
      <w:r>
        <w:rPr>
          <w:rFonts w:cs="Arial"/>
          <w:szCs w:val="20"/>
        </w:rPr>
        <w:t xml:space="preserve"> vallen bij DJI middelen vrij. Tevens kan de capacitaire taakstelling van DJI tijdelijk verlaagd worden vanwege de voorgenomen verhuur van Norgerhaven. Daarnaast worden extra middelen toegevoegd aan de Forensische zorg. Per saldo levert dit in 2015 circa 10 mln. op. </w:t>
      </w:r>
    </w:p>
    <w:p w:rsidR="00602244" w:rsidRDefault="00602244" w:rsidP="00602244">
      <w:pPr>
        <w:numPr>
          <w:ilvl w:val="0"/>
          <w:numId w:val="11"/>
        </w:numPr>
        <w:spacing w:line="240" w:lineRule="auto"/>
        <w:rPr>
          <w:rFonts w:cs="Arial"/>
          <w:szCs w:val="20"/>
        </w:rPr>
      </w:pPr>
      <w:r>
        <w:rPr>
          <w:rFonts w:cs="Arial"/>
          <w:i/>
          <w:szCs w:val="20"/>
          <w:u w:val="single"/>
        </w:rPr>
        <w:t>Eerstejaarsopvang asielzoekers aan ODA (Official Development Assistance)</w:t>
      </w:r>
      <w:r>
        <w:rPr>
          <w:rFonts w:cs="Arial"/>
          <w:szCs w:val="20"/>
        </w:rPr>
        <w:br/>
        <w:t>Door de verhoogde raming van de asielinstroom neemt de toerekening aan ODA in 2015 ook toe. Dit wordt naast de stijgende instroom</w:t>
      </w:r>
      <w:r w:rsidRPr="006D01E6">
        <w:rPr>
          <w:rFonts w:cs="Arial"/>
          <w:szCs w:val="20"/>
        </w:rPr>
        <w:t xml:space="preserve"> </w:t>
      </w:r>
      <w:r>
        <w:rPr>
          <w:rFonts w:cs="Arial"/>
          <w:szCs w:val="20"/>
        </w:rPr>
        <w:t>ook veroorzaakt door de oplopende opvangduur. De kosten voor de eerstejaarsopvang van asielzoekers uit DAC-landen worden toegerekend aan ODA.</w:t>
      </w:r>
    </w:p>
    <w:p w:rsidR="00602244" w:rsidRDefault="00602244" w:rsidP="00602244">
      <w:pPr>
        <w:numPr>
          <w:ilvl w:val="0"/>
          <w:numId w:val="11"/>
        </w:numPr>
        <w:spacing w:line="240" w:lineRule="auto"/>
        <w:rPr>
          <w:rFonts w:cs="Arial"/>
          <w:szCs w:val="20"/>
        </w:rPr>
      </w:pPr>
      <w:r w:rsidRPr="0027671A">
        <w:rPr>
          <w:rFonts w:cs="Arial"/>
          <w:i/>
          <w:szCs w:val="20"/>
          <w:u w:val="single"/>
        </w:rPr>
        <w:t>Gevolgen asielinstroom</w:t>
      </w:r>
      <w:r>
        <w:rPr>
          <w:rFonts w:cs="Arial"/>
          <w:i/>
          <w:szCs w:val="20"/>
          <w:u w:val="single"/>
        </w:rPr>
        <w:t xml:space="preserve"> en inzet asielreserve</w:t>
      </w:r>
      <w:r>
        <w:rPr>
          <w:rFonts w:cs="Arial"/>
          <w:szCs w:val="20"/>
        </w:rPr>
        <w:br/>
        <w:t xml:space="preserve">De verhoogde raming van de asielinstroom heeft grote financiële gevolgen voor VenJ. De hogere instroom leidt tot extra kosten bij o.a. de IND. Deze uitgaven worden gedekt binnen de begroting van VenJ. De dekking geschiedt deels door de inzet van de asielreserve. </w:t>
      </w:r>
    </w:p>
    <w:p w:rsidR="00602244" w:rsidRPr="00902E3D" w:rsidRDefault="00602244" w:rsidP="00602244">
      <w:pPr>
        <w:numPr>
          <w:ilvl w:val="0"/>
          <w:numId w:val="11"/>
        </w:numPr>
        <w:rPr>
          <w:rFonts w:ascii="Arial" w:eastAsia="Calibri" w:hAnsi="Arial" w:cs="Arial"/>
          <w:sz w:val="20"/>
          <w:szCs w:val="20"/>
          <w:lang w:eastAsia="en-US"/>
        </w:rPr>
      </w:pPr>
      <w:r w:rsidRPr="00902E3D">
        <w:rPr>
          <w:rFonts w:ascii="Arial" w:hAnsi="Arial" w:cs="Arial"/>
          <w:sz w:val="20"/>
          <w:szCs w:val="20"/>
        </w:rPr>
        <w:t xml:space="preserve"> </w:t>
      </w:r>
      <w:r w:rsidRPr="00D07BB6">
        <w:rPr>
          <w:rFonts w:ascii="Arial" w:hAnsi="Arial" w:cs="Arial"/>
          <w:i/>
          <w:sz w:val="20"/>
          <w:szCs w:val="20"/>
          <w:u w:val="single"/>
        </w:rPr>
        <w:t>Eindejaarsmarge 2014 (EJM) Veiligheid en Justitie</w:t>
      </w:r>
      <w:r w:rsidRPr="00902E3D">
        <w:rPr>
          <w:rFonts w:ascii="Arial" w:hAnsi="Arial" w:cs="Arial"/>
          <w:sz w:val="20"/>
          <w:szCs w:val="20"/>
        </w:rPr>
        <w:br/>
      </w:r>
      <w:r w:rsidRPr="00974507">
        <w:rPr>
          <w:rFonts w:ascii="Arial" w:hAnsi="Arial" w:cs="Arial"/>
          <w:sz w:val="20"/>
          <w:szCs w:val="20"/>
        </w:rPr>
        <w:t>In 201</w:t>
      </w:r>
      <w:r>
        <w:rPr>
          <w:rFonts w:ascii="Arial" w:hAnsi="Arial" w:cs="Arial"/>
          <w:sz w:val="20"/>
          <w:szCs w:val="20"/>
        </w:rPr>
        <w:t>4</w:t>
      </w:r>
      <w:r w:rsidRPr="00974507">
        <w:rPr>
          <w:rFonts w:ascii="Arial" w:hAnsi="Arial" w:cs="Arial"/>
          <w:sz w:val="20"/>
          <w:szCs w:val="20"/>
        </w:rPr>
        <w:t xml:space="preserve"> is het budget van het Ministerie van Veiligheid en Justitie niet volledig tot besteding </w:t>
      </w:r>
      <w:r w:rsidRPr="00160FB7">
        <w:rPr>
          <w:rFonts w:ascii="Arial" w:hAnsi="Arial" w:cs="Arial"/>
          <w:sz w:val="20"/>
          <w:szCs w:val="20"/>
        </w:rPr>
        <w:t>gekomen</w:t>
      </w:r>
      <w:r w:rsidRPr="00974507">
        <w:rPr>
          <w:rFonts w:ascii="Arial" w:hAnsi="Arial" w:cs="Arial"/>
          <w:sz w:val="20"/>
          <w:szCs w:val="20"/>
        </w:rPr>
        <w:t xml:space="preserve">. </w:t>
      </w:r>
      <w:r>
        <w:rPr>
          <w:rFonts w:ascii="Arial" w:hAnsi="Arial" w:cs="Arial"/>
          <w:sz w:val="20"/>
          <w:szCs w:val="20"/>
        </w:rPr>
        <w:t xml:space="preserve">Bij voorjaarsnota wordt de eindejaarsmarge van 2014 aan </w:t>
      </w:r>
      <w:r w:rsidRPr="00974507">
        <w:rPr>
          <w:rFonts w:ascii="Arial" w:hAnsi="Arial" w:cs="Arial"/>
          <w:sz w:val="20"/>
          <w:szCs w:val="20"/>
        </w:rPr>
        <w:t>de begroting van VenJ</w:t>
      </w:r>
      <w:r>
        <w:rPr>
          <w:rFonts w:ascii="Arial" w:hAnsi="Arial" w:cs="Arial"/>
          <w:sz w:val="20"/>
          <w:szCs w:val="20"/>
        </w:rPr>
        <w:t xml:space="preserve"> toegevoegd</w:t>
      </w:r>
      <w:r w:rsidRPr="00902E3D">
        <w:rPr>
          <w:rFonts w:ascii="Arial" w:eastAsia="Calibri" w:hAnsi="Arial" w:cs="Arial"/>
          <w:sz w:val="20"/>
          <w:szCs w:val="20"/>
          <w:lang w:eastAsia="en-US"/>
        </w:rPr>
        <w:t xml:space="preserve"> Een deel van deze </w:t>
      </w:r>
      <w:r>
        <w:rPr>
          <w:rFonts w:ascii="Arial" w:eastAsia="Calibri" w:hAnsi="Arial" w:cs="Arial"/>
          <w:sz w:val="20"/>
          <w:szCs w:val="20"/>
          <w:lang w:eastAsia="en-US"/>
        </w:rPr>
        <w:t>eindejaarsmarge is</w:t>
      </w:r>
      <w:r w:rsidRPr="00902E3D">
        <w:rPr>
          <w:rFonts w:ascii="Arial" w:eastAsia="Calibri" w:hAnsi="Arial" w:cs="Arial"/>
          <w:sz w:val="20"/>
          <w:szCs w:val="20"/>
          <w:lang w:eastAsia="en-US"/>
        </w:rPr>
        <w:t xml:space="preserve"> ingezet ter dekking van de VenJ-problematiek.</w:t>
      </w:r>
    </w:p>
    <w:p w:rsidR="00602244" w:rsidRPr="001F6DFE" w:rsidRDefault="00602244" w:rsidP="00602244">
      <w:pPr>
        <w:numPr>
          <w:ilvl w:val="0"/>
          <w:numId w:val="11"/>
        </w:numPr>
        <w:spacing w:line="240" w:lineRule="auto"/>
        <w:rPr>
          <w:rFonts w:ascii="Arial" w:hAnsi="Arial" w:cs="Arial"/>
          <w:sz w:val="20"/>
          <w:szCs w:val="20"/>
        </w:rPr>
      </w:pPr>
      <w:r w:rsidRPr="007B28A1">
        <w:rPr>
          <w:rFonts w:cs="Arial"/>
          <w:i/>
          <w:szCs w:val="20"/>
          <w:u w:val="single"/>
        </w:rPr>
        <w:t>Loonbijstelling tranche 2015</w:t>
      </w:r>
      <w:r w:rsidRPr="007B28A1">
        <w:rPr>
          <w:rFonts w:cs="Arial"/>
          <w:i/>
          <w:szCs w:val="20"/>
          <w:u w:val="single"/>
        </w:rPr>
        <w:br/>
      </w:r>
      <w:r w:rsidRPr="001F6DFE">
        <w:rPr>
          <w:rFonts w:ascii="Arial" w:hAnsi="Arial" w:cs="Arial"/>
          <w:sz w:val="20"/>
          <w:szCs w:val="20"/>
        </w:rPr>
        <w:t>Met deze mutatie wordt de loonbijstelling 201</w:t>
      </w:r>
      <w:r>
        <w:rPr>
          <w:rFonts w:ascii="Arial" w:hAnsi="Arial" w:cs="Arial"/>
          <w:sz w:val="20"/>
          <w:szCs w:val="20"/>
        </w:rPr>
        <w:t>5</w:t>
      </w:r>
      <w:r w:rsidRPr="001F6DFE">
        <w:rPr>
          <w:rFonts w:ascii="Arial" w:hAnsi="Arial" w:cs="Arial"/>
          <w:sz w:val="20"/>
          <w:szCs w:val="20"/>
        </w:rPr>
        <w:t xml:space="preserve"> aan de begroting van VenJ toegevoegd.</w:t>
      </w:r>
    </w:p>
    <w:p w:rsidR="00602244" w:rsidRPr="00F54817" w:rsidRDefault="00602244" w:rsidP="00602244">
      <w:pPr>
        <w:numPr>
          <w:ilvl w:val="0"/>
          <w:numId w:val="11"/>
        </w:numPr>
        <w:spacing w:line="240" w:lineRule="atLeast"/>
        <w:ind w:left="357" w:hanging="357"/>
        <w:rPr>
          <w:rFonts w:cs="Arial"/>
          <w:szCs w:val="20"/>
        </w:rPr>
      </w:pPr>
      <w:r>
        <w:rPr>
          <w:rFonts w:cs="Arial"/>
          <w:i/>
          <w:szCs w:val="20"/>
          <w:u w:val="single"/>
        </w:rPr>
        <w:t>Taakstelling VenJ</w:t>
      </w:r>
      <w:r>
        <w:rPr>
          <w:rFonts w:cs="Arial"/>
          <w:szCs w:val="20"/>
        </w:rPr>
        <w:br/>
        <w:t xml:space="preserve">Er is </w:t>
      </w:r>
      <w:r w:rsidRPr="00F54817">
        <w:rPr>
          <w:rFonts w:cs="Arial"/>
          <w:szCs w:val="20"/>
        </w:rPr>
        <w:t>taakstellend in 2015 en 2016 30 mln. en structureel vanaf 2017 60 mln. ingeboekt op de begroting van VenJ. De taakstelling zal in 2015 en 2016 worden ingevuld door de tariefsverlaging R</w:t>
      </w:r>
      <w:r>
        <w:rPr>
          <w:rFonts w:cs="Arial"/>
          <w:szCs w:val="20"/>
        </w:rPr>
        <w:t>VB</w:t>
      </w:r>
      <w:r w:rsidRPr="00F54817">
        <w:rPr>
          <w:rFonts w:cs="Arial"/>
          <w:szCs w:val="20"/>
        </w:rPr>
        <w:t>. In 2017 wordt circa de helft (32 mln.) van deze taakstelling ingevuld door de tariefsverlaging R</w:t>
      </w:r>
      <w:r>
        <w:rPr>
          <w:rFonts w:cs="Arial"/>
          <w:szCs w:val="20"/>
        </w:rPr>
        <w:t>VB</w:t>
      </w:r>
      <w:r w:rsidRPr="00F54817">
        <w:rPr>
          <w:rFonts w:cs="Arial"/>
          <w:szCs w:val="20"/>
        </w:rPr>
        <w:t>.</w:t>
      </w:r>
    </w:p>
    <w:p w:rsidR="00602244" w:rsidRDefault="00602244" w:rsidP="00602244">
      <w:pPr>
        <w:numPr>
          <w:ilvl w:val="0"/>
          <w:numId w:val="11"/>
        </w:numPr>
        <w:spacing w:line="240" w:lineRule="auto"/>
        <w:rPr>
          <w:rFonts w:cs="Arial"/>
          <w:szCs w:val="20"/>
        </w:rPr>
      </w:pPr>
      <w:r>
        <w:rPr>
          <w:rFonts w:cs="Arial"/>
          <w:i/>
          <w:szCs w:val="20"/>
          <w:u w:val="single"/>
        </w:rPr>
        <w:t>Bed, bad, brood</w:t>
      </w:r>
      <w:r>
        <w:rPr>
          <w:rFonts w:cs="Arial"/>
          <w:i/>
          <w:szCs w:val="20"/>
          <w:u w:val="single"/>
        </w:rPr>
        <w:br/>
      </w:r>
      <w:r>
        <w:rPr>
          <w:rFonts w:cs="Arial"/>
          <w:szCs w:val="20"/>
        </w:rPr>
        <w:t>Het kabinet heeft afgesproken dat uitgeprocedeerde asielzoekers in Nederland tijdelijk recht krijgen op de voorziening voor bed, bad en brood. Hiervoor is in 2015 € 13,3 mln. en structureel € 20 mln. beschikbaar gesteld.</w:t>
      </w:r>
    </w:p>
    <w:p w:rsidR="00602244" w:rsidRPr="003E22EC" w:rsidRDefault="00602244" w:rsidP="00602244">
      <w:pPr>
        <w:spacing w:line="240" w:lineRule="auto"/>
        <w:rPr>
          <w:rFonts w:cs="Arial"/>
          <w:b/>
          <w:sz w:val="24"/>
          <w:szCs w:val="24"/>
        </w:rPr>
      </w:pPr>
      <w:r w:rsidRPr="00974507">
        <w:rPr>
          <w:rFonts w:cs="Arial"/>
          <w:b/>
        </w:rPr>
        <w:br w:type="page"/>
      </w:r>
      <w:r w:rsidRPr="003E22EC">
        <w:rPr>
          <w:rFonts w:cs="Arial"/>
          <w:b/>
          <w:sz w:val="24"/>
          <w:szCs w:val="24"/>
        </w:rPr>
        <w:lastRenderedPageBreak/>
        <w:t xml:space="preserve">Overzicht belangrijkste suppletoire ontvangstenmutaties 2015 </w:t>
      </w:r>
    </w:p>
    <w:tbl>
      <w:tblPr>
        <w:tblW w:w="5000" w:type="pct"/>
        <w:tblCellMar>
          <w:left w:w="70" w:type="dxa"/>
          <w:right w:w="70" w:type="dxa"/>
        </w:tblCellMar>
        <w:tblLook w:val="04A0" w:firstRow="1" w:lastRow="0" w:firstColumn="1" w:lastColumn="0" w:noHBand="0" w:noVBand="1"/>
      </w:tblPr>
      <w:tblGrid>
        <w:gridCol w:w="7125"/>
        <w:gridCol w:w="1038"/>
        <w:gridCol w:w="1003"/>
      </w:tblGrid>
      <w:tr w:rsidR="00602244" w:rsidRPr="00DF303E" w:rsidTr="00175626">
        <w:trPr>
          <w:trHeight w:val="25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b/>
                <w:bCs/>
                <w:sz w:val="20"/>
                <w:szCs w:val="20"/>
              </w:rPr>
            </w:pPr>
          </w:p>
        </w:tc>
        <w:tc>
          <w:tcPr>
            <w:tcW w:w="1058" w:type="pct"/>
            <w:gridSpan w:val="2"/>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b/>
                <w:bCs/>
                <w:sz w:val="16"/>
                <w:szCs w:val="16"/>
              </w:rPr>
            </w:pPr>
            <w:r w:rsidRPr="00DF303E">
              <w:rPr>
                <w:rFonts w:ascii="Utopia" w:hAnsi="Utopia" w:cs="Arial"/>
                <w:b/>
                <w:bCs/>
                <w:sz w:val="16"/>
                <w:szCs w:val="16"/>
              </w:rPr>
              <w:t>x € 1.000</w:t>
            </w:r>
          </w:p>
        </w:tc>
      </w:tr>
      <w:tr w:rsidR="00602244" w:rsidRPr="00DF303E" w:rsidTr="00175626">
        <w:trPr>
          <w:trHeight w:val="225"/>
        </w:trPr>
        <w:tc>
          <w:tcPr>
            <w:tcW w:w="3942" w:type="pct"/>
            <w:tcBorders>
              <w:top w:val="single" w:sz="4" w:space="0" w:color="auto"/>
              <w:left w:val="nil"/>
              <w:bottom w:val="single" w:sz="4" w:space="0" w:color="auto"/>
              <w:right w:val="nil"/>
            </w:tcBorders>
            <w:shd w:val="clear" w:color="000000" w:fill="FFFFCC"/>
            <w:noWrap/>
            <w:vAlign w:val="center"/>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 </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Beleidsartikel</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Ontvangsten</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Belangrijkste suppletoire mutaties:</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1. Besparingsverliezen wetstrajecten</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32, 34</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-51.000</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2. Schikking SBM offshore</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33</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56.000</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3. Boeten en Transacties</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33</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-55.000</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4. Inzet asielreserve</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37</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35.500</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5. Tariefsverlaging Rijksgebouwendienst (RGD)</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91</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jc w:val="right"/>
              <w:rPr>
                <w:rFonts w:ascii="Utopia" w:hAnsi="Utopia" w:cs="Arial"/>
                <w:sz w:val="16"/>
                <w:szCs w:val="16"/>
              </w:rPr>
            </w:pPr>
            <w:r w:rsidRPr="00DF303E">
              <w:rPr>
                <w:rFonts w:ascii="Utopia" w:hAnsi="Utopia" w:cs="Arial"/>
                <w:sz w:val="16"/>
                <w:szCs w:val="16"/>
              </w:rPr>
              <w:t>50.100</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p>
        </w:tc>
      </w:tr>
      <w:tr w:rsidR="00602244" w:rsidRPr="00DF303E" w:rsidTr="00175626">
        <w:trPr>
          <w:trHeight w:val="225"/>
        </w:trPr>
        <w:tc>
          <w:tcPr>
            <w:tcW w:w="3942" w:type="pct"/>
            <w:tcBorders>
              <w:top w:val="single" w:sz="4" w:space="0" w:color="auto"/>
              <w:left w:val="nil"/>
              <w:bottom w:val="single" w:sz="4" w:space="0" w:color="auto"/>
              <w:right w:val="nil"/>
            </w:tcBorders>
            <w:shd w:val="clear" w:color="000000" w:fill="FFFFCC"/>
            <w:noWrap/>
            <w:vAlign w:val="center"/>
            <w:hideMark/>
          </w:tcPr>
          <w:p w:rsidR="00602244" w:rsidRPr="00DF303E" w:rsidRDefault="00602244" w:rsidP="00175626">
            <w:pPr>
              <w:spacing w:after="0" w:line="240" w:lineRule="auto"/>
              <w:rPr>
                <w:rFonts w:ascii="Utopia" w:hAnsi="Utopia" w:cs="Arial"/>
                <w:b/>
                <w:bCs/>
                <w:sz w:val="16"/>
                <w:szCs w:val="16"/>
              </w:rPr>
            </w:pPr>
            <w:r w:rsidRPr="00DF303E">
              <w:rPr>
                <w:rFonts w:ascii="Utopia" w:hAnsi="Utopia" w:cs="Arial"/>
                <w:b/>
                <w:bCs/>
                <w:sz w:val="16"/>
                <w:szCs w:val="16"/>
              </w:rPr>
              <w:t> </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DF303E" w:rsidRDefault="00602244" w:rsidP="00175626">
            <w:pPr>
              <w:spacing w:after="0" w:line="240" w:lineRule="auto"/>
              <w:rPr>
                <w:rFonts w:ascii="Utopia" w:hAnsi="Utopia" w:cs="Arial"/>
                <w:b/>
                <w:bCs/>
                <w:sz w:val="16"/>
                <w:szCs w:val="16"/>
              </w:rPr>
            </w:pPr>
            <w:r w:rsidRPr="00DF303E">
              <w:rPr>
                <w:rFonts w:ascii="Utopia" w:hAnsi="Utopia" w:cs="Arial"/>
                <w:b/>
                <w:bCs/>
                <w:sz w:val="16"/>
                <w:szCs w:val="16"/>
              </w:rPr>
              <w:t> </w:t>
            </w:r>
          </w:p>
        </w:tc>
        <w:tc>
          <w:tcPr>
            <w:tcW w:w="529" w:type="pct"/>
            <w:tcBorders>
              <w:top w:val="single" w:sz="4" w:space="0" w:color="auto"/>
              <w:left w:val="nil"/>
              <w:bottom w:val="single" w:sz="4" w:space="0" w:color="auto"/>
              <w:right w:val="nil"/>
            </w:tcBorders>
            <w:shd w:val="clear" w:color="000000" w:fill="FFFFCC"/>
            <w:vAlign w:val="center"/>
            <w:hideMark/>
          </w:tcPr>
          <w:p w:rsidR="00602244" w:rsidRPr="00DF303E" w:rsidRDefault="00602244" w:rsidP="00175626">
            <w:pPr>
              <w:spacing w:after="0" w:line="240" w:lineRule="auto"/>
              <w:rPr>
                <w:rFonts w:ascii="Utopia" w:hAnsi="Utopia" w:cs="Arial"/>
                <w:b/>
                <w:bCs/>
                <w:sz w:val="16"/>
                <w:szCs w:val="16"/>
              </w:rPr>
            </w:pPr>
            <w:r w:rsidRPr="00DF303E">
              <w:rPr>
                <w:rFonts w:ascii="Utopia" w:hAnsi="Utopia" w:cs="Arial"/>
                <w:b/>
                <w:bCs/>
                <w:sz w:val="16"/>
                <w:szCs w:val="16"/>
              </w:rPr>
              <w:t> </w:t>
            </w:r>
          </w:p>
        </w:tc>
      </w:tr>
      <w:tr w:rsidR="00602244" w:rsidRPr="00DF303E" w:rsidTr="00175626">
        <w:trPr>
          <w:trHeight w:val="225"/>
        </w:trPr>
        <w:tc>
          <w:tcPr>
            <w:tcW w:w="3942"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 </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 </w:t>
            </w:r>
          </w:p>
        </w:tc>
        <w:tc>
          <w:tcPr>
            <w:tcW w:w="529" w:type="pct"/>
            <w:tcBorders>
              <w:top w:val="nil"/>
              <w:left w:val="nil"/>
              <w:bottom w:val="nil"/>
              <w:right w:val="nil"/>
            </w:tcBorders>
            <w:shd w:val="clear" w:color="auto" w:fill="auto"/>
            <w:noWrap/>
            <w:vAlign w:val="bottom"/>
            <w:hideMark/>
          </w:tcPr>
          <w:p w:rsidR="00602244" w:rsidRPr="00DF303E" w:rsidRDefault="00602244" w:rsidP="00175626">
            <w:pPr>
              <w:spacing w:after="0" w:line="240" w:lineRule="auto"/>
              <w:rPr>
                <w:rFonts w:ascii="Utopia" w:hAnsi="Utopia" w:cs="Arial"/>
                <w:sz w:val="16"/>
                <w:szCs w:val="16"/>
              </w:rPr>
            </w:pPr>
            <w:r w:rsidRPr="00DF303E">
              <w:rPr>
                <w:rFonts w:ascii="Utopia" w:hAnsi="Utopia" w:cs="Arial"/>
                <w:sz w:val="16"/>
                <w:szCs w:val="16"/>
              </w:rPr>
              <w:t xml:space="preserve"> </w:t>
            </w:r>
          </w:p>
        </w:tc>
      </w:tr>
    </w:tbl>
    <w:p w:rsidR="00602244" w:rsidRDefault="00602244" w:rsidP="00602244">
      <w:pPr>
        <w:spacing w:line="240" w:lineRule="auto"/>
        <w:rPr>
          <w:rFonts w:ascii="Verdana" w:hAnsi="Verdana"/>
          <w:b/>
        </w:rPr>
      </w:pPr>
    </w:p>
    <w:p w:rsidR="00602244" w:rsidRPr="00171045" w:rsidRDefault="00602244" w:rsidP="00602244">
      <w:pPr>
        <w:spacing w:line="240" w:lineRule="auto"/>
        <w:rPr>
          <w:rFonts w:ascii="Verdana" w:hAnsi="Verdana"/>
          <w:b/>
        </w:rPr>
      </w:pPr>
      <w:r>
        <w:rPr>
          <w:rFonts w:ascii="Verdana" w:hAnsi="Verdana"/>
          <w:b/>
        </w:rPr>
        <w:t xml:space="preserve">Toelichtingen: </w:t>
      </w:r>
    </w:p>
    <w:p w:rsidR="00602244" w:rsidRPr="00040C34" w:rsidRDefault="00602244" w:rsidP="00602244">
      <w:pPr>
        <w:numPr>
          <w:ilvl w:val="0"/>
          <w:numId w:val="1"/>
        </w:numPr>
        <w:spacing w:after="0" w:line="240" w:lineRule="auto"/>
        <w:rPr>
          <w:rFonts w:cs="Arial"/>
          <w:szCs w:val="20"/>
        </w:rPr>
      </w:pPr>
      <w:r>
        <w:rPr>
          <w:rFonts w:cs="Arial"/>
          <w:i/>
          <w:szCs w:val="20"/>
          <w:u w:val="single"/>
        </w:rPr>
        <w:t>Besparingsverliezen wetstrajecten</w:t>
      </w:r>
    </w:p>
    <w:p w:rsidR="00602244" w:rsidRDefault="00602244" w:rsidP="00602244">
      <w:pPr>
        <w:numPr>
          <w:ilvl w:val="0"/>
          <w:numId w:val="5"/>
        </w:numPr>
        <w:spacing w:after="0" w:line="240" w:lineRule="auto"/>
        <w:rPr>
          <w:rFonts w:cs="Arial"/>
          <w:szCs w:val="20"/>
        </w:rPr>
      </w:pPr>
      <w:r>
        <w:rPr>
          <w:rFonts w:cs="Arial"/>
          <w:szCs w:val="20"/>
        </w:rPr>
        <w:t>b</w:t>
      </w:r>
      <w:r w:rsidRPr="00534A42">
        <w:rPr>
          <w:rFonts w:cs="Arial"/>
          <w:szCs w:val="20"/>
        </w:rPr>
        <w:t xml:space="preserve">ij de griffierechten wordt </w:t>
      </w:r>
      <w:r>
        <w:rPr>
          <w:rFonts w:cs="Arial"/>
          <w:szCs w:val="20"/>
        </w:rPr>
        <w:t>a</w:t>
      </w:r>
      <w:r w:rsidRPr="001E4F96">
        <w:rPr>
          <w:rFonts w:cs="Arial"/>
          <w:szCs w:val="20"/>
        </w:rPr>
        <w:t>ls gevolg van een vertraging</w:t>
      </w:r>
      <w:r>
        <w:rPr>
          <w:rFonts w:cs="Arial"/>
          <w:szCs w:val="20"/>
        </w:rPr>
        <w:t xml:space="preserve"> van de</w:t>
      </w:r>
      <w:r w:rsidRPr="001E4F96">
        <w:rPr>
          <w:rFonts w:cs="Arial"/>
          <w:szCs w:val="20"/>
        </w:rPr>
        <w:t xml:space="preserve"> invoering </w:t>
      </w:r>
      <w:r>
        <w:rPr>
          <w:rFonts w:cs="Arial"/>
          <w:szCs w:val="20"/>
        </w:rPr>
        <w:t xml:space="preserve">van het </w:t>
      </w:r>
      <w:r w:rsidRPr="001E4F96">
        <w:rPr>
          <w:rFonts w:cs="Arial"/>
          <w:szCs w:val="20"/>
        </w:rPr>
        <w:t xml:space="preserve">wetsvoorstel aanpassing griffierechten een tegenvaller van € 19 mln. in 2015 verwacht. </w:t>
      </w:r>
      <w:r>
        <w:rPr>
          <w:rFonts w:cs="Arial"/>
          <w:szCs w:val="20"/>
        </w:rPr>
        <w:t xml:space="preserve">Er wordt uitgegaan van invoering per 1 januari 2016. </w:t>
      </w:r>
      <w:r w:rsidRPr="001E4F96">
        <w:rPr>
          <w:rFonts w:cs="Arial"/>
          <w:szCs w:val="20"/>
        </w:rPr>
        <w:t>Het besparingsverlies wordt binnen de begroting van VenJ van dekking voorzien</w:t>
      </w:r>
      <w:r>
        <w:rPr>
          <w:rFonts w:cs="Arial"/>
          <w:szCs w:val="20"/>
        </w:rPr>
        <w:t>.</w:t>
      </w:r>
    </w:p>
    <w:p w:rsidR="00602244" w:rsidRPr="00B54649" w:rsidRDefault="00602244" w:rsidP="00602244">
      <w:pPr>
        <w:numPr>
          <w:ilvl w:val="0"/>
          <w:numId w:val="5"/>
        </w:numPr>
        <w:spacing w:line="240" w:lineRule="auto"/>
        <w:rPr>
          <w:rFonts w:cs="Arial"/>
          <w:szCs w:val="20"/>
        </w:rPr>
      </w:pPr>
      <w:r>
        <w:rPr>
          <w:rFonts w:cs="Arial"/>
          <w:szCs w:val="20"/>
        </w:rPr>
        <w:t>Op de ontvangstenartikelen R</w:t>
      </w:r>
      <w:r w:rsidRPr="00B54649">
        <w:rPr>
          <w:rFonts w:cs="Arial"/>
          <w:szCs w:val="20"/>
        </w:rPr>
        <w:t xml:space="preserve">echtsbijstand en </w:t>
      </w:r>
      <w:r>
        <w:rPr>
          <w:rFonts w:cs="Arial"/>
          <w:szCs w:val="20"/>
        </w:rPr>
        <w:t>rechtspleging, en Sanctietoepassing</w:t>
      </w:r>
      <w:r w:rsidRPr="00B54649">
        <w:rPr>
          <w:rFonts w:cs="Arial"/>
          <w:szCs w:val="20"/>
        </w:rPr>
        <w:t xml:space="preserve"> wordt als gevolg van een vertraging</w:t>
      </w:r>
      <w:r>
        <w:rPr>
          <w:rFonts w:cs="Arial"/>
          <w:szCs w:val="20"/>
        </w:rPr>
        <w:t xml:space="preserve"> in de </w:t>
      </w:r>
      <w:r w:rsidRPr="00B54649">
        <w:rPr>
          <w:rFonts w:cs="Arial"/>
          <w:szCs w:val="20"/>
        </w:rPr>
        <w:t xml:space="preserve">invoering </w:t>
      </w:r>
      <w:r>
        <w:rPr>
          <w:rFonts w:cs="Arial"/>
          <w:szCs w:val="20"/>
        </w:rPr>
        <w:t xml:space="preserve">van de </w:t>
      </w:r>
      <w:r w:rsidRPr="00B54649">
        <w:rPr>
          <w:rFonts w:cs="Arial"/>
          <w:szCs w:val="20"/>
        </w:rPr>
        <w:t>wetsvoorstel</w:t>
      </w:r>
      <w:r>
        <w:rPr>
          <w:rFonts w:cs="Arial"/>
          <w:szCs w:val="20"/>
        </w:rPr>
        <w:t>len</w:t>
      </w:r>
      <w:r w:rsidRPr="00B54649">
        <w:rPr>
          <w:rFonts w:cs="Arial"/>
          <w:szCs w:val="20"/>
        </w:rPr>
        <w:t xml:space="preserve"> bijdrageregeling</w:t>
      </w:r>
      <w:r>
        <w:rPr>
          <w:rFonts w:cs="Arial"/>
          <w:szCs w:val="20"/>
        </w:rPr>
        <w:t>en</w:t>
      </w:r>
      <w:r w:rsidRPr="00B54649">
        <w:rPr>
          <w:rFonts w:cs="Arial"/>
          <w:szCs w:val="20"/>
        </w:rPr>
        <w:t xml:space="preserve"> een tegenvaller van € 32 mln. in 2015 verwacht. Er wordt uitgegaan van </w:t>
      </w:r>
      <w:r>
        <w:rPr>
          <w:rFonts w:cs="Arial"/>
          <w:szCs w:val="20"/>
        </w:rPr>
        <w:t>invoering per</w:t>
      </w:r>
      <w:r w:rsidRPr="00B54649">
        <w:rPr>
          <w:rFonts w:cs="Arial"/>
          <w:szCs w:val="20"/>
        </w:rPr>
        <w:t xml:space="preserve"> 1 januari 201</w:t>
      </w:r>
      <w:r>
        <w:rPr>
          <w:rFonts w:cs="Arial"/>
          <w:szCs w:val="20"/>
        </w:rPr>
        <w:t>6</w:t>
      </w:r>
      <w:r w:rsidRPr="00B54649">
        <w:rPr>
          <w:rFonts w:cs="Arial"/>
          <w:szCs w:val="20"/>
        </w:rPr>
        <w:t>. Het besparingsverlies wordt binnen de begroting van VenJ van dekking voorzien</w:t>
      </w:r>
      <w:r>
        <w:rPr>
          <w:rFonts w:cs="Arial"/>
          <w:szCs w:val="20"/>
        </w:rPr>
        <w:t>.</w:t>
      </w:r>
    </w:p>
    <w:p w:rsidR="00602244" w:rsidRPr="002E2597" w:rsidRDefault="00602244" w:rsidP="00602244">
      <w:pPr>
        <w:numPr>
          <w:ilvl w:val="0"/>
          <w:numId w:val="1"/>
        </w:numPr>
        <w:rPr>
          <w:rFonts w:cs="Arial"/>
          <w:szCs w:val="20"/>
        </w:rPr>
      </w:pPr>
      <w:r>
        <w:rPr>
          <w:rFonts w:cs="Arial"/>
          <w:i/>
          <w:szCs w:val="20"/>
          <w:u w:val="single"/>
        </w:rPr>
        <w:t>Schikking SBM Offshore</w:t>
      </w:r>
      <w:r w:rsidRPr="006579EB">
        <w:rPr>
          <w:rFonts w:cs="Arial"/>
          <w:i/>
          <w:szCs w:val="20"/>
          <w:u w:val="single"/>
        </w:rPr>
        <w:t xml:space="preserve"> </w:t>
      </w:r>
      <w:r w:rsidRPr="006579EB">
        <w:rPr>
          <w:rFonts w:cs="Arial"/>
          <w:i/>
          <w:szCs w:val="20"/>
          <w:u w:val="single"/>
        </w:rPr>
        <w:br/>
      </w:r>
      <w:r>
        <w:rPr>
          <w:rFonts w:cs="Arial"/>
          <w:szCs w:val="20"/>
        </w:rPr>
        <w:t>He</w:t>
      </w:r>
      <w:r w:rsidRPr="002E2597">
        <w:rPr>
          <w:rFonts w:cs="Arial"/>
          <w:szCs w:val="20"/>
        </w:rPr>
        <w:t>t Openbaar Ministerie heeft een meerjarige schikking getroffen met SBM Offshore</w:t>
      </w:r>
      <w:r>
        <w:rPr>
          <w:rFonts w:cs="Arial"/>
          <w:szCs w:val="20"/>
        </w:rPr>
        <w:t>. De 1</w:t>
      </w:r>
      <w:r w:rsidRPr="002E2597">
        <w:rPr>
          <w:rFonts w:cs="Arial"/>
          <w:szCs w:val="20"/>
          <w:vertAlign w:val="superscript"/>
        </w:rPr>
        <w:t>e</w:t>
      </w:r>
      <w:r>
        <w:rPr>
          <w:rFonts w:cs="Arial"/>
          <w:szCs w:val="20"/>
        </w:rPr>
        <w:t xml:space="preserve"> tranche is reeds in 2014 ontvangen. De 2</w:t>
      </w:r>
      <w:r w:rsidRPr="002E2597">
        <w:rPr>
          <w:rFonts w:cs="Arial"/>
          <w:szCs w:val="20"/>
          <w:vertAlign w:val="superscript"/>
        </w:rPr>
        <w:t>e</w:t>
      </w:r>
      <w:r>
        <w:rPr>
          <w:rFonts w:cs="Arial"/>
          <w:szCs w:val="20"/>
        </w:rPr>
        <w:t xml:space="preserve"> en 3</w:t>
      </w:r>
      <w:r w:rsidRPr="002E2597">
        <w:rPr>
          <w:rFonts w:cs="Arial"/>
          <w:szCs w:val="20"/>
          <w:vertAlign w:val="superscript"/>
        </w:rPr>
        <w:t>e</w:t>
      </w:r>
      <w:r>
        <w:rPr>
          <w:rFonts w:cs="Arial"/>
          <w:szCs w:val="20"/>
        </w:rPr>
        <w:t xml:space="preserve"> tranche van deze schikking wordt in 2015 (€ 56 mln.) en 2016 (€ 56 mln.) ontvangen. Het ontnemingsdeel ( € 51,9 mln.) van de schikking wordt verantwoord op het onderdeel “Afpakken” en het boetedeel (€ 4,1 mln.) op “Boeten en Transacties”.</w:t>
      </w:r>
    </w:p>
    <w:p w:rsidR="00602244" w:rsidRPr="009C4DD5" w:rsidRDefault="00602244" w:rsidP="00602244">
      <w:pPr>
        <w:numPr>
          <w:ilvl w:val="0"/>
          <w:numId w:val="1"/>
        </w:numPr>
        <w:spacing w:after="0" w:line="240" w:lineRule="atLeast"/>
        <w:rPr>
          <w:rFonts w:cs="Arial"/>
          <w:i/>
          <w:szCs w:val="20"/>
          <w:u w:val="single"/>
        </w:rPr>
      </w:pPr>
      <w:r>
        <w:rPr>
          <w:rFonts w:cs="Arial"/>
          <w:i/>
          <w:szCs w:val="20"/>
          <w:u w:val="single"/>
        </w:rPr>
        <w:t>Boeten en Transacties</w:t>
      </w:r>
    </w:p>
    <w:p w:rsidR="00602244" w:rsidRDefault="00602244" w:rsidP="00602244">
      <w:pPr>
        <w:spacing w:after="0" w:line="240" w:lineRule="atLeast"/>
        <w:ind w:left="644"/>
        <w:rPr>
          <w:rFonts w:cs="Arial"/>
          <w:szCs w:val="20"/>
        </w:rPr>
      </w:pPr>
      <w:r w:rsidRPr="007A6AEE">
        <w:rPr>
          <w:rFonts w:cs="Arial"/>
          <w:szCs w:val="20"/>
        </w:rPr>
        <w:t xml:space="preserve">Op het dossier Boeten en Transacties wordt vanwege een tijdelijke verminderende inzet van digitale handhavingsmiddelen door o.a. vervanging van trajectcontroleystemen, flitspalen en radarcontrolesystemen een tekort voor 2015 verwacht van € 55 mln. </w:t>
      </w:r>
    </w:p>
    <w:p w:rsidR="00602244" w:rsidRPr="005B47BB" w:rsidRDefault="00602244" w:rsidP="00602244">
      <w:pPr>
        <w:spacing w:after="0" w:line="240" w:lineRule="atLeast"/>
        <w:ind w:left="644"/>
        <w:rPr>
          <w:rFonts w:cs="Arial"/>
          <w:szCs w:val="20"/>
        </w:rPr>
      </w:pPr>
    </w:p>
    <w:p w:rsidR="00602244" w:rsidRDefault="00602244" w:rsidP="00602244">
      <w:pPr>
        <w:numPr>
          <w:ilvl w:val="0"/>
          <w:numId w:val="1"/>
        </w:numPr>
        <w:rPr>
          <w:rFonts w:cs="Arial"/>
          <w:szCs w:val="20"/>
        </w:rPr>
      </w:pPr>
      <w:r w:rsidRPr="006579EB">
        <w:rPr>
          <w:rFonts w:cs="Arial"/>
          <w:i/>
          <w:szCs w:val="20"/>
          <w:u w:val="single"/>
        </w:rPr>
        <w:t>Inzet asielreserve</w:t>
      </w:r>
      <w:r w:rsidRPr="006579EB">
        <w:rPr>
          <w:rFonts w:cs="Arial"/>
          <w:szCs w:val="20"/>
        </w:rPr>
        <w:br/>
        <w:t>De stijging van de asielinstroom leidt ook tot hogere kosten</w:t>
      </w:r>
      <w:r>
        <w:rPr>
          <w:rFonts w:cs="Arial"/>
          <w:szCs w:val="20"/>
        </w:rPr>
        <w:t xml:space="preserve"> bij o.a. de IND.</w:t>
      </w:r>
      <w:r w:rsidRPr="006579EB">
        <w:rPr>
          <w:rFonts w:cs="Arial"/>
          <w:szCs w:val="20"/>
        </w:rPr>
        <w:t xml:space="preserve"> Voor deze extra kosten wordt vanuit de asielreserve € </w:t>
      </w:r>
      <w:r>
        <w:rPr>
          <w:rFonts w:cs="Arial"/>
          <w:szCs w:val="20"/>
        </w:rPr>
        <w:t>35,5</w:t>
      </w:r>
      <w:r w:rsidRPr="006579EB">
        <w:rPr>
          <w:rFonts w:cs="Arial"/>
          <w:szCs w:val="20"/>
        </w:rPr>
        <w:t xml:space="preserve"> mln. ingezet om </w:t>
      </w:r>
      <w:r>
        <w:rPr>
          <w:rFonts w:cs="Arial"/>
          <w:szCs w:val="20"/>
        </w:rPr>
        <w:t xml:space="preserve">dit </w:t>
      </w:r>
      <w:r w:rsidRPr="006579EB">
        <w:rPr>
          <w:rFonts w:cs="Arial"/>
          <w:szCs w:val="20"/>
        </w:rPr>
        <w:t>in 201</w:t>
      </w:r>
      <w:r>
        <w:rPr>
          <w:rFonts w:cs="Arial"/>
          <w:szCs w:val="20"/>
        </w:rPr>
        <w:t>5</w:t>
      </w:r>
      <w:r w:rsidRPr="006579EB">
        <w:rPr>
          <w:rFonts w:cs="Arial"/>
          <w:szCs w:val="20"/>
        </w:rPr>
        <w:t xml:space="preserve"> te voorzien</w:t>
      </w:r>
      <w:r>
        <w:rPr>
          <w:rFonts w:cs="Arial"/>
          <w:szCs w:val="20"/>
        </w:rPr>
        <w:t xml:space="preserve"> van dekking</w:t>
      </w:r>
      <w:r w:rsidRPr="006579EB">
        <w:rPr>
          <w:rFonts w:cs="Arial"/>
          <w:szCs w:val="20"/>
        </w:rPr>
        <w:t>.</w:t>
      </w:r>
      <w:r w:rsidRPr="006579EB">
        <w:rPr>
          <w:rFonts w:cs="Arial"/>
        </w:rPr>
        <w:t xml:space="preserve"> </w:t>
      </w:r>
      <w:r w:rsidRPr="006579EB">
        <w:rPr>
          <w:rFonts w:cs="Arial"/>
          <w:szCs w:val="20"/>
        </w:rPr>
        <w:t xml:space="preserve">Zie ook </w:t>
      </w:r>
      <w:r>
        <w:rPr>
          <w:rFonts w:cs="Arial"/>
          <w:szCs w:val="20"/>
        </w:rPr>
        <w:t xml:space="preserve">post 9 in </w:t>
      </w:r>
      <w:r w:rsidRPr="006579EB">
        <w:rPr>
          <w:rFonts w:cs="Arial"/>
          <w:szCs w:val="20"/>
        </w:rPr>
        <w:t>de toelichting bij de tabel belangrijkste uitgaven.</w:t>
      </w:r>
    </w:p>
    <w:p w:rsidR="00602244" w:rsidRDefault="00602244" w:rsidP="00602244">
      <w:pPr>
        <w:numPr>
          <w:ilvl w:val="0"/>
          <w:numId w:val="1"/>
        </w:numPr>
        <w:rPr>
          <w:rFonts w:cs="Arial"/>
          <w:szCs w:val="20"/>
        </w:rPr>
      </w:pPr>
      <w:r w:rsidRPr="00526B08">
        <w:rPr>
          <w:rFonts w:cs="Arial"/>
          <w:i/>
          <w:szCs w:val="20"/>
          <w:u w:val="single"/>
        </w:rPr>
        <w:t>Tariefsverlaging Rijks</w:t>
      </w:r>
      <w:r>
        <w:rPr>
          <w:rFonts w:cs="Arial"/>
          <w:i/>
          <w:szCs w:val="20"/>
          <w:u w:val="single"/>
        </w:rPr>
        <w:t>vastgoedbedrijf</w:t>
      </w:r>
      <w:r w:rsidRPr="00526B08">
        <w:rPr>
          <w:rFonts w:cs="Arial"/>
          <w:i/>
          <w:szCs w:val="20"/>
          <w:u w:val="single"/>
        </w:rPr>
        <w:t xml:space="preserve"> (R</w:t>
      </w:r>
      <w:r>
        <w:rPr>
          <w:rFonts w:cs="Arial"/>
          <w:i/>
          <w:szCs w:val="20"/>
          <w:u w:val="single"/>
        </w:rPr>
        <w:t>VB</w:t>
      </w:r>
      <w:r w:rsidRPr="00526B08">
        <w:rPr>
          <w:rFonts w:cs="Arial"/>
          <w:i/>
          <w:szCs w:val="20"/>
          <w:u w:val="single"/>
        </w:rPr>
        <w:t>)</w:t>
      </w:r>
      <w:r w:rsidRPr="00526B08">
        <w:rPr>
          <w:rFonts w:cs="Arial"/>
          <w:i/>
          <w:szCs w:val="20"/>
          <w:u w:val="single"/>
        </w:rPr>
        <w:br/>
      </w:r>
      <w:r>
        <w:rPr>
          <w:rFonts w:cs="Arial"/>
          <w:szCs w:val="20"/>
        </w:rPr>
        <w:t xml:space="preserve">Er is gebleken dat er ruimte is binnen de tarieven die de RVB in rekening brengt. Naar aanleiding hiervan zijn de huren geanalyseerd. Het resultaat is dat de tarieven </w:t>
      </w:r>
      <w:r w:rsidRPr="00526B08">
        <w:rPr>
          <w:rFonts w:cs="Arial"/>
          <w:szCs w:val="20"/>
        </w:rPr>
        <w:t xml:space="preserve">structureel </w:t>
      </w:r>
      <w:r>
        <w:rPr>
          <w:rFonts w:cs="Arial"/>
          <w:szCs w:val="20"/>
        </w:rPr>
        <w:t>verlaagd worden, ook onder andere vanwege het verlengen van de afschrijvingstermijnen en de l</w:t>
      </w:r>
      <w:r w:rsidRPr="00526B08">
        <w:rPr>
          <w:rFonts w:cs="Arial"/>
          <w:szCs w:val="20"/>
        </w:rPr>
        <w:t xml:space="preserve">agere </w:t>
      </w:r>
      <w:r>
        <w:rPr>
          <w:rFonts w:cs="Arial"/>
          <w:szCs w:val="20"/>
        </w:rPr>
        <w:t>rente.</w:t>
      </w:r>
      <w:r w:rsidRPr="00526B08">
        <w:rPr>
          <w:rFonts w:cs="Arial"/>
          <w:szCs w:val="20"/>
        </w:rPr>
        <w:t xml:space="preserve"> </w:t>
      </w:r>
      <w:r>
        <w:rPr>
          <w:rFonts w:cs="Arial"/>
          <w:szCs w:val="20"/>
        </w:rPr>
        <w:t>Voor 2015 krijgen departementen een teruggave vanuit de RVB.</w:t>
      </w:r>
    </w:p>
    <w:p w:rsidR="00602244" w:rsidRPr="00526B08" w:rsidRDefault="00602244" w:rsidP="00602244">
      <w:pPr>
        <w:rPr>
          <w:rFonts w:cs="Arial"/>
          <w:szCs w:val="20"/>
        </w:rPr>
      </w:pPr>
    </w:p>
    <w:p w:rsidR="00602244" w:rsidRPr="00A55435" w:rsidRDefault="00602244" w:rsidP="00602244">
      <w:pPr>
        <w:numPr>
          <w:ilvl w:val="1"/>
          <w:numId w:val="4"/>
        </w:numPr>
        <w:spacing w:line="240" w:lineRule="auto"/>
        <w:rPr>
          <w:rFonts w:cs="Arial"/>
          <w:sz w:val="28"/>
          <w:szCs w:val="28"/>
        </w:rPr>
      </w:pPr>
      <w:r w:rsidRPr="00A55435">
        <w:rPr>
          <w:rFonts w:cs="Arial"/>
          <w:sz w:val="28"/>
          <w:szCs w:val="28"/>
        </w:rPr>
        <w:t>DE BELEIDSARTIKELEN</w:t>
      </w:r>
    </w:p>
    <w:p w:rsidR="00602244" w:rsidRPr="00A55435" w:rsidRDefault="00602244" w:rsidP="00602244">
      <w:pPr>
        <w:spacing w:line="240" w:lineRule="auto"/>
        <w:rPr>
          <w:rFonts w:cs="Arial"/>
          <w:b/>
          <w:sz w:val="24"/>
          <w:szCs w:val="24"/>
        </w:rPr>
      </w:pPr>
      <w:r w:rsidRPr="00A55435">
        <w:rPr>
          <w:rFonts w:cs="Arial"/>
          <w:b/>
          <w:sz w:val="24"/>
          <w:szCs w:val="24"/>
        </w:rPr>
        <w:t>31 Nationale politie</w:t>
      </w:r>
    </w:p>
    <w:p w:rsidR="00602244" w:rsidRDefault="00602244" w:rsidP="00602244">
      <w:pPr>
        <w:pStyle w:val="Normaalweb"/>
        <w:spacing w:before="0" w:beforeAutospacing="0" w:after="0" w:afterAutospacing="0"/>
        <w:rPr>
          <w:rFonts w:ascii="Arial" w:hAnsi="Arial" w:cs="Arial"/>
          <w:i/>
          <w:sz w:val="16"/>
          <w:szCs w:val="16"/>
        </w:rPr>
      </w:pPr>
      <w:r>
        <w:rPr>
          <w:noProof/>
        </w:rPr>
        <w:drawing>
          <wp:inline distT="0" distB="0" distL="0" distR="0">
            <wp:extent cx="5724525" cy="31051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105150"/>
                    </a:xfrm>
                    <a:prstGeom prst="rect">
                      <a:avLst/>
                    </a:prstGeom>
                    <a:noFill/>
                    <a:ln>
                      <a:noFill/>
                    </a:ln>
                  </pic:spPr>
                </pic:pic>
              </a:graphicData>
            </a:graphic>
          </wp:inline>
        </w:drawing>
      </w:r>
    </w:p>
    <w:p w:rsidR="00602244" w:rsidRPr="00593069" w:rsidRDefault="00602244" w:rsidP="00602244">
      <w:pPr>
        <w:pStyle w:val="Normaalweb"/>
        <w:spacing w:before="0" w:beforeAutospacing="0" w:after="0" w:afterAutospacing="0"/>
        <w:rPr>
          <w:rFonts w:ascii="Arial" w:hAnsi="Arial" w:cs="Arial"/>
          <w:sz w:val="16"/>
          <w:szCs w:val="16"/>
        </w:rPr>
      </w:pPr>
      <w:r w:rsidRPr="00952ED1">
        <w:rPr>
          <w:rFonts w:ascii="Arial" w:hAnsi="Arial" w:cs="Arial"/>
          <w:i/>
          <w:sz w:val="16"/>
          <w:szCs w:val="16"/>
        </w:rPr>
        <w:t>Het niet-juridisch verplichte deel is gereserveerd voor</w:t>
      </w:r>
      <w:r>
        <w:rPr>
          <w:rFonts w:ascii="Arial" w:hAnsi="Arial" w:cs="Arial"/>
          <w:i/>
          <w:sz w:val="16"/>
          <w:szCs w:val="16"/>
        </w:rPr>
        <w:t>:</w:t>
      </w:r>
      <w:r w:rsidRPr="00952ED1">
        <w:rPr>
          <w:rFonts w:ascii="Arial" w:hAnsi="Arial" w:cs="Arial"/>
          <w:i/>
          <w:sz w:val="16"/>
          <w:szCs w:val="16"/>
        </w:rPr>
        <w:t xml:space="preserve"> bijdragen aan BES brandweer- en politiekorps</w:t>
      </w:r>
      <w:r>
        <w:rPr>
          <w:rFonts w:ascii="Arial" w:hAnsi="Arial" w:cs="Arial"/>
          <w:i/>
          <w:sz w:val="16"/>
          <w:szCs w:val="16"/>
        </w:rPr>
        <w:t>,</w:t>
      </w:r>
      <w:r w:rsidRPr="00952ED1">
        <w:rPr>
          <w:rFonts w:ascii="Arial" w:hAnsi="Arial" w:cs="Arial"/>
          <w:i/>
          <w:sz w:val="16"/>
          <w:szCs w:val="16"/>
        </w:rPr>
        <w:t xml:space="preserve"> bijdragen aan de Nationale Politie voor exploitatie van C2000</w:t>
      </w:r>
      <w:r>
        <w:rPr>
          <w:rFonts w:ascii="Arial" w:hAnsi="Arial" w:cs="Arial"/>
          <w:i/>
          <w:sz w:val="16"/>
          <w:szCs w:val="16"/>
        </w:rPr>
        <w:t xml:space="preserve">, </w:t>
      </w:r>
      <w:r w:rsidRPr="00952ED1">
        <w:rPr>
          <w:rFonts w:ascii="Arial" w:hAnsi="Arial" w:cs="Arial"/>
          <w:i/>
          <w:sz w:val="16"/>
          <w:szCs w:val="16"/>
        </w:rPr>
        <w:t xml:space="preserve"> de Meldkamerorganisatie </w:t>
      </w:r>
      <w:r>
        <w:rPr>
          <w:rFonts w:ascii="Arial" w:hAnsi="Arial" w:cs="Arial"/>
          <w:i/>
          <w:sz w:val="16"/>
          <w:szCs w:val="16"/>
        </w:rPr>
        <w:t>en</w:t>
      </w:r>
      <w:r w:rsidRPr="00952ED1">
        <w:rPr>
          <w:rFonts w:ascii="Arial" w:hAnsi="Arial" w:cs="Arial"/>
          <w:i/>
          <w:sz w:val="16"/>
          <w:szCs w:val="16"/>
        </w:rPr>
        <w:t xml:space="preserve"> de jaarlijkse bijdrage aan de Stichting Arbeidsmarkt en Opleidingsfonds Politie. Verder is budget gereserveerd voor nog te verstrekken opdrachten</w:t>
      </w:r>
      <w:r>
        <w:rPr>
          <w:rFonts w:ascii="Arial" w:hAnsi="Arial" w:cs="Arial"/>
          <w:i/>
          <w:sz w:val="16"/>
          <w:szCs w:val="16"/>
        </w:rPr>
        <w:t>.</w:t>
      </w:r>
      <w:r>
        <w:rPr>
          <w:rFonts w:ascii="Arial" w:hAnsi="Arial" w:cs="Arial"/>
          <w:i/>
          <w:sz w:val="16"/>
          <w:szCs w:val="16"/>
        </w:rPr>
        <w:br/>
      </w:r>
      <w:r w:rsidRPr="00952ED1">
        <w:rPr>
          <w:rFonts w:ascii="Arial" w:hAnsi="Arial" w:cs="Arial"/>
          <w:i/>
          <w:sz w:val="16"/>
          <w:szCs w:val="16"/>
        </w:rPr>
        <w:t>Het juridisch verplichte deel betreft de bijdragen ZBO's/RWT's die betrekking hebben op uitgaven voor de Nationale Politie (NP) en Politieacademie op grond van wetgeving, de beheersovereenkomst met de NP voor de jaarlijkse exploitatiekosten van C2000, het transitieakkoord met de meldkamerorganisatie, de uitgaven voor internationale samenwerking die gemaakt wordt op grond van overeenkomsten. Bijdragen medeoverheden: o.g.v. wetgeving bijdragen verstrekt aan brandweer- en politiekorps op de BES, Bureau Regioburgemeesters. Subsidies: verstrekt aan de Stichting NL Confidential en Politievakbond ACP. Opdrachten: omvatten o.a. meerjarige contracten tot en met 2016 met de telecomaanbieders in verband met tapkosten.</w:t>
      </w:r>
      <w:r>
        <w:rPr>
          <w:rFonts w:ascii="Arial" w:hAnsi="Arial" w:cs="Arial"/>
          <w:i/>
          <w:sz w:val="16"/>
          <w:szCs w:val="16"/>
        </w:rPr>
        <w:br/>
      </w:r>
    </w:p>
    <w:p w:rsidR="00602244" w:rsidRDefault="00602244" w:rsidP="00602244">
      <w:pPr>
        <w:spacing w:line="240" w:lineRule="auto"/>
        <w:rPr>
          <w:rFonts w:cs="Arial"/>
          <w:b/>
          <w:sz w:val="24"/>
          <w:szCs w:val="24"/>
        </w:rPr>
      </w:pPr>
    </w:p>
    <w:p w:rsidR="00602244" w:rsidRPr="00593069" w:rsidRDefault="00602244" w:rsidP="00602244">
      <w:pPr>
        <w:spacing w:line="240" w:lineRule="auto"/>
        <w:rPr>
          <w:rFonts w:cs="Arial"/>
          <w:b/>
          <w:sz w:val="24"/>
          <w:szCs w:val="24"/>
        </w:rPr>
      </w:pPr>
      <w:r w:rsidRPr="00593069">
        <w:rPr>
          <w:rFonts w:cs="Arial"/>
          <w:b/>
          <w:sz w:val="24"/>
          <w:szCs w:val="24"/>
        </w:rPr>
        <w:t xml:space="preserve">Toelichting </w:t>
      </w:r>
    </w:p>
    <w:p w:rsidR="00602244" w:rsidRDefault="00602244" w:rsidP="00602244">
      <w:pPr>
        <w:spacing w:line="240" w:lineRule="auto"/>
        <w:rPr>
          <w:rFonts w:cs="Arial"/>
          <w:i/>
          <w:szCs w:val="20"/>
        </w:rPr>
      </w:pPr>
      <w:r w:rsidRPr="00593069">
        <w:rPr>
          <w:rFonts w:cs="Arial"/>
          <w:b/>
        </w:rPr>
        <w:t>Mutaties uitgaven</w:t>
      </w:r>
      <w:r w:rsidRPr="00593069">
        <w:rPr>
          <w:rFonts w:cs="Arial"/>
          <w:b/>
        </w:rPr>
        <w:br/>
      </w:r>
    </w:p>
    <w:p w:rsidR="00602244" w:rsidRPr="00E43CEE" w:rsidRDefault="00602244" w:rsidP="00602244">
      <w:pPr>
        <w:spacing w:line="240" w:lineRule="auto"/>
        <w:rPr>
          <w:rFonts w:cs="Arial"/>
          <w:szCs w:val="20"/>
        </w:rPr>
      </w:pPr>
      <w:r>
        <w:rPr>
          <w:rFonts w:cs="Arial"/>
          <w:i/>
          <w:szCs w:val="20"/>
        </w:rPr>
        <w:t>Bekostiging Nationale Politie</w:t>
      </w:r>
      <w:r>
        <w:rPr>
          <w:rFonts w:cs="Arial"/>
          <w:i/>
          <w:szCs w:val="20"/>
        </w:rPr>
        <w:br/>
      </w:r>
      <w:r w:rsidRPr="000E189E">
        <w:rPr>
          <w:rFonts w:cs="Arial"/>
          <w:szCs w:val="20"/>
        </w:rPr>
        <w:t>Middelen contraterrorisme: betreft intensiveringsmiddelen</w:t>
      </w:r>
      <w:r>
        <w:rPr>
          <w:rFonts w:cs="Arial"/>
          <w:szCs w:val="20"/>
        </w:rPr>
        <w:t xml:space="preserve"> (totaal € 5,4 in 2015 oplopend naar </w:t>
      </w:r>
      <w:r>
        <w:rPr>
          <w:rFonts w:cs="Arial"/>
          <w:szCs w:val="20"/>
        </w:rPr>
        <w:br/>
        <w:t xml:space="preserve"> € 20,5 in 2018 e.v.)</w:t>
      </w:r>
      <w:r w:rsidRPr="000E189E">
        <w:rPr>
          <w:rFonts w:cs="Arial"/>
          <w:szCs w:val="20"/>
        </w:rPr>
        <w:t xml:space="preserve"> voor het traject contra-terrorisme die vanuit de </w:t>
      </w:r>
      <w:r>
        <w:rPr>
          <w:rFonts w:cs="Arial"/>
          <w:szCs w:val="20"/>
        </w:rPr>
        <w:t>A</w:t>
      </w:r>
      <w:r w:rsidRPr="000E189E">
        <w:rPr>
          <w:rFonts w:cs="Arial"/>
          <w:szCs w:val="20"/>
        </w:rPr>
        <w:t xml:space="preserve">anvullende </w:t>
      </w:r>
      <w:r>
        <w:rPr>
          <w:rFonts w:cs="Arial"/>
          <w:szCs w:val="20"/>
        </w:rPr>
        <w:t>P</w:t>
      </w:r>
      <w:r w:rsidRPr="000E189E">
        <w:rPr>
          <w:rFonts w:cs="Arial"/>
          <w:szCs w:val="20"/>
        </w:rPr>
        <w:t>ost bij Financiën word</w:t>
      </w:r>
      <w:r>
        <w:rPr>
          <w:rFonts w:cs="Arial"/>
          <w:szCs w:val="20"/>
        </w:rPr>
        <w:t>en</w:t>
      </w:r>
      <w:r w:rsidRPr="000E189E">
        <w:rPr>
          <w:rFonts w:cs="Arial"/>
          <w:szCs w:val="20"/>
        </w:rPr>
        <w:t xml:space="preserve"> </w:t>
      </w:r>
      <w:r w:rsidRPr="00E96B6C">
        <w:rPr>
          <w:rFonts w:cs="Arial"/>
          <w:szCs w:val="20"/>
        </w:rPr>
        <w:t>toegevoegd aan de begroting van VenJ.</w:t>
      </w:r>
      <w:r w:rsidRPr="00E43CEE">
        <w:t xml:space="preserve"> </w:t>
      </w:r>
      <w:r>
        <w:t>In a</w:t>
      </w:r>
      <w:r w:rsidRPr="00E43CEE">
        <w:rPr>
          <w:rFonts w:cs="Arial"/>
          <w:szCs w:val="20"/>
        </w:rPr>
        <w:t>ugustus 2014 is het actieprogramma ‘Integrale aanpak Jihadisme’ van start gegaan</w:t>
      </w:r>
      <w:r>
        <w:rPr>
          <w:rFonts w:cs="Arial"/>
          <w:szCs w:val="20"/>
        </w:rPr>
        <w:t xml:space="preserve">. </w:t>
      </w:r>
      <w:r w:rsidRPr="00E43CEE">
        <w:rPr>
          <w:rFonts w:cs="Arial"/>
          <w:szCs w:val="20"/>
        </w:rPr>
        <w:t xml:space="preserve">De middelen </w:t>
      </w:r>
      <w:r>
        <w:rPr>
          <w:rFonts w:cs="Arial"/>
          <w:szCs w:val="20"/>
        </w:rPr>
        <w:t xml:space="preserve">zijn nodig </w:t>
      </w:r>
      <w:r w:rsidRPr="00E43CEE">
        <w:rPr>
          <w:rFonts w:cs="Arial"/>
          <w:szCs w:val="20"/>
        </w:rPr>
        <w:t xml:space="preserve">voor </w:t>
      </w:r>
      <w:r>
        <w:rPr>
          <w:rFonts w:cs="Arial"/>
          <w:szCs w:val="20"/>
        </w:rPr>
        <w:t xml:space="preserve">de Politie en het OM voor de </w:t>
      </w:r>
      <w:r w:rsidRPr="00E43CEE">
        <w:rPr>
          <w:rFonts w:cs="Arial"/>
          <w:szCs w:val="20"/>
        </w:rPr>
        <w:t>extra inspanningen</w:t>
      </w:r>
      <w:r>
        <w:rPr>
          <w:rFonts w:cs="Arial"/>
          <w:szCs w:val="20"/>
        </w:rPr>
        <w:t xml:space="preserve"> die</w:t>
      </w:r>
      <w:r w:rsidRPr="00E43CEE">
        <w:rPr>
          <w:rFonts w:cs="Arial"/>
          <w:szCs w:val="20"/>
        </w:rPr>
        <w:t xml:space="preserve"> </w:t>
      </w:r>
      <w:r>
        <w:rPr>
          <w:rFonts w:cs="Arial"/>
          <w:szCs w:val="20"/>
        </w:rPr>
        <w:t xml:space="preserve">nodig zijn </w:t>
      </w:r>
      <w:r w:rsidRPr="00E43CEE">
        <w:rPr>
          <w:rFonts w:cs="Arial"/>
          <w:szCs w:val="20"/>
        </w:rPr>
        <w:t>op</w:t>
      </w:r>
      <w:r>
        <w:rPr>
          <w:rFonts w:cs="Arial"/>
          <w:szCs w:val="20"/>
        </w:rPr>
        <w:t xml:space="preserve"> het </w:t>
      </w:r>
      <w:r w:rsidRPr="00E43CEE">
        <w:rPr>
          <w:rFonts w:cs="Arial"/>
          <w:szCs w:val="20"/>
        </w:rPr>
        <w:t>terrein terrorismebestrijding bij de inlichtingen- en veiligheidsdiensten</w:t>
      </w:r>
      <w:r>
        <w:rPr>
          <w:rFonts w:cs="Arial"/>
          <w:szCs w:val="20"/>
        </w:rPr>
        <w:t>.</w:t>
      </w:r>
      <w:r w:rsidRPr="00E43CEE">
        <w:rPr>
          <w:rFonts w:cs="Arial"/>
          <w:szCs w:val="20"/>
        </w:rPr>
        <w:t xml:space="preserve"> </w:t>
      </w:r>
    </w:p>
    <w:p w:rsidR="00602244" w:rsidRDefault="00602244" w:rsidP="00602244">
      <w:pPr>
        <w:spacing w:line="240" w:lineRule="auto"/>
        <w:rPr>
          <w:rFonts w:cs="Arial"/>
          <w:szCs w:val="20"/>
        </w:rPr>
      </w:pPr>
      <w:r w:rsidRPr="006E7498">
        <w:rPr>
          <w:rFonts w:cs="Arial"/>
          <w:i/>
          <w:szCs w:val="20"/>
        </w:rPr>
        <w:t>Kwaliteit, Arbeidvoorwaarden en ICT politie</w:t>
      </w:r>
      <w:r>
        <w:rPr>
          <w:rFonts w:cs="Arial"/>
          <w:i/>
          <w:szCs w:val="20"/>
        </w:rPr>
        <w:br/>
      </w:r>
      <w:r w:rsidRPr="00593069">
        <w:rPr>
          <w:rFonts w:cs="Arial"/>
          <w:szCs w:val="20"/>
        </w:rPr>
        <w:t xml:space="preserve">De mutatie in het budget C2000 / GMS wordt verklaard door </w:t>
      </w:r>
      <w:r>
        <w:rPr>
          <w:rFonts w:cs="Arial"/>
          <w:szCs w:val="20"/>
        </w:rPr>
        <w:t>de exploitatiekosten C2000. Het betreft de jaarlijkse bijdrage (€ 10,4 mln.) van VWS en Defensie in de exploitatiekosten van het C2000 systeem in verband met het gebruik van het communicatienetwerk door de politie, brandweer en ambulancezorg.</w:t>
      </w:r>
    </w:p>
    <w:p w:rsidR="00602244" w:rsidRDefault="00602244" w:rsidP="00602244">
      <w:pPr>
        <w:spacing w:line="240" w:lineRule="auto"/>
        <w:rPr>
          <w:rFonts w:cs="Arial"/>
          <w:szCs w:val="20"/>
        </w:rPr>
      </w:pPr>
    </w:p>
    <w:p w:rsidR="00602244" w:rsidRPr="009C489E" w:rsidRDefault="00602244" w:rsidP="00602244">
      <w:pPr>
        <w:spacing w:line="240" w:lineRule="auto"/>
        <w:rPr>
          <w:rFonts w:cs="Arial"/>
          <w:b/>
          <w:sz w:val="24"/>
          <w:szCs w:val="24"/>
        </w:rPr>
      </w:pPr>
      <w:r w:rsidRPr="009C489E">
        <w:rPr>
          <w:rFonts w:cs="Arial"/>
          <w:b/>
          <w:sz w:val="24"/>
          <w:szCs w:val="24"/>
        </w:rPr>
        <w:lastRenderedPageBreak/>
        <w:t>32 Rechtspleging en rechtsbijstand</w:t>
      </w:r>
    </w:p>
    <w:p w:rsidR="00602244" w:rsidRDefault="00602244" w:rsidP="00602244">
      <w:pPr>
        <w:spacing w:line="240" w:lineRule="auto"/>
        <w:rPr>
          <w:rFonts w:cs="Arial"/>
          <w:b/>
          <w:sz w:val="24"/>
          <w:szCs w:val="24"/>
        </w:rPr>
      </w:pPr>
      <w:r>
        <w:rPr>
          <w:noProof/>
        </w:rPr>
        <w:drawing>
          <wp:inline distT="0" distB="0" distL="0" distR="0">
            <wp:extent cx="5734050" cy="412432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124325"/>
                    </a:xfrm>
                    <a:prstGeom prst="rect">
                      <a:avLst/>
                    </a:prstGeom>
                    <a:noFill/>
                    <a:ln>
                      <a:noFill/>
                    </a:ln>
                  </pic:spPr>
                </pic:pic>
              </a:graphicData>
            </a:graphic>
          </wp:inline>
        </w:drawing>
      </w:r>
      <w:r w:rsidRPr="00582B3F">
        <w:rPr>
          <w:rFonts w:cs="Arial"/>
          <w:i/>
          <w:sz w:val="16"/>
          <w:szCs w:val="16"/>
        </w:rPr>
        <w:t>Het niet-juridische verplichte deel op dit beleidsartikel is gereserveerd voor bestuurlijk gebonden uitgaven via diverse subsidiebeschikkingen, onder meer voor de Nederlandse Orde van Advocaten en voor bijdrage aan internationale organisaties. Daarnaast zijn er middelen gereserveerd voor toezicht en onderzoek bijvoorbeeld op het terrein van rechtspraak, schuldsanering, rechtsbijstand en rechtspleging.</w:t>
      </w:r>
      <w:r>
        <w:rPr>
          <w:rFonts w:cs="Arial"/>
          <w:i/>
          <w:sz w:val="16"/>
          <w:szCs w:val="16"/>
        </w:rPr>
        <w:br/>
      </w:r>
      <w:r w:rsidRPr="00582B3F">
        <w:rPr>
          <w:rFonts w:cs="Arial"/>
          <w:i/>
          <w:sz w:val="16"/>
          <w:szCs w:val="16"/>
        </w:rPr>
        <w:t xml:space="preserve">Juridisch verplicht </w:t>
      </w:r>
      <w:r>
        <w:rPr>
          <w:rFonts w:cs="Arial"/>
          <w:i/>
          <w:sz w:val="16"/>
          <w:szCs w:val="16"/>
        </w:rPr>
        <w:t xml:space="preserve">zijn </w:t>
      </w:r>
      <w:r w:rsidRPr="00582B3F">
        <w:rPr>
          <w:rFonts w:cs="Arial"/>
          <w:i/>
          <w:sz w:val="16"/>
          <w:szCs w:val="16"/>
        </w:rPr>
        <w:t>de bijdragen aan ZBO’s en RWT’s. Dat geldt ook voor de bijdrage voor de kosten voor de rechtsbijstand in de vorm van toevoegingen en piketten (opdrachten) en de bijdrage aan Raad voor de rechtspraak. Ook de opdrachten in het kader van de WSNP zijn volledig juridisch verplicht. Daarmee is bijna 100% van de uitgaven die in de vorm van opdrachten worden gedaan juridisch verplicht. De subsidies die op dit artikel worden verantwoord zijn vrijwel geheel juridisch verplicht. Dit heeft in hoofdzaak betrekking op de structurele subsidierelaties met de Stichting Geschillencommissie en de Academie voor Overheidsjuristen en de Academie voor Wetgeving.</w:t>
      </w:r>
      <w:r>
        <w:rPr>
          <w:rFonts w:cs="Arial"/>
          <w:i/>
          <w:sz w:val="16"/>
          <w:szCs w:val="16"/>
        </w:rPr>
        <w:br/>
      </w:r>
    </w:p>
    <w:p w:rsidR="00602244" w:rsidRPr="00F27552" w:rsidRDefault="00602244" w:rsidP="00602244">
      <w:pPr>
        <w:spacing w:line="240" w:lineRule="auto"/>
        <w:rPr>
          <w:rFonts w:cs="Arial"/>
          <w:b/>
          <w:sz w:val="24"/>
          <w:szCs w:val="24"/>
        </w:rPr>
      </w:pPr>
      <w:r w:rsidRPr="00F27552">
        <w:rPr>
          <w:rFonts w:cs="Arial"/>
          <w:b/>
          <w:sz w:val="24"/>
          <w:szCs w:val="24"/>
        </w:rPr>
        <w:t xml:space="preserve">Toelichting </w:t>
      </w:r>
    </w:p>
    <w:p w:rsidR="00602244" w:rsidRPr="00F27552" w:rsidRDefault="00602244" w:rsidP="00602244">
      <w:pPr>
        <w:spacing w:line="240" w:lineRule="auto"/>
        <w:rPr>
          <w:rFonts w:cs="Arial"/>
          <w:szCs w:val="20"/>
        </w:rPr>
      </w:pPr>
      <w:r w:rsidRPr="00F27552">
        <w:rPr>
          <w:rFonts w:cs="Arial"/>
          <w:b/>
        </w:rPr>
        <w:t>Mutaties uitgaven</w:t>
      </w:r>
    </w:p>
    <w:p w:rsidR="00602244" w:rsidRPr="00AB0E30" w:rsidRDefault="00602244" w:rsidP="00602244">
      <w:pPr>
        <w:spacing w:after="0" w:line="240" w:lineRule="auto"/>
        <w:rPr>
          <w:rFonts w:cs="Arial"/>
          <w:i/>
          <w:szCs w:val="20"/>
        </w:rPr>
      </w:pPr>
      <w:r w:rsidRPr="00AB0E30">
        <w:rPr>
          <w:rFonts w:cs="Arial"/>
          <w:i/>
          <w:szCs w:val="20"/>
        </w:rPr>
        <w:t>Adequate toegang tot het rechtsbestel</w:t>
      </w:r>
    </w:p>
    <w:p w:rsidR="00602244" w:rsidRDefault="00602244" w:rsidP="00602244">
      <w:pPr>
        <w:spacing w:after="0" w:line="240" w:lineRule="auto"/>
        <w:rPr>
          <w:rFonts w:cs="Arial"/>
          <w:szCs w:val="20"/>
        </w:rPr>
      </w:pPr>
      <w:r>
        <w:rPr>
          <w:rFonts w:cs="Arial"/>
          <w:szCs w:val="20"/>
        </w:rPr>
        <w:t>Toevoegingen r</w:t>
      </w:r>
      <w:r w:rsidRPr="00286D63">
        <w:rPr>
          <w:rFonts w:cs="Arial"/>
          <w:szCs w:val="20"/>
        </w:rPr>
        <w:t>echtsbijstand</w:t>
      </w:r>
      <w:r>
        <w:rPr>
          <w:rFonts w:cs="Arial"/>
          <w:szCs w:val="20"/>
        </w:rPr>
        <w:t xml:space="preserve">: </w:t>
      </w:r>
      <w:r w:rsidRPr="00286D63">
        <w:rPr>
          <w:rFonts w:cs="Arial"/>
          <w:szCs w:val="20"/>
        </w:rPr>
        <w:t>De PMJ cijfers indiceren voor de rech</w:t>
      </w:r>
      <w:r>
        <w:rPr>
          <w:rFonts w:cs="Arial"/>
          <w:szCs w:val="20"/>
        </w:rPr>
        <w:t xml:space="preserve">tsbijstand meerjarig een aflopende groei in </w:t>
      </w:r>
      <w:r w:rsidRPr="00286D63">
        <w:rPr>
          <w:rFonts w:cs="Arial"/>
          <w:szCs w:val="20"/>
        </w:rPr>
        <w:t>de behoefte van de rechtsbijstand</w:t>
      </w:r>
      <w:r>
        <w:rPr>
          <w:rFonts w:cs="Arial"/>
          <w:szCs w:val="20"/>
        </w:rPr>
        <w:t>.</w:t>
      </w:r>
      <w:r w:rsidRPr="00286D63">
        <w:rPr>
          <w:rFonts w:cs="Arial"/>
          <w:szCs w:val="20"/>
        </w:rPr>
        <w:t xml:space="preserve"> Op basis hiervan zijn de ramingen naar boven bijgesteld</w:t>
      </w:r>
      <w:r>
        <w:rPr>
          <w:rFonts w:cs="Arial"/>
          <w:szCs w:val="20"/>
        </w:rPr>
        <w:t xml:space="preserve"> (€ 31,2 mln.)</w:t>
      </w:r>
      <w:r w:rsidRPr="00286D63">
        <w:rPr>
          <w:rFonts w:cs="Arial"/>
          <w:szCs w:val="20"/>
        </w:rPr>
        <w:t xml:space="preserve"> van de reguliere straftoevoegingen, de piketdiensten en de toevoegingen in civiele zaken.</w:t>
      </w:r>
    </w:p>
    <w:p w:rsidR="00602244" w:rsidRDefault="00602244" w:rsidP="00602244">
      <w:pPr>
        <w:spacing w:after="0" w:line="240" w:lineRule="auto"/>
        <w:rPr>
          <w:rFonts w:cs="Arial"/>
          <w:szCs w:val="20"/>
        </w:rPr>
      </w:pPr>
      <w:r>
        <w:rPr>
          <w:rFonts w:cs="Arial"/>
          <w:szCs w:val="20"/>
        </w:rPr>
        <w:t xml:space="preserve"> </w:t>
      </w:r>
    </w:p>
    <w:p w:rsidR="00602244" w:rsidRDefault="00602244" w:rsidP="00602244">
      <w:pPr>
        <w:spacing w:after="0" w:line="240" w:lineRule="auto"/>
      </w:pPr>
      <w:r w:rsidRPr="00AB0E30">
        <w:rPr>
          <w:i/>
        </w:rPr>
        <w:t>Optimale randvoorwaarden voor een doelmatige en doeltreffend rechtsbestel</w:t>
      </w:r>
      <w:r w:rsidRPr="00AB0E30">
        <w:rPr>
          <w:i/>
        </w:rPr>
        <w:br/>
      </w:r>
      <w:r>
        <w:t xml:space="preserve">Raad voor de Rechtspraak: </w:t>
      </w:r>
    </w:p>
    <w:p w:rsidR="00602244" w:rsidRDefault="00602244" w:rsidP="00602244">
      <w:pPr>
        <w:numPr>
          <w:ilvl w:val="0"/>
          <w:numId w:val="13"/>
        </w:numPr>
        <w:spacing w:after="0" w:line="240" w:lineRule="auto"/>
      </w:pPr>
      <w:r>
        <w:t>o</w:t>
      </w:r>
      <w:r w:rsidRPr="00D31C0D">
        <w:t xml:space="preserve">p basis van de meest recente uitkomsten van het Prognosemodel Justitiële ketens (PMJ) worden de geraamde uitgaven aan de rechtspraak </w:t>
      </w:r>
      <w:r>
        <w:t xml:space="preserve">meerjarig neerwaarts </w:t>
      </w:r>
      <w:r w:rsidRPr="00D31C0D">
        <w:t>bijgesteld</w:t>
      </w:r>
      <w:r>
        <w:t xml:space="preserve">. </w:t>
      </w:r>
      <w:r w:rsidRPr="00D31C0D">
        <w:t>Met name bij civiele rechtspraak is de geraamde instroom lager dan eerder werd ingeschat.</w:t>
      </w:r>
      <w:r>
        <w:t xml:space="preserve"> In 2015 is er echter sprake van een lichte stijging van € 7,5 mln.</w:t>
      </w:r>
    </w:p>
    <w:p w:rsidR="00602244" w:rsidRDefault="00602244" w:rsidP="00602244">
      <w:pPr>
        <w:numPr>
          <w:ilvl w:val="0"/>
          <w:numId w:val="12"/>
        </w:numPr>
        <w:spacing w:after="0"/>
      </w:pPr>
      <w:r>
        <w:lastRenderedPageBreak/>
        <w:t xml:space="preserve">implementatie procedurerichtlijn: in verband met het wetsvoorstel </w:t>
      </w:r>
      <w:r w:rsidRPr="00F81A26">
        <w:t>Procedurerichtlijn worden extra kosten</w:t>
      </w:r>
      <w:r>
        <w:t xml:space="preserve"> ter hoogte van € 5,5 mln.</w:t>
      </w:r>
      <w:r w:rsidRPr="00F81A26">
        <w:t xml:space="preserve"> bij de rechtspraak verwacht.</w:t>
      </w:r>
      <w:r>
        <w:t xml:space="preserve"> De implementatie hiervan is voor twee jaar opgenomen. De structurele kosten en dekking worden na een evaluatie vastgesteld.</w:t>
      </w:r>
    </w:p>
    <w:p w:rsidR="00602244" w:rsidRPr="00F81A26" w:rsidRDefault="00602244" w:rsidP="00602244">
      <w:pPr>
        <w:numPr>
          <w:ilvl w:val="0"/>
          <w:numId w:val="12"/>
        </w:numPr>
        <w:spacing w:after="0"/>
      </w:pPr>
      <w:r>
        <w:t>Meerjaren Planning en Prognose (MPP) cijfers: o</w:t>
      </w:r>
      <w:r w:rsidRPr="00887243">
        <w:t xml:space="preserve">p basis van de meest recente uitkomsten van </w:t>
      </w:r>
      <w:r>
        <w:t xml:space="preserve">de MPP cijfers </w:t>
      </w:r>
      <w:r w:rsidRPr="00887243">
        <w:t xml:space="preserve">wordt een lagere instroom </w:t>
      </w:r>
      <w:r>
        <w:t>in de</w:t>
      </w:r>
      <w:r w:rsidRPr="00887243">
        <w:t xml:space="preserve"> vreemdelingenkamers verwacht.</w:t>
      </w:r>
      <w:r>
        <w:t xml:space="preserve"> Dit leidt tot een neerwaartse bijstelling van € -7,6 mln.</w:t>
      </w:r>
    </w:p>
    <w:p w:rsidR="00602244" w:rsidRDefault="00602244" w:rsidP="00602244">
      <w:pPr>
        <w:spacing w:line="240" w:lineRule="auto"/>
        <w:rPr>
          <w:rFonts w:cs="Arial"/>
          <w:b/>
          <w:sz w:val="24"/>
          <w:szCs w:val="24"/>
        </w:rPr>
      </w:pPr>
    </w:p>
    <w:p w:rsidR="00602244" w:rsidRPr="00F27552" w:rsidRDefault="00602244" w:rsidP="00602244">
      <w:pPr>
        <w:spacing w:line="240" w:lineRule="auto"/>
        <w:rPr>
          <w:rFonts w:cs="Arial"/>
          <w:szCs w:val="20"/>
        </w:rPr>
      </w:pPr>
      <w:r w:rsidRPr="00F27552">
        <w:rPr>
          <w:rFonts w:cs="Arial"/>
          <w:b/>
        </w:rPr>
        <w:t xml:space="preserve">Mutaties </w:t>
      </w:r>
      <w:r>
        <w:rPr>
          <w:rFonts w:cs="Arial"/>
          <w:b/>
        </w:rPr>
        <w:t>ontvangsten</w:t>
      </w:r>
    </w:p>
    <w:p w:rsidR="00602244" w:rsidRPr="0069053F" w:rsidRDefault="00602244" w:rsidP="00602244">
      <w:pPr>
        <w:spacing w:after="0" w:line="240" w:lineRule="auto"/>
        <w:rPr>
          <w:rFonts w:cs="Arial"/>
          <w:szCs w:val="20"/>
        </w:rPr>
      </w:pPr>
      <w:r w:rsidRPr="0069053F">
        <w:rPr>
          <w:rFonts w:cs="Arial"/>
          <w:i/>
          <w:szCs w:val="20"/>
          <w:u w:val="single"/>
        </w:rPr>
        <w:t>Besparingsverliezen wetstrajecten</w:t>
      </w:r>
    </w:p>
    <w:p w:rsidR="00602244" w:rsidRDefault="00602244" w:rsidP="00602244">
      <w:pPr>
        <w:numPr>
          <w:ilvl w:val="0"/>
          <w:numId w:val="22"/>
        </w:numPr>
        <w:spacing w:after="0" w:line="240" w:lineRule="auto"/>
        <w:rPr>
          <w:rFonts w:cs="Arial"/>
          <w:szCs w:val="20"/>
        </w:rPr>
      </w:pPr>
      <w:r>
        <w:rPr>
          <w:rFonts w:cs="Arial"/>
          <w:szCs w:val="20"/>
        </w:rPr>
        <w:t xml:space="preserve">Besparingsverlies </w:t>
      </w:r>
      <w:r w:rsidRPr="0069053F">
        <w:rPr>
          <w:rFonts w:cs="Arial"/>
          <w:szCs w:val="20"/>
        </w:rPr>
        <w:t>griffierechten</w:t>
      </w:r>
      <w:r>
        <w:rPr>
          <w:rFonts w:cs="Arial"/>
          <w:szCs w:val="20"/>
        </w:rPr>
        <w:t xml:space="preserve">: </w:t>
      </w:r>
      <w:r w:rsidRPr="0069053F">
        <w:rPr>
          <w:rFonts w:cs="Arial"/>
          <w:szCs w:val="20"/>
        </w:rPr>
        <w:t>als gevolg van een vertraging</w:t>
      </w:r>
      <w:r>
        <w:rPr>
          <w:rFonts w:cs="Arial"/>
          <w:szCs w:val="20"/>
        </w:rPr>
        <w:t xml:space="preserve"> in de</w:t>
      </w:r>
      <w:r w:rsidRPr="0069053F">
        <w:rPr>
          <w:rFonts w:cs="Arial"/>
          <w:szCs w:val="20"/>
        </w:rPr>
        <w:t xml:space="preserve"> invoering </w:t>
      </w:r>
      <w:r>
        <w:rPr>
          <w:rFonts w:cs="Arial"/>
          <w:szCs w:val="20"/>
        </w:rPr>
        <w:t xml:space="preserve">van het </w:t>
      </w:r>
      <w:r w:rsidRPr="0069053F">
        <w:rPr>
          <w:rFonts w:cs="Arial"/>
          <w:szCs w:val="20"/>
        </w:rPr>
        <w:t xml:space="preserve">wetsvoorstel aanpassing griffierechten </w:t>
      </w:r>
      <w:r>
        <w:rPr>
          <w:rFonts w:cs="Arial"/>
          <w:szCs w:val="20"/>
        </w:rPr>
        <w:t xml:space="preserve">wordt </w:t>
      </w:r>
      <w:r w:rsidRPr="0069053F">
        <w:rPr>
          <w:rFonts w:cs="Arial"/>
          <w:szCs w:val="20"/>
        </w:rPr>
        <w:t xml:space="preserve">een tegenvaller van € 19 mln. in 2015 verwacht. Er wordt uitgegaan van </w:t>
      </w:r>
      <w:r>
        <w:rPr>
          <w:rFonts w:cs="Arial"/>
          <w:szCs w:val="20"/>
        </w:rPr>
        <w:t>invoering per</w:t>
      </w:r>
      <w:r w:rsidRPr="0069053F">
        <w:rPr>
          <w:rFonts w:cs="Arial"/>
          <w:szCs w:val="20"/>
        </w:rPr>
        <w:t xml:space="preserve"> 1 januari 2016.</w:t>
      </w:r>
      <w:r>
        <w:rPr>
          <w:rFonts w:cs="Arial"/>
          <w:szCs w:val="20"/>
        </w:rPr>
        <w:t xml:space="preserve"> </w:t>
      </w:r>
      <w:r w:rsidRPr="0069053F">
        <w:rPr>
          <w:rFonts w:cs="Arial"/>
          <w:szCs w:val="20"/>
        </w:rPr>
        <w:t>Het besparingsverlies wordt binnen de begroting van VenJ van dekking voorzien.</w:t>
      </w:r>
    </w:p>
    <w:p w:rsidR="00602244" w:rsidRPr="0069053F" w:rsidRDefault="00602244" w:rsidP="00602244">
      <w:pPr>
        <w:numPr>
          <w:ilvl w:val="0"/>
          <w:numId w:val="23"/>
        </w:numPr>
        <w:spacing w:after="0" w:line="240" w:lineRule="auto"/>
        <w:rPr>
          <w:rFonts w:cs="Arial"/>
          <w:szCs w:val="20"/>
        </w:rPr>
      </w:pPr>
      <w:r>
        <w:rPr>
          <w:rFonts w:cs="Arial"/>
          <w:szCs w:val="20"/>
        </w:rPr>
        <w:t xml:space="preserve">Besparingsverlies bijdrageregeling: </w:t>
      </w:r>
      <w:r w:rsidRPr="0089793C">
        <w:rPr>
          <w:rFonts w:cs="Arial"/>
          <w:szCs w:val="20"/>
        </w:rPr>
        <w:t>bij rechtspleging</w:t>
      </w:r>
      <w:r>
        <w:rPr>
          <w:rFonts w:cs="Arial"/>
          <w:szCs w:val="20"/>
        </w:rPr>
        <w:t xml:space="preserve"> en</w:t>
      </w:r>
      <w:r w:rsidRPr="0089793C">
        <w:rPr>
          <w:rFonts w:cs="Arial"/>
          <w:szCs w:val="20"/>
        </w:rPr>
        <w:t xml:space="preserve"> rechtsbijstand </w:t>
      </w:r>
      <w:r>
        <w:rPr>
          <w:rFonts w:cs="Arial"/>
          <w:szCs w:val="20"/>
        </w:rPr>
        <w:t xml:space="preserve">(artikel 32) </w:t>
      </w:r>
      <w:r w:rsidRPr="0089793C">
        <w:rPr>
          <w:rFonts w:cs="Arial"/>
          <w:szCs w:val="20"/>
        </w:rPr>
        <w:t>en sanctietoepassing</w:t>
      </w:r>
      <w:r>
        <w:rPr>
          <w:rFonts w:cs="Arial"/>
          <w:szCs w:val="20"/>
        </w:rPr>
        <w:t xml:space="preserve"> (artikel 34) </w:t>
      </w:r>
      <w:r w:rsidRPr="0089793C">
        <w:rPr>
          <w:rFonts w:cs="Arial"/>
          <w:szCs w:val="20"/>
        </w:rPr>
        <w:t>wordt als gevolg van een vertraging</w:t>
      </w:r>
      <w:r>
        <w:rPr>
          <w:rFonts w:cs="Arial"/>
          <w:szCs w:val="20"/>
        </w:rPr>
        <w:t xml:space="preserve"> in de</w:t>
      </w:r>
      <w:r w:rsidRPr="0089793C">
        <w:rPr>
          <w:rFonts w:cs="Arial"/>
          <w:szCs w:val="20"/>
        </w:rPr>
        <w:t xml:space="preserve"> invoering </w:t>
      </w:r>
      <w:r>
        <w:rPr>
          <w:rFonts w:cs="Arial"/>
          <w:szCs w:val="20"/>
        </w:rPr>
        <w:t xml:space="preserve">van het </w:t>
      </w:r>
      <w:r w:rsidRPr="0089793C">
        <w:rPr>
          <w:rFonts w:cs="Arial"/>
          <w:szCs w:val="20"/>
        </w:rPr>
        <w:t xml:space="preserve">wetsvoorstel bijdrageregeling een tegenvaller van € 32 mln. in 2015 verwacht. Er wordt uitgegaan van </w:t>
      </w:r>
      <w:r>
        <w:rPr>
          <w:rFonts w:cs="Arial"/>
          <w:szCs w:val="20"/>
        </w:rPr>
        <w:t>invoering per</w:t>
      </w:r>
      <w:r w:rsidRPr="0089793C">
        <w:rPr>
          <w:rFonts w:cs="Arial"/>
          <w:szCs w:val="20"/>
        </w:rPr>
        <w:t xml:space="preserve"> 1 januari 201</w:t>
      </w:r>
      <w:r>
        <w:rPr>
          <w:rFonts w:cs="Arial"/>
          <w:szCs w:val="20"/>
        </w:rPr>
        <w:t>6</w:t>
      </w:r>
      <w:r w:rsidRPr="0089793C">
        <w:rPr>
          <w:rFonts w:cs="Arial"/>
          <w:szCs w:val="20"/>
        </w:rPr>
        <w:t>. Het besparingsverlies wordt binnen de begroting van VenJ van dekking voorzien.</w:t>
      </w: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Default="00602244" w:rsidP="00602244">
      <w:pPr>
        <w:spacing w:line="240" w:lineRule="auto"/>
        <w:rPr>
          <w:rFonts w:cs="Arial"/>
          <w:b/>
          <w:sz w:val="24"/>
          <w:szCs w:val="24"/>
        </w:rPr>
      </w:pPr>
    </w:p>
    <w:p w:rsidR="00602244" w:rsidRPr="001D064F" w:rsidRDefault="00602244" w:rsidP="00602244">
      <w:pPr>
        <w:spacing w:line="240" w:lineRule="auto"/>
        <w:rPr>
          <w:rFonts w:cs="Arial"/>
          <w:szCs w:val="20"/>
        </w:rPr>
      </w:pPr>
      <w:r w:rsidRPr="001D064F">
        <w:rPr>
          <w:rFonts w:cs="Arial"/>
          <w:b/>
          <w:sz w:val="24"/>
          <w:szCs w:val="24"/>
        </w:rPr>
        <w:lastRenderedPageBreak/>
        <w:t>33 Veiligheid en criminaliteitsbestrijding</w:t>
      </w:r>
    </w:p>
    <w:p w:rsidR="00602244" w:rsidRPr="001D064F" w:rsidRDefault="00602244" w:rsidP="00602244">
      <w:pPr>
        <w:spacing w:line="240" w:lineRule="auto"/>
        <w:rPr>
          <w:rFonts w:eastAsia="MS Mincho" w:cs="Arial"/>
          <w:i/>
          <w:sz w:val="16"/>
          <w:szCs w:val="16"/>
        </w:rPr>
      </w:pPr>
      <w:r>
        <w:rPr>
          <w:noProof/>
        </w:rPr>
        <w:drawing>
          <wp:inline distT="0" distB="0" distL="0" distR="0">
            <wp:extent cx="5724525" cy="47720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772025"/>
                    </a:xfrm>
                    <a:prstGeom prst="rect">
                      <a:avLst/>
                    </a:prstGeom>
                    <a:noFill/>
                    <a:ln>
                      <a:noFill/>
                    </a:ln>
                  </pic:spPr>
                </pic:pic>
              </a:graphicData>
            </a:graphic>
          </wp:inline>
        </w:drawing>
      </w:r>
      <w:r w:rsidRPr="00A44A87">
        <w:rPr>
          <w:rFonts w:eastAsia="MS Mincho" w:cs="Arial"/>
          <w:i/>
          <w:sz w:val="16"/>
          <w:szCs w:val="16"/>
        </w:rPr>
        <w:t>Het niet-juridisch verplichte deel op dit beleidsartikel is complementair noodzakelijk of an</w:t>
      </w:r>
      <w:r>
        <w:rPr>
          <w:rFonts w:eastAsia="MS Mincho" w:cs="Arial"/>
          <w:i/>
          <w:sz w:val="16"/>
          <w:szCs w:val="16"/>
        </w:rPr>
        <w:t>derszins bestuurlijk gebonden.</w:t>
      </w:r>
      <w:r>
        <w:rPr>
          <w:rFonts w:eastAsia="MS Mincho" w:cs="Arial"/>
          <w:i/>
          <w:sz w:val="16"/>
          <w:szCs w:val="16"/>
        </w:rPr>
        <w:br/>
      </w:r>
      <w:r w:rsidRPr="00A44A87">
        <w:rPr>
          <w:rFonts w:eastAsia="MS Mincho" w:cs="Arial"/>
          <w:i/>
          <w:sz w:val="16"/>
          <w:szCs w:val="16"/>
        </w:rPr>
        <w:t>De juridisch verplichte bedragen betreffen de bijdragen aan het OM, de bijdragen genoemd onder (inter)nationale organisaties/medeoverheden, de bijdragen aan de agentschappen NFI en DRZ en aan het ZBO College gerechtelijk deskundige. Daarnaast zijn de subsidiebedragen juridisch verplicht, als ook de opdrachtbudgetten schadeloosstellingen, onrechtmatige detentie en een deel van de gerechtskosten.</w:t>
      </w:r>
    </w:p>
    <w:p w:rsidR="00602244" w:rsidRDefault="00602244" w:rsidP="00602244">
      <w:pPr>
        <w:spacing w:line="240" w:lineRule="auto"/>
        <w:rPr>
          <w:rFonts w:cs="Arial"/>
          <w:b/>
          <w:sz w:val="24"/>
          <w:szCs w:val="24"/>
        </w:rPr>
      </w:pPr>
    </w:p>
    <w:p w:rsidR="00602244" w:rsidRPr="001D064F" w:rsidRDefault="00602244" w:rsidP="00602244">
      <w:pPr>
        <w:spacing w:line="240" w:lineRule="auto"/>
        <w:rPr>
          <w:rFonts w:cs="Arial"/>
          <w:b/>
          <w:sz w:val="24"/>
          <w:szCs w:val="24"/>
        </w:rPr>
      </w:pPr>
      <w:r w:rsidRPr="001D064F">
        <w:rPr>
          <w:rFonts w:cs="Arial"/>
          <w:b/>
          <w:sz w:val="24"/>
          <w:szCs w:val="24"/>
        </w:rPr>
        <w:t xml:space="preserve">Toelichting </w:t>
      </w:r>
    </w:p>
    <w:p w:rsidR="00602244" w:rsidRPr="001D064F" w:rsidRDefault="00602244" w:rsidP="00602244">
      <w:pPr>
        <w:spacing w:line="240" w:lineRule="auto"/>
        <w:rPr>
          <w:rFonts w:cs="Arial"/>
          <w:szCs w:val="20"/>
        </w:rPr>
      </w:pPr>
      <w:r w:rsidRPr="001D064F">
        <w:rPr>
          <w:rFonts w:cs="Arial"/>
          <w:b/>
        </w:rPr>
        <w:t>Mutaties uitgaven</w:t>
      </w:r>
    </w:p>
    <w:p w:rsidR="00602244" w:rsidRPr="001D064F" w:rsidRDefault="00602244" w:rsidP="00602244">
      <w:pPr>
        <w:spacing w:after="0" w:line="240" w:lineRule="auto"/>
        <w:rPr>
          <w:rFonts w:cs="Arial"/>
          <w:i/>
          <w:szCs w:val="20"/>
        </w:rPr>
      </w:pPr>
      <w:r>
        <w:rPr>
          <w:rFonts w:cs="Arial"/>
          <w:i/>
          <w:szCs w:val="20"/>
        </w:rPr>
        <w:t>Bestuur, informatie en technologie</w:t>
      </w:r>
      <w:r w:rsidRPr="001D064F">
        <w:rPr>
          <w:rFonts w:cs="Arial"/>
          <w:i/>
          <w:szCs w:val="20"/>
        </w:rPr>
        <w:t>.</w:t>
      </w:r>
    </w:p>
    <w:p w:rsidR="00602244" w:rsidRDefault="00602244" w:rsidP="00602244">
      <w:pPr>
        <w:spacing w:after="0" w:line="240" w:lineRule="auto"/>
        <w:rPr>
          <w:rFonts w:cs="Arial"/>
          <w:szCs w:val="20"/>
        </w:rPr>
      </w:pPr>
      <w:r>
        <w:rPr>
          <w:rFonts w:cs="Arial"/>
          <w:szCs w:val="20"/>
        </w:rPr>
        <w:t xml:space="preserve">De mutatie op dit artikelonderdeel wordt voornamelijk veroorzaakt door de overheveling van werkzaamheden met betrekking tot het Nationaal Platform Criminaliteitsbeheersing (NPC) en de direct daarmee samenhangende aanpak van Criminaliteit tegen het bedrijfsleven. Daartoe wordt het budget ter hoogte van € 9 mln. (respectievelijk € 7,1 mln. en € 1,9 mln.) overgeheveld van artikel 34 naar artikel 33. </w:t>
      </w:r>
    </w:p>
    <w:p w:rsidR="00602244" w:rsidRDefault="00602244" w:rsidP="00602244">
      <w:pPr>
        <w:spacing w:after="0" w:line="240" w:lineRule="auto"/>
        <w:rPr>
          <w:rFonts w:cs="Arial"/>
          <w:szCs w:val="20"/>
        </w:rPr>
      </w:pPr>
    </w:p>
    <w:p w:rsidR="00602244" w:rsidRDefault="00602244" w:rsidP="00602244">
      <w:pPr>
        <w:spacing w:after="0" w:line="240" w:lineRule="auto"/>
        <w:rPr>
          <w:rFonts w:cs="Arial"/>
          <w:szCs w:val="20"/>
        </w:rPr>
      </w:pPr>
      <w:r>
        <w:rPr>
          <w:rFonts w:cs="Arial"/>
          <w:szCs w:val="20"/>
        </w:rPr>
        <w:br w:type="page"/>
      </w:r>
    </w:p>
    <w:p w:rsidR="00602244" w:rsidRPr="00D468AE" w:rsidRDefault="00602244" w:rsidP="00602244">
      <w:pPr>
        <w:spacing w:after="0" w:line="240" w:lineRule="auto"/>
        <w:rPr>
          <w:rFonts w:cs="Arial"/>
          <w:i/>
          <w:szCs w:val="20"/>
        </w:rPr>
      </w:pPr>
      <w:r w:rsidRPr="00D468AE">
        <w:rPr>
          <w:rFonts w:cs="Arial"/>
          <w:i/>
          <w:szCs w:val="20"/>
        </w:rPr>
        <w:lastRenderedPageBreak/>
        <w:t>Opsporing en vervolging</w:t>
      </w:r>
    </w:p>
    <w:p w:rsidR="00602244" w:rsidRDefault="00602244" w:rsidP="00602244">
      <w:pPr>
        <w:spacing w:after="0" w:line="240" w:lineRule="auto"/>
        <w:rPr>
          <w:rFonts w:cs="Arial"/>
          <w:szCs w:val="20"/>
        </w:rPr>
      </w:pPr>
      <w:r>
        <w:rPr>
          <w:rFonts w:cs="Arial"/>
          <w:szCs w:val="20"/>
        </w:rPr>
        <w:t>De mutatie op dit artikelonderdeel wordt voornamelijk veroorzaakt door:</w:t>
      </w:r>
    </w:p>
    <w:p w:rsidR="00602244" w:rsidRPr="00644882" w:rsidRDefault="00602244" w:rsidP="00602244">
      <w:pPr>
        <w:numPr>
          <w:ilvl w:val="0"/>
          <w:numId w:val="14"/>
        </w:numPr>
        <w:spacing w:after="0" w:line="240" w:lineRule="auto"/>
        <w:rPr>
          <w:rFonts w:cs="Arial"/>
          <w:szCs w:val="20"/>
        </w:rPr>
      </w:pPr>
      <w:r>
        <w:t>d</w:t>
      </w:r>
      <w:r w:rsidRPr="00137AEF">
        <w:t xml:space="preserve">e </w:t>
      </w:r>
      <w:r>
        <w:t>regeling PV</w:t>
      </w:r>
      <w:r w:rsidRPr="00137AEF">
        <w:t>-vergoeding</w:t>
      </w:r>
      <w:r>
        <w:t>: de vergoeding is met ingang van 31 december 2014 beëindigd.</w:t>
      </w:r>
      <w:r w:rsidRPr="00137AEF">
        <w:t xml:space="preserve"> Voor het jaar 2014 is nog een juridische verplichting om de gemeente</w:t>
      </w:r>
      <w:r>
        <w:t>n</w:t>
      </w:r>
      <w:r w:rsidRPr="00137AEF">
        <w:t xml:space="preserve"> te compenseren voor deze </w:t>
      </w:r>
      <w:r>
        <w:t>v</w:t>
      </w:r>
      <w:r w:rsidRPr="00137AEF">
        <w:t xml:space="preserve">ergoedingsregeling. </w:t>
      </w:r>
      <w:r>
        <w:t>Dit betreft de afrekening tranche 2014 € 11,5 mln. van de PV-vergoeding.</w:t>
      </w:r>
    </w:p>
    <w:p w:rsidR="00602244" w:rsidRDefault="00602244" w:rsidP="00602244">
      <w:pPr>
        <w:numPr>
          <w:ilvl w:val="0"/>
          <w:numId w:val="14"/>
        </w:numPr>
        <w:spacing w:after="0" w:line="240" w:lineRule="auto"/>
        <w:rPr>
          <w:rFonts w:cs="Arial"/>
          <w:szCs w:val="20"/>
        </w:rPr>
      </w:pPr>
      <w:r>
        <w:rPr>
          <w:rFonts w:cs="Arial"/>
          <w:szCs w:val="20"/>
        </w:rPr>
        <w:t>Stichting Thuiskopie: d</w:t>
      </w:r>
      <w:r w:rsidRPr="008B5A60">
        <w:rPr>
          <w:rFonts w:cs="Arial"/>
          <w:szCs w:val="20"/>
        </w:rPr>
        <w:t>e Staat en Stichting Thuiskopie hebben op 8 december 2014 een schikking getroffen in hun geschil over de hoogte van de thuiskopieheffing in de jaren 2007-2012. VenJ betaalt € 33,5 mln. aan de stichting. Het geld is bedoeld voor de rechthebbenden, zoals auteurs, componisten en beeldend kunstenaars. De kasbetaling vindt plaats in 2015</w:t>
      </w:r>
      <w:r>
        <w:rPr>
          <w:rFonts w:cs="Arial"/>
          <w:szCs w:val="20"/>
        </w:rPr>
        <w:t>.</w:t>
      </w: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Pr="001D064F" w:rsidRDefault="00602244" w:rsidP="00602244">
      <w:pPr>
        <w:spacing w:line="240" w:lineRule="auto"/>
        <w:rPr>
          <w:rFonts w:cs="Arial"/>
          <w:szCs w:val="20"/>
        </w:rPr>
      </w:pPr>
      <w:r>
        <w:rPr>
          <w:rFonts w:cs="Arial"/>
          <w:b/>
        </w:rPr>
        <w:t>Mutaties ontvangsten</w:t>
      </w:r>
    </w:p>
    <w:p w:rsidR="00602244" w:rsidRDefault="00602244" w:rsidP="00602244">
      <w:pPr>
        <w:spacing w:after="0" w:line="240" w:lineRule="atLeast"/>
        <w:rPr>
          <w:rFonts w:cs="Arial"/>
          <w:i/>
          <w:szCs w:val="20"/>
        </w:rPr>
      </w:pPr>
      <w:r w:rsidRPr="004C7E7A">
        <w:rPr>
          <w:rFonts w:cs="Arial"/>
          <w:i/>
          <w:szCs w:val="20"/>
        </w:rPr>
        <w:t xml:space="preserve">Schikking SBM Offshore </w:t>
      </w:r>
    </w:p>
    <w:p w:rsidR="00602244" w:rsidRDefault="00602244" w:rsidP="00602244">
      <w:pPr>
        <w:numPr>
          <w:ilvl w:val="0"/>
          <w:numId w:val="25"/>
        </w:numPr>
        <w:spacing w:after="0" w:line="240" w:lineRule="atLeast"/>
        <w:rPr>
          <w:rFonts w:cs="Arial"/>
          <w:szCs w:val="20"/>
        </w:rPr>
      </w:pPr>
      <w:r>
        <w:rPr>
          <w:rFonts w:cs="Arial"/>
          <w:szCs w:val="20"/>
        </w:rPr>
        <w:t>He</w:t>
      </w:r>
      <w:r w:rsidRPr="002E2597">
        <w:rPr>
          <w:rFonts w:cs="Arial"/>
          <w:szCs w:val="20"/>
        </w:rPr>
        <w:t>t Openbaar Ministerie heeft een meerjarige schikking getroffen met SBM Offshore</w:t>
      </w:r>
      <w:r>
        <w:rPr>
          <w:rFonts w:cs="Arial"/>
          <w:szCs w:val="20"/>
        </w:rPr>
        <w:t>. De 1</w:t>
      </w:r>
      <w:r w:rsidRPr="002E2597">
        <w:rPr>
          <w:rFonts w:cs="Arial"/>
          <w:szCs w:val="20"/>
          <w:vertAlign w:val="superscript"/>
        </w:rPr>
        <w:t>e</w:t>
      </w:r>
      <w:r>
        <w:rPr>
          <w:rFonts w:cs="Arial"/>
          <w:szCs w:val="20"/>
        </w:rPr>
        <w:t xml:space="preserve"> tranche is reeds in 2014 ontvangen. De 2</w:t>
      </w:r>
      <w:r w:rsidRPr="002E2597">
        <w:rPr>
          <w:rFonts w:cs="Arial"/>
          <w:szCs w:val="20"/>
          <w:vertAlign w:val="superscript"/>
        </w:rPr>
        <w:t>e</w:t>
      </w:r>
      <w:r>
        <w:rPr>
          <w:rFonts w:cs="Arial"/>
          <w:szCs w:val="20"/>
        </w:rPr>
        <w:t xml:space="preserve"> en 3</w:t>
      </w:r>
      <w:r w:rsidRPr="002E2597">
        <w:rPr>
          <w:rFonts w:cs="Arial"/>
          <w:szCs w:val="20"/>
          <w:vertAlign w:val="superscript"/>
        </w:rPr>
        <w:t>e</w:t>
      </w:r>
      <w:r>
        <w:rPr>
          <w:rFonts w:cs="Arial"/>
          <w:szCs w:val="20"/>
        </w:rPr>
        <w:t xml:space="preserve"> tranche van deze schikking wordt in 2015 (€ 56 mln.) en 2016 (€ 56 mln.) ontvangen. Het ontnemingsdeel ( € 51,9 mln.) van de schikking wordt verantwoord op het onderdeel “Afpakken” en het boetedeel  (€ 4,1 mln.) op “Boeten en Transacties”.</w:t>
      </w:r>
    </w:p>
    <w:p w:rsidR="00602244" w:rsidRPr="002E2597" w:rsidRDefault="00602244" w:rsidP="00602244">
      <w:pPr>
        <w:spacing w:after="0"/>
        <w:ind w:left="360"/>
        <w:rPr>
          <w:rFonts w:cs="Arial"/>
          <w:szCs w:val="20"/>
        </w:rPr>
      </w:pPr>
    </w:p>
    <w:p w:rsidR="00602244" w:rsidRPr="004C7E7A" w:rsidRDefault="00602244" w:rsidP="00602244">
      <w:pPr>
        <w:spacing w:after="0" w:line="240" w:lineRule="atLeast"/>
        <w:rPr>
          <w:rFonts w:cs="Arial"/>
          <w:i/>
          <w:szCs w:val="20"/>
        </w:rPr>
      </w:pPr>
      <w:r w:rsidRPr="004C7E7A">
        <w:rPr>
          <w:rFonts w:cs="Arial"/>
          <w:i/>
          <w:szCs w:val="20"/>
        </w:rPr>
        <w:t>Boeten en Transacties</w:t>
      </w:r>
    </w:p>
    <w:p w:rsidR="00602244" w:rsidRDefault="00602244" w:rsidP="00602244">
      <w:pPr>
        <w:numPr>
          <w:ilvl w:val="0"/>
          <w:numId w:val="24"/>
        </w:numPr>
        <w:spacing w:after="0" w:line="240" w:lineRule="auto"/>
        <w:ind w:left="357" w:hanging="357"/>
        <w:rPr>
          <w:rFonts w:cs="Arial"/>
          <w:b/>
          <w:sz w:val="24"/>
          <w:szCs w:val="24"/>
        </w:rPr>
      </w:pPr>
      <w:r w:rsidRPr="009D4C0D">
        <w:rPr>
          <w:rFonts w:cs="Arial"/>
          <w:szCs w:val="20"/>
        </w:rPr>
        <w:t xml:space="preserve">Op het dossier Boeten en Transacties wordt vanwege een tijdelijke verminderende inzet van digitale handhavingsmiddelen door o.a. vervanging van trajectcontrolesystemen, flitspalen en radarcontrolesystemen een tekort voor 2015 verwacht van € 55 mln. </w:t>
      </w:r>
      <w:r w:rsidRPr="009D4C0D">
        <w:rPr>
          <w:rFonts w:cs="Arial"/>
          <w:b/>
          <w:sz w:val="24"/>
          <w:szCs w:val="24"/>
        </w:rPr>
        <w:br w:type="page"/>
      </w:r>
    </w:p>
    <w:p w:rsidR="00602244" w:rsidRDefault="00602244" w:rsidP="00602244">
      <w:pPr>
        <w:spacing w:after="0" w:line="240" w:lineRule="auto"/>
        <w:rPr>
          <w:rFonts w:cs="Arial"/>
          <w:b/>
          <w:sz w:val="24"/>
          <w:szCs w:val="24"/>
        </w:rPr>
      </w:pPr>
      <w:r w:rsidRPr="009D4C0D">
        <w:rPr>
          <w:rFonts w:cs="Arial"/>
          <w:b/>
          <w:sz w:val="24"/>
          <w:szCs w:val="24"/>
        </w:rPr>
        <w:lastRenderedPageBreak/>
        <w:t>34 Sanctietoepassing</w:t>
      </w:r>
    </w:p>
    <w:p w:rsidR="00602244" w:rsidRPr="009D4C0D" w:rsidRDefault="00602244" w:rsidP="00602244">
      <w:pPr>
        <w:spacing w:after="0" w:line="240" w:lineRule="auto"/>
        <w:rPr>
          <w:rFonts w:cs="Arial"/>
          <w:b/>
          <w:sz w:val="24"/>
          <w:szCs w:val="24"/>
        </w:rPr>
      </w:pPr>
    </w:p>
    <w:p w:rsidR="00602244" w:rsidRDefault="00602244" w:rsidP="00602244">
      <w:pPr>
        <w:spacing w:line="240" w:lineRule="auto"/>
        <w:rPr>
          <w:rFonts w:ascii="Arial" w:hAnsi="Arial" w:cs="Arial"/>
          <w:i/>
          <w:sz w:val="16"/>
          <w:szCs w:val="16"/>
        </w:rPr>
      </w:pPr>
      <w:r>
        <w:rPr>
          <w:noProof/>
        </w:rPr>
        <w:drawing>
          <wp:inline distT="0" distB="0" distL="0" distR="0">
            <wp:extent cx="5724525" cy="453390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533900"/>
                    </a:xfrm>
                    <a:prstGeom prst="rect">
                      <a:avLst/>
                    </a:prstGeom>
                    <a:noFill/>
                    <a:ln>
                      <a:noFill/>
                    </a:ln>
                  </pic:spPr>
                </pic:pic>
              </a:graphicData>
            </a:graphic>
          </wp:inline>
        </w:drawing>
      </w:r>
      <w:r>
        <w:br/>
      </w:r>
      <w:r w:rsidRPr="00711608">
        <w:rPr>
          <w:rFonts w:ascii="Arial" w:hAnsi="Arial" w:cs="Arial"/>
          <w:i/>
          <w:sz w:val="16"/>
          <w:szCs w:val="16"/>
        </w:rPr>
        <w:t>Het niet-juridisch verplichte deel is voornamelijk gereserveerd voor overige materiële uitgaven bij DJI.</w:t>
      </w:r>
      <w:r>
        <w:rPr>
          <w:rFonts w:ascii="Arial" w:hAnsi="Arial" w:cs="Arial"/>
          <w:i/>
          <w:sz w:val="16"/>
          <w:szCs w:val="16"/>
        </w:rPr>
        <w:br/>
      </w:r>
      <w:r w:rsidRPr="00711608">
        <w:rPr>
          <w:rFonts w:ascii="Arial" w:hAnsi="Arial" w:cs="Arial"/>
          <w:i/>
          <w:sz w:val="16"/>
          <w:szCs w:val="16"/>
        </w:rPr>
        <w:t>Het juridisch verplichte deel betreffen bij de artikelen Justis en CJIB de uitgaven voor de overeengekomen productieafspraken met het moederdepartement. Voor DJI betreft het de materiele programma uitgaven (subsidies, inkoop van zorg(tenders) en RVB huurlasten) en de personele uitgaven. Verder heeft DJI naast (kas)uitgaven ook te maken diverse kosten zoals afschrijvingskosten. Verder bestaat het juridische gedeelte voornamelijk uit subsidiering/bijdrage aan RWT's en ZBO's (SHN, SGM, Reclassering, etc.)</w:t>
      </w:r>
    </w:p>
    <w:p w:rsidR="00602244" w:rsidRDefault="00602244" w:rsidP="00602244">
      <w:pPr>
        <w:pStyle w:val="Normaalweb"/>
        <w:rPr>
          <w:rFonts w:ascii="Arial" w:hAnsi="Arial" w:cs="Arial"/>
          <w:i/>
          <w:sz w:val="16"/>
          <w:szCs w:val="16"/>
        </w:rPr>
      </w:pPr>
    </w:p>
    <w:p w:rsidR="00602244" w:rsidRPr="007A4E8E" w:rsidRDefault="00602244" w:rsidP="00602244">
      <w:pPr>
        <w:spacing w:line="240" w:lineRule="auto"/>
        <w:rPr>
          <w:rFonts w:cs="Arial"/>
          <w:b/>
          <w:sz w:val="24"/>
          <w:szCs w:val="24"/>
        </w:rPr>
      </w:pPr>
      <w:r w:rsidRPr="007A4E8E">
        <w:rPr>
          <w:rFonts w:cs="Arial"/>
          <w:b/>
          <w:sz w:val="24"/>
          <w:szCs w:val="24"/>
        </w:rPr>
        <w:t xml:space="preserve">Toelichting </w:t>
      </w:r>
      <w:r w:rsidRPr="007A4E8E">
        <w:rPr>
          <w:rFonts w:cs="Arial"/>
          <w:b/>
          <w:sz w:val="24"/>
          <w:szCs w:val="24"/>
        </w:rPr>
        <w:br/>
      </w:r>
    </w:p>
    <w:p w:rsidR="00602244" w:rsidRPr="007A4E8E" w:rsidRDefault="00602244" w:rsidP="00602244">
      <w:pPr>
        <w:spacing w:line="240" w:lineRule="auto"/>
        <w:rPr>
          <w:rFonts w:cs="Arial"/>
          <w:szCs w:val="20"/>
        </w:rPr>
      </w:pPr>
      <w:r w:rsidRPr="007A4E8E">
        <w:rPr>
          <w:rFonts w:cs="Arial"/>
          <w:b/>
        </w:rPr>
        <w:t>Mutaties uitgaven</w:t>
      </w:r>
    </w:p>
    <w:p w:rsidR="00602244" w:rsidRPr="00017E5F" w:rsidRDefault="00602244" w:rsidP="00602244">
      <w:pPr>
        <w:spacing w:after="0" w:line="240" w:lineRule="auto"/>
        <w:rPr>
          <w:rFonts w:cs="Arial"/>
          <w:i/>
          <w:szCs w:val="20"/>
        </w:rPr>
      </w:pPr>
      <w:r w:rsidRPr="00017E5F">
        <w:rPr>
          <w:rFonts w:cs="Arial"/>
          <w:i/>
          <w:szCs w:val="20"/>
        </w:rPr>
        <w:t>Preventieve maatregelen</w:t>
      </w:r>
    </w:p>
    <w:p w:rsidR="00602244" w:rsidRDefault="00602244" w:rsidP="00602244">
      <w:pPr>
        <w:spacing w:after="0" w:line="240" w:lineRule="auto"/>
        <w:rPr>
          <w:rFonts w:cs="Arial"/>
          <w:szCs w:val="20"/>
        </w:rPr>
      </w:pPr>
      <w:r w:rsidRPr="007A4E8E">
        <w:rPr>
          <w:rFonts w:cs="Arial"/>
          <w:szCs w:val="20"/>
        </w:rPr>
        <w:t xml:space="preserve">De mutatie op het artikelonderdeel wordt </w:t>
      </w:r>
      <w:r>
        <w:rPr>
          <w:rFonts w:cs="Arial"/>
          <w:szCs w:val="20"/>
        </w:rPr>
        <w:t xml:space="preserve">voornamelijk </w:t>
      </w:r>
      <w:r w:rsidRPr="007A4E8E">
        <w:rPr>
          <w:rFonts w:cs="Arial"/>
          <w:szCs w:val="20"/>
        </w:rPr>
        <w:t>verklaard door:</w:t>
      </w:r>
    </w:p>
    <w:p w:rsidR="00602244" w:rsidRDefault="00602244" w:rsidP="00602244">
      <w:pPr>
        <w:numPr>
          <w:ilvl w:val="0"/>
          <w:numId w:val="6"/>
        </w:numPr>
        <w:spacing w:after="0" w:line="240" w:lineRule="auto"/>
        <w:rPr>
          <w:rFonts w:cs="Arial"/>
          <w:szCs w:val="20"/>
        </w:rPr>
      </w:pPr>
      <w:r>
        <w:rPr>
          <w:rFonts w:cs="Arial"/>
          <w:szCs w:val="20"/>
        </w:rPr>
        <w:t xml:space="preserve">De overheveling van werkzaamheden met betrekking tot het Nationaal Platform Criminaliteitsbeheersing (NPC) en de direct daarmee samenhangende aanpak van Criminaliteit tegen het bedrijfsleven. Daartoe wordt het budget € 9 mln. (€ 6 mln. op artikel 34.2 en € 3 mln. artikel 34.3) overgeheveld van artikel 34 naar artikel 33. </w:t>
      </w:r>
    </w:p>
    <w:p w:rsidR="00602244" w:rsidRPr="00017E5F" w:rsidRDefault="00602244" w:rsidP="00602244">
      <w:pPr>
        <w:spacing w:after="0" w:line="240" w:lineRule="auto"/>
        <w:rPr>
          <w:rFonts w:cs="Arial"/>
          <w:i/>
          <w:szCs w:val="20"/>
        </w:rPr>
      </w:pPr>
      <w:r>
        <w:rPr>
          <w:rFonts w:cs="Arial"/>
          <w:szCs w:val="20"/>
        </w:rPr>
        <w:br w:type="page"/>
      </w:r>
      <w:r w:rsidRPr="00017E5F">
        <w:rPr>
          <w:rFonts w:cs="Arial"/>
          <w:i/>
          <w:szCs w:val="20"/>
        </w:rPr>
        <w:lastRenderedPageBreak/>
        <w:t>Ten uitvoerlegging strafrechtelijke sancties en vreemdelingenbewaring</w:t>
      </w:r>
    </w:p>
    <w:p w:rsidR="00602244" w:rsidRDefault="00602244" w:rsidP="00602244">
      <w:pPr>
        <w:spacing w:after="0" w:line="240" w:lineRule="auto"/>
        <w:rPr>
          <w:rFonts w:cs="Arial"/>
          <w:szCs w:val="20"/>
        </w:rPr>
      </w:pPr>
      <w:r w:rsidRPr="00D5591D">
        <w:rPr>
          <w:rFonts w:cs="Arial"/>
          <w:szCs w:val="20"/>
        </w:rPr>
        <w:t>De mutatie</w:t>
      </w:r>
      <w:r>
        <w:rPr>
          <w:rFonts w:cs="Arial"/>
          <w:szCs w:val="20"/>
        </w:rPr>
        <w:t>s</w:t>
      </w:r>
      <w:r w:rsidRPr="00D5591D">
        <w:rPr>
          <w:rFonts w:cs="Arial"/>
          <w:szCs w:val="20"/>
        </w:rPr>
        <w:t xml:space="preserve"> op </w:t>
      </w:r>
      <w:r>
        <w:rPr>
          <w:rFonts w:cs="Arial"/>
          <w:szCs w:val="20"/>
        </w:rPr>
        <w:t>het</w:t>
      </w:r>
      <w:r w:rsidRPr="00D5591D">
        <w:rPr>
          <w:rFonts w:cs="Arial"/>
          <w:szCs w:val="20"/>
        </w:rPr>
        <w:t xml:space="preserve"> artikelonderdeel </w:t>
      </w:r>
      <w:r>
        <w:rPr>
          <w:rFonts w:cs="Arial"/>
          <w:szCs w:val="20"/>
        </w:rPr>
        <w:t xml:space="preserve">bijdrage agentschappen DJI </w:t>
      </w:r>
      <w:r w:rsidRPr="00D5591D">
        <w:rPr>
          <w:rFonts w:cs="Arial"/>
          <w:szCs w:val="20"/>
        </w:rPr>
        <w:t>wordt voornamelijk veroorzaakt door</w:t>
      </w:r>
      <w:r>
        <w:rPr>
          <w:rFonts w:cs="Arial"/>
          <w:szCs w:val="20"/>
        </w:rPr>
        <w:t>:</w:t>
      </w:r>
    </w:p>
    <w:p w:rsidR="00602244" w:rsidRDefault="00602244" w:rsidP="00602244">
      <w:pPr>
        <w:numPr>
          <w:ilvl w:val="0"/>
          <w:numId w:val="3"/>
        </w:numPr>
        <w:spacing w:after="0" w:line="240" w:lineRule="auto"/>
        <w:rPr>
          <w:rFonts w:cs="Arial"/>
          <w:szCs w:val="20"/>
        </w:rPr>
      </w:pPr>
      <w:r>
        <w:rPr>
          <w:rFonts w:cs="Arial"/>
          <w:szCs w:val="20"/>
        </w:rPr>
        <w:t xml:space="preserve">aanzuiveren eigen vermogen DJI: eind 2014 had DJI een negatief eigen vermogen van € 77 mln. Conform de Regeling Agentschappen wordt dit door VenJ aangezuiverd. </w:t>
      </w:r>
    </w:p>
    <w:p w:rsidR="00602244" w:rsidRPr="00C26874" w:rsidRDefault="00602244" w:rsidP="00602244">
      <w:pPr>
        <w:numPr>
          <w:ilvl w:val="0"/>
          <w:numId w:val="3"/>
        </w:numPr>
        <w:spacing w:after="0" w:line="240" w:lineRule="auto"/>
        <w:rPr>
          <w:rFonts w:cs="Arial"/>
          <w:szCs w:val="20"/>
        </w:rPr>
      </w:pPr>
      <w:r>
        <w:rPr>
          <w:rFonts w:cs="Arial"/>
          <w:szCs w:val="20"/>
        </w:rPr>
        <w:t>f</w:t>
      </w:r>
      <w:r w:rsidRPr="00C26874">
        <w:rPr>
          <w:rFonts w:cs="Arial"/>
          <w:szCs w:val="20"/>
        </w:rPr>
        <w:t xml:space="preserve">rictiekosten DJI: de uitvoering van het Masterplan DJI (TK 24 587, nr. 535) heeft tot gevolg dat een aanzienlijk aantal justitiële inrichtingen wordt gesloten. Dit brengt onder andere frictiekosten ten aanzien van het vastgoed met zich mee. Op de Aanvullende Post bij het Ministerie van Financiën stond nog de bijdrage voor 2015 gereserveerd. </w:t>
      </w:r>
      <w:r w:rsidRPr="009552AB">
        <w:t xml:space="preserve">De in 2015 benodigde middelen </w:t>
      </w:r>
      <w:r>
        <w:t xml:space="preserve">€ 34 mln. </w:t>
      </w:r>
      <w:r w:rsidRPr="009552AB">
        <w:t>worden nu v</w:t>
      </w:r>
      <w:r>
        <w:t>an</w:t>
      </w:r>
      <w:r w:rsidRPr="009552AB">
        <w:t xml:space="preserve"> de Aanvullende Post bij Financiën aan de begroting van VenJ beschikbaar gesteld. </w:t>
      </w:r>
    </w:p>
    <w:p w:rsidR="00602244" w:rsidRDefault="00602244" w:rsidP="00602244">
      <w:pPr>
        <w:numPr>
          <w:ilvl w:val="0"/>
          <w:numId w:val="3"/>
        </w:numPr>
        <w:spacing w:after="0" w:line="240" w:lineRule="auto"/>
        <w:rPr>
          <w:rFonts w:cs="Arial"/>
          <w:szCs w:val="20"/>
        </w:rPr>
      </w:pPr>
      <w:r>
        <w:rPr>
          <w:rFonts w:cs="Arial"/>
          <w:szCs w:val="20"/>
        </w:rPr>
        <w:t>besparingsverlies arbeid gedetineerden: d</w:t>
      </w:r>
      <w:r w:rsidRPr="005601B8">
        <w:rPr>
          <w:rFonts w:cs="Arial"/>
          <w:szCs w:val="20"/>
        </w:rPr>
        <w:t xml:space="preserve">oordat de Eerste Kamer niet heeft ingestemd met het wetsvoorstel </w:t>
      </w:r>
      <w:r>
        <w:rPr>
          <w:rFonts w:cs="Arial"/>
          <w:szCs w:val="20"/>
        </w:rPr>
        <w:t>Elektronische Detentie (</w:t>
      </w:r>
      <w:r w:rsidRPr="005601B8">
        <w:rPr>
          <w:rFonts w:cs="Arial"/>
          <w:szCs w:val="20"/>
        </w:rPr>
        <w:t>ED</w:t>
      </w:r>
      <w:r>
        <w:rPr>
          <w:rFonts w:cs="Arial"/>
          <w:szCs w:val="20"/>
        </w:rPr>
        <w:t>)</w:t>
      </w:r>
      <w:r w:rsidRPr="005601B8">
        <w:rPr>
          <w:rFonts w:cs="Arial"/>
          <w:szCs w:val="20"/>
        </w:rPr>
        <w:t xml:space="preserve"> met daarin opgenomen een beperking van recht op arbeid, doet zich in 201</w:t>
      </w:r>
      <w:r>
        <w:rPr>
          <w:rFonts w:cs="Arial"/>
          <w:szCs w:val="20"/>
        </w:rPr>
        <w:t>5</w:t>
      </w:r>
      <w:r w:rsidRPr="005601B8">
        <w:rPr>
          <w:rFonts w:cs="Arial"/>
          <w:szCs w:val="20"/>
        </w:rPr>
        <w:t xml:space="preserve"> een eenmalig besparingsverlies voor van € 7,4 mln. Voor 2016 en verder zal getracht worden deze maatregelen en bijbehorende besparingen </w:t>
      </w:r>
      <w:r>
        <w:rPr>
          <w:rFonts w:cs="Arial"/>
          <w:szCs w:val="20"/>
        </w:rPr>
        <w:t xml:space="preserve">op alternatieve wijze </w:t>
      </w:r>
      <w:r w:rsidRPr="005601B8">
        <w:rPr>
          <w:rFonts w:cs="Arial"/>
          <w:szCs w:val="20"/>
        </w:rPr>
        <w:t>te realiseren</w:t>
      </w:r>
      <w:r>
        <w:rPr>
          <w:rFonts w:cs="Arial"/>
          <w:szCs w:val="20"/>
        </w:rPr>
        <w:t xml:space="preserve"> (zie ook TK 24587 nr. 608).</w:t>
      </w:r>
    </w:p>
    <w:p w:rsidR="00602244" w:rsidRDefault="00602244" w:rsidP="00602244">
      <w:pPr>
        <w:numPr>
          <w:ilvl w:val="0"/>
          <w:numId w:val="3"/>
        </w:numPr>
        <w:spacing w:after="0" w:line="240" w:lineRule="auto"/>
        <w:rPr>
          <w:rFonts w:cs="Arial"/>
          <w:szCs w:val="20"/>
        </w:rPr>
      </w:pPr>
      <w:r>
        <w:rPr>
          <w:rFonts w:cs="Arial"/>
          <w:szCs w:val="20"/>
        </w:rPr>
        <w:t>lagere bezetting DJI: wegens de lage bezetting in het gevangeniswezen en de</w:t>
      </w:r>
      <w:r w:rsidRPr="00036FBF">
        <w:rPr>
          <w:rFonts w:cs="Arial"/>
          <w:szCs w:val="20"/>
        </w:rPr>
        <w:t xml:space="preserve"> vreemdelingenbewaring vallen </w:t>
      </w:r>
      <w:r>
        <w:rPr>
          <w:rFonts w:cs="Arial"/>
          <w:szCs w:val="20"/>
        </w:rPr>
        <w:t>bij DJI middelen vrij. Tevens kan de capacitaire taakstelling van DJI tijdelijk verlaagd worden vanwege de voorgenomen verhuur van Norgerhaven. Daarnaast worden extra middelen toegevoegd aan de Forensische zorg. Per saldo levert dit in 2015 circa 8,8 mln. op dit artikel.</w:t>
      </w:r>
    </w:p>
    <w:p w:rsidR="00602244" w:rsidRDefault="00602244" w:rsidP="00602244">
      <w:pPr>
        <w:numPr>
          <w:ilvl w:val="0"/>
          <w:numId w:val="15"/>
        </w:numPr>
        <w:spacing w:after="0" w:line="240" w:lineRule="auto"/>
        <w:rPr>
          <w:rFonts w:cs="Arial"/>
          <w:szCs w:val="20"/>
        </w:rPr>
      </w:pPr>
      <w:r>
        <w:rPr>
          <w:rFonts w:cs="Arial"/>
          <w:szCs w:val="20"/>
        </w:rPr>
        <w:t>CJIB: Vanwege</w:t>
      </w:r>
      <w:r w:rsidRPr="005837C6">
        <w:rPr>
          <w:rFonts w:cs="Arial"/>
          <w:szCs w:val="20"/>
        </w:rPr>
        <w:t xml:space="preserve"> verwachte </w:t>
      </w:r>
      <w:r>
        <w:rPr>
          <w:rFonts w:cs="Arial"/>
          <w:szCs w:val="20"/>
        </w:rPr>
        <w:t xml:space="preserve">lagere </w:t>
      </w:r>
      <w:r w:rsidRPr="005837C6">
        <w:rPr>
          <w:rFonts w:cs="Arial"/>
          <w:szCs w:val="20"/>
        </w:rPr>
        <w:t xml:space="preserve">aantallen WAHV-zaken op basis van de actuele B&amp;T-raming </w:t>
      </w:r>
      <w:r>
        <w:rPr>
          <w:rFonts w:cs="Arial"/>
          <w:szCs w:val="20"/>
        </w:rPr>
        <w:t>ontstaat er een tekort bij het CJIB van € 8,7 mln. Om dit tekort te compenseren wordt de bijdrage vanuit het moederdepartement aan het CJIB verhoogd.</w:t>
      </w:r>
    </w:p>
    <w:p w:rsidR="00602244" w:rsidRPr="00017E5F" w:rsidRDefault="00602244" w:rsidP="00602244">
      <w:pPr>
        <w:numPr>
          <w:ilvl w:val="0"/>
          <w:numId w:val="16"/>
        </w:numPr>
        <w:spacing w:after="0" w:line="240" w:lineRule="auto"/>
        <w:rPr>
          <w:rFonts w:cs="Arial"/>
          <w:szCs w:val="20"/>
        </w:rPr>
      </w:pPr>
      <w:r>
        <w:rPr>
          <w:rFonts w:cs="Arial"/>
          <w:szCs w:val="20"/>
        </w:rPr>
        <w:t xml:space="preserve">Reclassering Nederland: </w:t>
      </w:r>
      <w:r>
        <w:t>o</w:t>
      </w:r>
      <w:r w:rsidRPr="00D31C0D">
        <w:t xml:space="preserve">p basis van de meest recente uitkomsten van het </w:t>
      </w:r>
      <w:r>
        <w:t>PMJ-model</w:t>
      </w:r>
      <w:r w:rsidRPr="00D31C0D">
        <w:t xml:space="preserve"> worden de geraamde uitgaven aan </w:t>
      </w:r>
      <w:r>
        <w:t xml:space="preserve">Reclassering Nederland </w:t>
      </w:r>
      <w:r w:rsidRPr="00D31C0D">
        <w:t>bijgesteld</w:t>
      </w:r>
      <w:r>
        <w:t xml:space="preserve"> met € 5,3 mln.</w:t>
      </w:r>
      <w:r w:rsidRPr="00D31C0D">
        <w:t xml:space="preserve"> </w:t>
      </w:r>
    </w:p>
    <w:p w:rsidR="00602244" w:rsidRDefault="00602244" w:rsidP="00602244">
      <w:pPr>
        <w:numPr>
          <w:ilvl w:val="0"/>
          <w:numId w:val="15"/>
        </w:numPr>
        <w:spacing w:after="0" w:line="240" w:lineRule="auto"/>
        <w:rPr>
          <w:rFonts w:cs="Arial"/>
          <w:szCs w:val="20"/>
        </w:rPr>
      </w:pPr>
      <w:r>
        <w:rPr>
          <w:rFonts w:cs="Arial"/>
          <w:szCs w:val="20"/>
        </w:rPr>
        <w:t>kleine mutaties (&lt; € 5mln. ) zoals o.a. een bijdrage voor het programma USB bij het CJIB.</w:t>
      </w:r>
    </w:p>
    <w:p w:rsidR="00602244" w:rsidRDefault="00602244" w:rsidP="00602244">
      <w:pPr>
        <w:spacing w:after="0" w:line="240" w:lineRule="auto"/>
        <w:rPr>
          <w:rFonts w:cs="Arial"/>
          <w:szCs w:val="20"/>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p>
    <w:p w:rsidR="00602244" w:rsidRDefault="00602244" w:rsidP="00602244">
      <w:pPr>
        <w:spacing w:after="0" w:line="240" w:lineRule="auto"/>
        <w:jc w:val="both"/>
        <w:rPr>
          <w:rFonts w:cs="Arial"/>
          <w:b/>
          <w:sz w:val="24"/>
          <w:szCs w:val="24"/>
        </w:rPr>
      </w:pPr>
      <w:r w:rsidRPr="00E050E4">
        <w:rPr>
          <w:rFonts w:cs="Arial"/>
          <w:b/>
          <w:sz w:val="24"/>
          <w:szCs w:val="24"/>
        </w:rPr>
        <w:lastRenderedPageBreak/>
        <w:t>35 Jeugd</w:t>
      </w:r>
    </w:p>
    <w:p w:rsidR="00602244" w:rsidRDefault="00602244" w:rsidP="00602244">
      <w:pPr>
        <w:spacing w:after="0" w:line="240" w:lineRule="auto"/>
        <w:jc w:val="both"/>
        <w:rPr>
          <w:rFonts w:cs="Arial"/>
          <w:b/>
          <w:sz w:val="24"/>
          <w:szCs w:val="24"/>
        </w:rPr>
      </w:pPr>
    </w:p>
    <w:p w:rsidR="00602244" w:rsidRDefault="00602244" w:rsidP="00602244">
      <w:pPr>
        <w:pStyle w:val="Geenafstand"/>
        <w:rPr>
          <w:rFonts w:cs="Arial"/>
          <w:sz w:val="16"/>
          <w:szCs w:val="16"/>
        </w:rPr>
      </w:pPr>
      <w:r>
        <w:rPr>
          <w:noProof/>
        </w:rPr>
        <w:drawing>
          <wp:inline distT="0" distB="0" distL="0" distR="0">
            <wp:extent cx="5724525" cy="38195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r>
        <w:br/>
      </w:r>
      <w:r w:rsidRPr="00863C0C">
        <w:rPr>
          <w:rFonts w:cs="Arial"/>
          <w:sz w:val="16"/>
          <w:szCs w:val="16"/>
        </w:rPr>
        <w:t xml:space="preserve">Het niet-juridisch verplicht deel betreft uitgaven aangaande ondersteuning primair processen t.a.v. tolken &amp; vertalers, vergaderlocaties, catering e.d. En een deel van het budget op dit beleidsartikel is gereserveerd voor onder andere nog te starten projecten binnen de </w:t>
      </w:r>
      <w:r w:rsidRPr="00863C0C">
        <w:rPr>
          <w:sz w:val="16"/>
          <w:szCs w:val="16"/>
        </w:rPr>
        <w:t>jeugdbescherming en jeugdsancties en -preventie en de aanpak van jeugdcriminaliteit en jeugdgroepen</w:t>
      </w:r>
      <w:r w:rsidRPr="00863C0C">
        <w:rPr>
          <w:rFonts w:cs="Arial"/>
          <w:sz w:val="16"/>
          <w:szCs w:val="16"/>
        </w:rPr>
        <w:t>.</w:t>
      </w:r>
      <w:r w:rsidRPr="00863C0C">
        <w:rPr>
          <w:rFonts w:cs="Arial"/>
          <w:sz w:val="16"/>
          <w:szCs w:val="16"/>
        </w:rPr>
        <w:br/>
        <w:t>Het juridisch verplichte deel van het budget op dit beleidsartikel bestaat onder andere uit structurele subsidierelaties (bv. Halt, Nidos en LBIO), de doeluitkeringen jeugdzorg (JB/JR) en de bijdrage aan DJI.</w:t>
      </w:r>
    </w:p>
    <w:p w:rsidR="00602244" w:rsidRDefault="00602244" w:rsidP="00602244">
      <w:pPr>
        <w:spacing w:after="0" w:line="240" w:lineRule="auto"/>
        <w:jc w:val="both"/>
        <w:rPr>
          <w:rFonts w:cs="Arial"/>
          <w:sz w:val="16"/>
          <w:szCs w:val="16"/>
        </w:rPr>
      </w:pPr>
    </w:p>
    <w:p w:rsidR="00602244" w:rsidRDefault="00602244" w:rsidP="00602244">
      <w:pPr>
        <w:spacing w:line="240" w:lineRule="auto"/>
        <w:rPr>
          <w:rFonts w:cs="Arial"/>
          <w:b/>
          <w:sz w:val="24"/>
          <w:szCs w:val="24"/>
        </w:rPr>
      </w:pPr>
    </w:p>
    <w:p w:rsidR="00602244" w:rsidRDefault="00602244" w:rsidP="00602244">
      <w:pPr>
        <w:spacing w:line="240" w:lineRule="auto"/>
        <w:rPr>
          <w:rFonts w:ascii="Verdana" w:hAnsi="Verdana"/>
          <w:szCs w:val="20"/>
        </w:rPr>
      </w:pPr>
      <w:r w:rsidRPr="00DF616D">
        <w:rPr>
          <w:rFonts w:cs="Arial"/>
          <w:b/>
          <w:sz w:val="24"/>
          <w:szCs w:val="24"/>
        </w:rPr>
        <w:t xml:space="preserve">Toelichting </w:t>
      </w:r>
      <w:r w:rsidRPr="00DF616D">
        <w:rPr>
          <w:rFonts w:cs="Arial"/>
          <w:b/>
          <w:sz w:val="24"/>
          <w:szCs w:val="24"/>
        </w:rPr>
        <w:br/>
      </w:r>
      <w:r>
        <w:rPr>
          <w:rFonts w:ascii="Verdana" w:hAnsi="Verdana"/>
          <w:b/>
          <w:sz w:val="24"/>
          <w:szCs w:val="24"/>
        </w:rPr>
        <w:br/>
      </w:r>
      <w:r w:rsidRPr="00DF616D">
        <w:rPr>
          <w:rFonts w:cs="Arial"/>
          <w:b/>
        </w:rPr>
        <w:t>Mutaties uitgaven</w:t>
      </w:r>
    </w:p>
    <w:p w:rsidR="00602244" w:rsidRDefault="00602244" w:rsidP="00602244">
      <w:pPr>
        <w:spacing w:after="0" w:line="240" w:lineRule="auto"/>
        <w:rPr>
          <w:rFonts w:cs="Arial"/>
          <w:i/>
          <w:szCs w:val="20"/>
        </w:rPr>
      </w:pPr>
      <w:r>
        <w:rPr>
          <w:rFonts w:cs="Arial"/>
          <w:i/>
          <w:szCs w:val="20"/>
        </w:rPr>
        <w:t>Uitvoering jeugdbescherming</w:t>
      </w:r>
    </w:p>
    <w:p w:rsidR="00602244" w:rsidRPr="00184C12" w:rsidRDefault="00602244" w:rsidP="00602244">
      <w:pPr>
        <w:spacing w:after="0" w:line="240" w:lineRule="auto"/>
        <w:rPr>
          <w:rFonts w:cs="Arial"/>
          <w:szCs w:val="20"/>
        </w:rPr>
      </w:pPr>
      <w:r>
        <w:rPr>
          <w:rFonts w:cs="Arial"/>
          <w:szCs w:val="20"/>
        </w:rPr>
        <w:t>Op dit artikelonderdeel doen zich alleen kleine mutaties (&lt; € 5 mln.) voor zoals o.a. de inzet eindejaarsmarge ten behoeven van transitie jeugdzorg (€ 4,5 mln.)</w:t>
      </w:r>
    </w:p>
    <w:p w:rsidR="00602244" w:rsidRPr="00FF6497" w:rsidRDefault="00602244" w:rsidP="00602244">
      <w:pPr>
        <w:spacing w:line="240" w:lineRule="auto"/>
        <w:rPr>
          <w:rFonts w:ascii="Verdana" w:hAnsi="Verdana"/>
          <w:b/>
          <w:sz w:val="24"/>
          <w:szCs w:val="24"/>
        </w:rPr>
      </w:pPr>
    </w:p>
    <w:p w:rsidR="00602244" w:rsidRDefault="00602244" w:rsidP="00602244">
      <w:pPr>
        <w:spacing w:after="0" w:line="240" w:lineRule="auto"/>
        <w:rPr>
          <w:rFonts w:cs="Arial"/>
          <w:i/>
          <w:szCs w:val="20"/>
        </w:rPr>
      </w:pPr>
      <w:r>
        <w:rPr>
          <w:rFonts w:cs="Arial"/>
          <w:i/>
          <w:szCs w:val="20"/>
        </w:rPr>
        <w:t xml:space="preserve">Tenuitvoerlegging </w:t>
      </w:r>
      <w:r w:rsidRPr="007233E2">
        <w:rPr>
          <w:rFonts w:cs="Arial"/>
          <w:i/>
          <w:szCs w:val="20"/>
        </w:rPr>
        <w:t>Justitiële sancties jeugd</w:t>
      </w:r>
    </w:p>
    <w:p w:rsidR="00602244" w:rsidRDefault="00602244" w:rsidP="00602244">
      <w:pPr>
        <w:spacing w:after="0" w:line="240" w:lineRule="auto"/>
        <w:rPr>
          <w:rFonts w:cs="Arial"/>
          <w:szCs w:val="20"/>
        </w:rPr>
      </w:pPr>
      <w:r w:rsidRPr="0015220A">
        <w:rPr>
          <w:rFonts w:cs="Arial"/>
          <w:szCs w:val="20"/>
        </w:rPr>
        <w:t xml:space="preserve">Op dit artikelonderdeel doen </w:t>
      </w:r>
      <w:r>
        <w:rPr>
          <w:rFonts w:cs="Arial"/>
          <w:szCs w:val="20"/>
        </w:rPr>
        <w:t xml:space="preserve">zich </w:t>
      </w:r>
      <w:r w:rsidRPr="0015220A">
        <w:rPr>
          <w:rFonts w:cs="Arial"/>
          <w:szCs w:val="20"/>
        </w:rPr>
        <w:t>alleen kleine mu</w:t>
      </w:r>
      <w:r>
        <w:rPr>
          <w:rFonts w:cs="Arial"/>
          <w:szCs w:val="20"/>
        </w:rPr>
        <w:t xml:space="preserve">taties (&lt; € 5 mln.) voor zoals o.a. </w:t>
      </w:r>
    </w:p>
    <w:p w:rsidR="00602244" w:rsidRDefault="00602244" w:rsidP="00602244">
      <w:pPr>
        <w:numPr>
          <w:ilvl w:val="0"/>
          <w:numId w:val="21"/>
        </w:numPr>
        <w:spacing w:after="0" w:line="240" w:lineRule="auto"/>
        <w:rPr>
          <w:rFonts w:cs="Arial"/>
          <w:szCs w:val="20"/>
        </w:rPr>
      </w:pPr>
      <w:r>
        <w:rPr>
          <w:rFonts w:cs="Arial"/>
          <w:szCs w:val="20"/>
        </w:rPr>
        <w:t>een s</w:t>
      </w:r>
      <w:r w:rsidRPr="00FF6497">
        <w:rPr>
          <w:rFonts w:cs="Arial"/>
          <w:szCs w:val="20"/>
        </w:rPr>
        <w:t xml:space="preserve">aldering op de ontvangsten Prima gelden (Programma </w:t>
      </w:r>
      <w:r>
        <w:rPr>
          <w:rFonts w:cs="Arial"/>
          <w:szCs w:val="20"/>
        </w:rPr>
        <w:t>Implementatie Agenda ICT-beleid) voor € 3,5 mln.</w:t>
      </w:r>
    </w:p>
    <w:p w:rsidR="00602244" w:rsidRPr="00EB1610" w:rsidRDefault="00602244" w:rsidP="00602244">
      <w:pPr>
        <w:numPr>
          <w:ilvl w:val="0"/>
          <w:numId w:val="21"/>
        </w:numPr>
        <w:spacing w:after="0" w:line="240" w:lineRule="auto"/>
        <w:rPr>
          <w:rFonts w:ascii="Verdana" w:hAnsi="Verdana"/>
          <w:b/>
          <w:sz w:val="24"/>
          <w:szCs w:val="24"/>
        </w:rPr>
      </w:pPr>
      <w:r>
        <w:rPr>
          <w:rFonts w:cs="Arial"/>
          <w:szCs w:val="20"/>
        </w:rPr>
        <w:t>h</w:t>
      </w:r>
      <w:r w:rsidRPr="00EB1610">
        <w:rPr>
          <w:rFonts w:cs="Arial"/>
          <w:szCs w:val="20"/>
        </w:rPr>
        <w:t xml:space="preserve">et wetsvoorstel adolescentenstrafrecht (ASR) is eind november door de Eerste Kamer aangenomen. Per 1 april 2014 is het wetsvoorstel in werking getreden. Doel van het ASR is het bieden van sancties op maat voor jongeren en jongvolwassenen waarbij rekening wordt gehouden met hun ontwikkelingsfase. </w:t>
      </w:r>
    </w:p>
    <w:p w:rsidR="00602244" w:rsidRPr="00EB1610" w:rsidRDefault="00602244" w:rsidP="00602244">
      <w:pPr>
        <w:numPr>
          <w:ilvl w:val="0"/>
          <w:numId w:val="21"/>
        </w:numPr>
        <w:spacing w:after="0" w:line="240" w:lineRule="auto"/>
        <w:rPr>
          <w:rFonts w:ascii="Verdana" w:hAnsi="Verdana"/>
          <w:b/>
          <w:sz w:val="24"/>
          <w:szCs w:val="24"/>
        </w:rPr>
      </w:pPr>
      <w:r>
        <w:rPr>
          <w:rFonts w:cs="Arial"/>
          <w:szCs w:val="20"/>
        </w:rPr>
        <w:t>een technische correctie van € 4,6 mln. PIJ-zorg jeugdigen detentie die per abuis was verantwoord op de projecten jeugd straf in plaats van DJI-jeugd.</w:t>
      </w:r>
    </w:p>
    <w:p w:rsidR="00602244" w:rsidRDefault="00602244" w:rsidP="00602244">
      <w:pPr>
        <w:spacing w:after="0" w:line="240" w:lineRule="auto"/>
        <w:ind w:left="360"/>
        <w:rPr>
          <w:rFonts w:ascii="Verdana" w:hAnsi="Verdana"/>
          <w:b/>
          <w:sz w:val="24"/>
          <w:szCs w:val="24"/>
        </w:rPr>
      </w:pPr>
    </w:p>
    <w:p w:rsidR="00602244" w:rsidRDefault="00602244" w:rsidP="00602244">
      <w:pPr>
        <w:spacing w:after="0" w:line="240" w:lineRule="auto"/>
        <w:ind w:left="360"/>
        <w:rPr>
          <w:rFonts w:ascii="Verdana" w:hAnsi="Verdana"/>
          <w:b/>
          <w:sz w:val="24"/>
          <w:szCs w:val="24"/>
        </w:rPr>
      </w:pPr>
    </w:p>
    <w:p w:rsidR="00602244" w:rsidRDefault="00602244" w:rsidP="00602244">
      <w:pPr>
        <w:spacing w:after="0" w:line="240" w:lineRule="auto"/>
        <w:ind w:left="360"/>
        <w:rPr>
          <w:rFonts w:ascii="Verdana" w:hAnsi="Verdana"/>
          <w:b/>
          <w:sz w:val="24"/>
          <w:szCs w:val="24"/>
        </w:rPr>
      </w:pPr>
    </w:p>
    <w:p w:rsidR="00602244" w:rsidRPr="00EB1610" w:rsidRDefault="00602244" w:rsidP="00602244">
      <w:pPr>
        <w:spacing w:after="0" w:line="240" w:lineRule="auto"/>
        <w:ind w:left="360"/>
        <w:rPr>
          <w:rFonts w:ascii="Verdana" w:hAnsi="Verdana"/>
          <w:b/>
          <w:sz w:val="24"/>
          <w:szCs w:val="24"/>
        </w:rPr>
      </w:pPr>
    </w:p>
    <w:p w:rsidR="00602244" w:rsidRPr="001D064F" w:rsidRDefault="00602244" w:rsidP="00602244">
      <w:pPr>
        <w:spacing w:line="240" w:lineRule="auto"/>
        <w:rPr>
          <w:rFonts w:cs="Arial"/>
          <w:i/>
          <w:u w:val="single"/>
        </w:rPr>
      </w:pPr>
      <w:r w:rsidRPr="001D064F">
        <w:rPr>
          <w:rFonts w:cs="Arial"/>
          <w:b/>
        </w:rPr>
        <w:t>Mutaties ontvangsten</w:t>
      </w:r>
    </w:p>
    <w:p w:rsidR="00602244" w:rsidRDefault="00602244" w:rsidP="00602244">
      <w:pPr>
        <w:spacing w:after="0" w:line="240" w:lineRule="auto"/>
        <w:rPr>
          <w:rFonts w:cs="Arial"/>
          <w:szCs w:val="20"/>
        </w:rPr>
      </w:pPr>
      <w:r>
        <w:rPr>
          <w:rFonts w:cs="Arial"/>
          <w:szCs w:val="20"/>
        </w:rPr>
        <w:t xml:space="preserve">Op dit artikel doen zich alleen kleine mutaties (&lt; € 5 mln.) voor zoals: </w:t>
      </w:r>
    </w:p>
    <w:p w:rsidR="00602244" w:rsidRDefault="00602244" w:rsidP="00602244">
      <w:pPr>
        <w:numPr>
          <w:ilvl w:val="0"/>
          <w:numId w:val="7"/>
        </w:numPr>
        <w:spacing w:after="0" w:line="240" w:lineRule="auto"/>
        <w:rPr>
          <w:rFonts w:cs="Arial"/>
          <w:szCs w:val="20"/>
        </w:rPr>
      </w:pPr>
      <w:r>
        <w:rPr>
          <w:rFonts w:cs="Arial"/>
          <w:szCs w:val="20"/>
        </w:rPr>
        <w:t xml:space="preserve">wetsvoorstel herziening kinderbeschermingsmaatregelen: met de inwerkingtreding van dit wetsvoorstel met ingang van 1 januari 2015 wordt de noodzakelijke modernisering van de kinderbeschermingsmaatregelen gerealiseerd. De kosten voor Raad voor de Kinderbescherming worden door middel van deze budgetoverheveling ad € 1,5 mln. gedekt. </w:t>
      </w:r>
    </w:p>
    <w:p w:rsidR="00602244" w:rsidRDefault="00602244" w:rsidP="00602244">
      <w:pPr>
        <w:numPr>
          <w:ilvl w:val="0"/>
          <w:numId w:val="7"/>
        </w:numPr>
        <w:spacing w:after="0" w:line="240" w:lineRule="auto"/>
        <w:rPr>
          <w:rFonts w:cs="Arial"/>
          <w:szCs w:val="20"/>
        </w:rPr>
      </w:pPr>
      <w:r>
        <w:rPr>
          <w:rFonts w:cs="Arial"/>
          <w:szCs w:val="20"/>
        </w:rPr>
        <w:t>ontvangst € 3,6 mln. vanwege afrekening op het project Prima gelden (Programma Implementatie Agenda).</w:t>
      </w: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Pr="00586CA9" w:rsidRDefault="00602244" w:rsidP="00602244">
      <w:pPr>
        <w:spacing w:line="240" w:lineRule="auto"/>
        <w:rPr>
          <w:rFonts w:cs="Arial"/>
          <w:b/>
          <w:sz w:val="24"/>
          <w:szCs w:val="24"/>
        </w:rPr>
      </w:pPr>
      <w:r w:rsidRPr="00586CA9">
        <w:rPr>
          <w:rFonts w:cs="Arial"/>
          <w:b/>
          <w:sz w:val="24"/>
          <w:szCs w:val="24"/>
        </w:rPr>
        <w:t>36 Contraterrorisme en Nationaal Veiligheidsbeleid</w:t>
      </w:r>
    </w:p>
    <w:p w:rsidR="00602244" w:rsidRDefault="00602244" w:rsidP="00602244">
      <w:pPr>
        <w:spacing w:line="240" w:lineRule="auto"/>
      </w:pPr>
      <w:r>
        <w:rPr>
          <w:noProof/>
        </w:rPr>
        <w:drawing>
          <wp:inline distT="0" distB="0" distL="0" distR="0">
            <wp:extent cx="5734050" cy="27051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705100"/>
                    </a:xfrm>
                    <a:prstGeom prst="rect">
                      <a:avLst/>
                    </a:prstGeom>
                    <a:noFill/>
                    <a:ln>
                      <a:noFill/>
                    </a:ln>
                  </pic:spPr>
                </pic:pic>
              </a:graphicData>
            </a:graphic>
          </wp:inline>
        </w:drawing>
      </w:r>
    </w:p>
    <w:p w:rsidR="00602244" w:rsidRPr="00673756" w:rsidRDefault="00602244" w:rsidP="00602244">
      <w:pPr>
        <w:spacing w:line="240" w:lineRule="auto"/>
        <w:rPr>
          <w:rFonts w:cs="Arial"/>
          <w:i/>
          <w:sz w:val="16"/>
          <w:szCs w:val="16"/>
        </w:rPr>
      </w:pPr>
      <w:r w:rsidRPr="00673756">
        <w:rPr>
          <w:rFonts w:cs="Arial"/>
          <w:i/>
          <w:sz w:val="16"/>
          <w:szCs w:val="16"/>
        </w:rPr>
        <w:t>Het niet verplichte deel is gereserveerd voor o.a. : bijdrage agentschappen voor schadeclaims van de WTS (Wet Tegemoetkoming Schade). Bijdrage mede-overheden:  voor een effectieve nationale crisisorganisatie (w.o. het NCC), voor terrorismebestrijding en het identificeren en beoordelen van dreigingen op de nationale veiligheid. Subsidies: incidentele subsidies voor een effectieve nationale crisisorganisatie (w.o. het NCC), voor terrorismebestrijding en het identificeren en beoordelen van dreigingen op de nationale veiligheid. Opdrachten: ontwikkeling, onderhoud en beheer van nieuw alerteringssyteem NL-Alert; opdrachten t.b.v. cybersecurity w.o. het Nationaal Cybersecurity Centrum; opdrachten t.b.v. cyberconferentie 2015 (uit HGIS);  opdrachten voor een effectieve nationale crisisorganisatie (w.o. het NCC), voor terrorismebestrijding en het identificeren en beoordelen van dreigingen op de nationale veiligheid</w:t>
      </w:r>
      <w:r>
        <w:rPr>
          <w:rFonts w:cs="Arial"/>
          <w:i/>
          <w:sz w:val="16"/>
          <w:szCs w:val="16"/>
        </w:rPr>
        <w:t>.</w:t>
      </w:r>
      <w:r>
        <w:rPr>
          <w:rFonts w:cs="Arial"/>
          <w:i/>
          <w:sz w:val="16"/>
          <w:szCs w:val="16"/>
        </w:rPr>
        <w:br/>
      </w:r>
      <w:r w:rsidRPr="00673756">
        <w:rPr>
          <w:rFonts w:cs="Arial"/>
          <w:i/>
          <w:sz w:val="16"/>
          <w:szCs w:val="16"/>
        </w:rPr>
        <w:t>Het juridisch verplichte deel heeft voornamelijk betrekking op verplichtingen die voortvloeien uit : bijdragen aan ZBO/RWT’s op grond van Besluit Rijksbijdrage IFV;  bijdrage mede-overheden o.g.v. Wet Veiligheidsregio’s (BDUR);   doorlopende subsidieregelingen met het Nederlands Rode Kruis en het Nationaal Veiligheidsinstituut;  extra uitgaven beveiligingsmaatregelen op luchthavens in Nederland.</w:t>
      </w:r>
    </w:p>
    <w:p w:rsidR="00602244" w:rsidRDefault="00602244" w:rsidP="00602244">
      <w:pPr>
        <w:spacing w:line="240" w:lineRule="auto"/>
        <w:rPr>
          <w:rFonts w:cs="Arial"/>
          <w:b/>
          <w:sz w:val="24"/>
          <w:szCs w:val="24"/>
        </w:rPr>
      </w:pPr>
    </w:p>
    <w:p w:rsidR="00602244" w:rsidRDefault="00602244" w:rsidP="00602244">
      <w:pPr>
        <w:spacing w:line="240" w:lineRule="auto"/>
        <w:rPr>
          <w:rFonts w:ascii="Verdana" w:hAnsi="Verdana"/>
          <w:szCs w:val="20"/>
        </w:rPr>
      </w:pPr>
      <w:r w:rsidRPr="00DF616D">
        <w:rPr>
          <w:rFonts w:cs="Arial"/>
          <w:b/>
          <w:sz w:val="24"/>
          <w:szCs w:val="24"/>
        </w:rPr>
        <w:t xml:space="preserve">Toelichting </w:t>
      </w:r>
      <w:r w:rsidRPr="00DF616D">
        <w:rPr>
          <w:rFonts w:cs="Arial"/>
          <w:b/>
          <w:sz w:val="24"/>
          <w:szCs w:val="24"/>
        </w:rPr>
        <w:br/>
      </w:r>
      <w:r>
        <w:rPr>
          <w:rFonts w:ascii="Verdana" w:hAnsi="Verdana"/>
          <w:b/>
          <w:sz w:val="24"/>
          <w:szCs w:val="24"/>
        </w:rPr>
        <w:br/>
      </w:r>
      <w:r w:rsidRPr="00DF616D">
        <w:rPr>
          <w:rFonts w:cs="Arial"/>
          <w:b/>
        </w:rPr>
        <w:t>Mutaties uitgaven</w:t>
      </w:r>
    </w:p>
    <w:p w:rsidR="00602244" w:rsidRDefault="00602244" w:rsidP="00602244">
      <w:pPr>
        <w:spacing w:after="0" w:line="240" w:lineRule="auto"/>
        <w:rPr>
          <w:rFonts w:cs="Arial"/>
          <w:i/>
          <w:szCs w:val="20"/>
        </w:rPr>
      </w:pPr>
      <w:r>
        <w:rPr>
          <w:rFonts w:cs="Arial"/>
          <w:i/>
          <w:szCs w:val="20"/>
        </w:rPr>
        <w:t>Nationale Veiligheid en terrorismebestrijding</w:t>
      </w:r>
    </w:p>
    <w:p w:rsidR="00602244" w:rsidRDefault="00602244" w:rsidP="00602244">
      <w:pPr>
        <w:spacing w:after="0" w:line="240" w:lineRule="auto"/>
        <w:rPr>
          <w:rFonts w:cs="Arial"/>
          <w:szCs w:val="20"/>
        </w:rPr>
      </w:pPr>
      <w:r w:rsidRPr="007A4E8E">
        <w:rPr>
          <w:rFonts w:cs="Arial"/>
          <w:szCs w:val="20"/>
        </w:rPr>
        <w:t xml:space="preserve">De mutatie op het artikelonderdeel wordt </w:t>
      </w:r>
      <w:r>
        <w:rPr>
          <w:rFonts w:cs="Arial"/>
          <w:szCs w:val="20"/>
        </w:rPr>
        <w:t xml:space="preserve">voornamelijk </w:t>
      </w:r>
      <w:r w:rsidRPr="007A4E8E">
        <w:rPr>
          <w:rFonts w:cs="Arial"/>
          <w:szCs w:val="20"/>
        </w:rPr>
        <w:t>verklaard door:</w:t>
      </w:r>
    </w:p>
    <w:p w:rsidR="00602244" w:rsidRDefault="00602244" w:rsidP="00602244">
      <w:pPr>
        <w:spacing w:after="0" w:line="240" w:lineRule="auto"/>
        <w:rPr>
          <w:rFonts w:cs="Arial"/>
          <w:szCs w:val="20"/>
        </w:rPr>
      </w:pPr>
      <w:r>
        <w:rPr>
          <w:rFonts w:cs="Arial"/>
          <w:szCs w:val="20"/>
        </w:rPr>
        <w:t>Controle handbagage luchthavens: i</w:t>
      </w:r>
      <w:r w:rsidRPr="003A0BB3">
        <w:rPr>
          <w:rFonts w:cs="Arial"/>
          <w:szCs w:val="20"/>
        </w:rPr>
        <w:t>n december 2014 is het voorstel van de Europese Commissie overgenomen om extra controlemaatregelen voor handbagage op Europese luchthavens te regelen. Deze maatregelen</w:t>
      </w:r>
      <w:r>
        <w:rPr>
          <w:rFonts w:cs="Arial"/>
          <w:szCs w:val="20"/>
        </w:rPr>
        <w:t xml:space="preserve"> zijn</w:t>
      </w:r>
      <w:r w:rsidRPr="003A0BB3">
        <w:rPr>
          <w:rFonts w:cs="Arial"/>
          <w:szCs w:val="20"/>
        </w:rPr>
        <w:t xml:space="preserve"> ingaan per 1 maart 2015. Aanleiding voor de maatregelen is een vermeende dreiging voor de burgerluchtvaart afkomstig van Noord Afrika en het Midden Oosten, waartegen voornamelijk de VS, Canada en het VK maatregelen hebben genomen. De totale kosten voor VenJ over 2015 komen uit op € 6,9 mln.</w:t>
      </w:r>
    </w:p>
    <w:p w:rsidR="00602244" w:rsidRDefault="00602244" w:rsidP="00602244">
      <w:pPr>
        <w:spacing w:line="240" w:lineRule="auto"/>
        <w:rPr>
          <w:rFonts w:ascii="Verdana" w:hAnsi="Verdana"/>
          <w:szCs w:val="20"/>
        </w:rPr>
      </w:pPr>
    </w:p>
    <w:p w:rsidR="00602244" w:rsidRDefault="00602244" w:rsidP="00602244">
      <w:pPr>
        <w:spacing w:after="0" w:line="240" w:lineRule="auto"/>
        <w:rPr>
          <w:rFonts w:cs="Arial"/>
          <w:i/>
          <w:szCs w:val="20"/>
        </w:rPr>
      </w:pPr>
      <w:r>
        <w:rPr>
          <w:rFonts w:cs="Arial"/>
          <w:i/>
          <w:szCs w:val="20"/>
        </w:rPr>
        <w:t>Onderzoeksraad voor Veiligheid</w:t>
      </w:r>
    </w:p>
    <w:p w:rsidR="00602244" w:rsidRDefault="00602244" w:rsidP="00602244">
      <w:r>
        <w:t xml:space="preserve">In 2015 worden door VenJ nog kosten gemaakt vanwege de ramp met vlucht MH17. Het gaat naast kosten in het kader van het onderzoek dat de Onderzoeksraad voor VenJ uitvoert ook om kosten voor politie-inzet in de Oekraïne en identificatie van slachtoffers door het NFI. (Totaal € 8,2 mln. verdeeld over de artikelen 31, 32, 33, 36 en 91). </w:t>
      </w:r>
    </w:p>
    <w:p w:rsidR="00602244" w:rsidRDefault="00602244" w:rsidP="00602244">
      <w:pPr>
        <w:spacing w:line="240" w:lineRule="auto"/>
        <w:rPr>
          <w:rFonts w:ascii="Verdana" w:hAnsi="Verdana"/>
          <w:szCs w:val="20"/>
        </w:rPr>
      </w:pPr>
    </w:p>
    <w:p w:rsidR="00602244" w:rsidRDefault="00602244" w:rsidP="00602244">
      <w:pPr>
        <w:spacing w:line="240" w:lineRule="auto"/>
        <w:rPr>
          <w:rFonts w:ascii="Verdana" w:hAnsi="Verdana"/>
          <w:szCs w:val="20"/>
        </w:rPr>
      </w:pPr>
    </w:p>
    <w:p w:rsidR="00602244" w:rsidRPr="005D3317" w:rsidRDefault="00602244" w:rsidP="00602244">
      <w:pPr>
        <w:spacing w:line="240" w:lineRule="auto"/>
        <w:rPr>
          <w:rFonts w:cs="Arial"/>
          <w:b/>
          <w:sz w:val="24"/>
          <w:szCs w:val="24"/>
        </w:rPr>
      </w:pPr>
      <w:r w:rsidRPr="005D3317">
        <w:rPr>
          <w:rFonts w:cs="Arial"/>
          <w:b/>
          <w:sz w:val="24"/>
          <w:szCs w:val="24"/>
        </w:rPr>
        <w:t>37 Vreemdelingen</w:t>
      </w:r>
    </w:p>
    <w:p w:rsidR="00602244" w:rsidRDefault="00602244" w:rsidP="00602244">
      <w:pPr>
        <w:spacing w:line="240" w:lineRule="auto"/>
        <w:rPr>
          <w:rFonts w:cs="Arial"/>
          <w:sz w:val="16"/>
          <w:szCs w:val="16"/>
        </w:rPr>
      </w:pPr>
      <w:r>
        <w:rPr>
          <w:noProof/>
        </w:rPr>
        <w:drawing>
          <wp:inline distT="0" distB="0" distL="0" distR="0">
            <wp:extent cx="5734050" cy="2857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857500"/>
                    </a:xfrm>
                    <a:prstGeom prst="rect">
                      <a:avLst/>
                    </a:prstGeom>
                    <a:noFill/>
                    <a:ln>
                      <a:noFill/>
                    </a:ln>
                  </pic:spPr>
                </pic:pic>
              </a:graphicData>
            </a:graphic>
          </wp:inline>
        </w:drawing>
      </w:r>
      <w:r>
        <w:rPr>
          <w:sz w:val="16"/>
          <w:szCs w:val="16"/>
        </w:rPr>
        <w:t>Niet juridisch verplicht: e</w:t>
      </w:r>
      <w:r w:rsidRPr="00461F99">
        <w:rPr>
          <w:rFonts w:cs="Arial"/>
          <w:sz w:val="16"/>
          <w:szCs w:val="16"/>
        </w:rPr>
        <w:t>en deel van het budget is bestuurlijk gebonden. Dit budget is bestemd voor (bijdragen aan) ontwikkelingen voor de vreemdelingenketen voor o.m. biometrische producten en Digitaal Werken. Subsidiebijdragen i.h.k.v. terugkeer van vreemdelingen. Opdrachten: het merendeel van de uitgaven zijn directe kosten i.h.k.v. het laten terugkeren van de vreemdelingen incl. de escorts.</w:t>
      </w:r>
      <w:r>
        <w:rPr>
          <w:rFonts w:cs="Arial"/>
          <w:sz w:val="16"/>
          <w:szCs w:val="16"/>
        </w:rPr>
        <w:br/>
        <w:t xml:space="preserve">Het juridische verplichte deel betreft </w:t>
      </w:r>
      <w:r w:rsidRPr="00461F99">
        <w:rPr>
          <w:rFonts w:cs="Arial"/>
          <w:sz w:val="16"/>
          <w:szCs w:val="16"/>
        </w:rPr>
        <w:t>o.a. de moederbijdrage aan de IND (278 mln.) en de opdracht aan het COA (400 mln.). Daarnaast wordt budget besteed aan subsidieverlening VWN (5,7 mln.), Nidos(23 mln. en aan overige subsidies (bijv. Comensha en The Hague Process). Naast de subsidies worden middelen aan beheer en ontwikkelkosten ICT verplicht. Uitgaven in dit kader zijn o.a. onderhoudscontracten, licenties en verlengingen daarvan. Terugkeer en bewaring vreemdelingen: betreft de uitgaven i</w:t>
      </w:r>
      <w:r>
        <w:rPr>
          <w:rFonts w:cs="Arial"/>
          <w:sz w:val="16"/>
          <w:szCs w:val="16"/>
        </w:rPr>
        <w:t>n relatie tot</w:t>
      </w:r>
      <w:r w:rsidRPr="00461F99">
        <w:rPr>
          <w:rFonts w:cs="Arial"/>
          <w:sz w:val="16"/>
          <w:szCs w:val="16"/>
        </w:rPr>
        <w:t xml:space="preserve"> het convenant met de DV&amp;O (8,4 mln.), de beschikking (6,4 mln.) aan IOM (Int. Org. Migration) en de uitvoeringskosten en projecten (e.e.a. is afhankelijk van inzet).</w:t>
      </w:r>
    </w:p>
    <w:p w:rsidR="00602244" w:rsidRDefault="00602244" w:rsidP="00602244">
      <w:pPr>
        <w:spacing w:line="240" w:lineRule="auto"/>
        <w:rPr>
          <w:rFonts w:ascii="Verdana" w:hAnsi="Verdana"/>
          <w:szCs w:val="20"/>
        </w:rPr>
      </w:pPr>
      <w:r>
        <w:rPr>
          <w:rFonts w:cs="Arial"/>
          <w:sz w:val="16"/>
          <w:szCs w:val="16"/>
        </w:rPr>
        <w:br/>
      </w:r>
      <w:r w:rsidRPr="00DF616D">
        <w:rPr>
          <w:rFonts w:cs="Arial"/>
          <w:b/>
          <w:sz w:val="24"/>
          <w:szCs w:val="24"/>
        </w:rPr>
        <w:t xml:space="preserve">Toelichting </w:t>
      </w:r>
      <w:r w:rsidRPr="00DF616D">
        <w:rPr>
          <w:rFonts w:cs="Arial"/>
          <w:b/>
          <w:sz w:val="24"/>
          <w:szCs w:val="24"/>
        </w:rPr>
        <w:br/>
      </w:r>
      <w:r>
        <w:rPr>
          <w:rFonts w:ascii="Verdana" w:hAnsi="Verdana"/>
          <w:b/>
          <w:sz w:val="24"/>
          <w:szCs w:val="24"/>
        </w:rPr>
        <w:br/>
      </w:r>
      <w:r w:rsidRPr="00DF616D">
        <w:rPr>
          <w:rFonts w:cs="Arial"/>
          <w:b/>
        </w:rPr>
        <w:t>Mutaties uitgaven</w:t>
      </w:r>
    </w:p>
    <w:p w:rsidR="00602244" w:rsidRDefault="00602244" w:rsidP="00602244">
      <w:pPr>
        <w:spacing w:after="0" w:line="240" w:lineRule="auto"/>
        <w:rPr>
          <w:rFonts w:cs="Arial"/>
          <w:i/>
          <w:szCs w:val="20"/>
        </w:rPr>
      </w:pPr>
      <w:r>
        <w:rPr>
          <w:rFonts w:cs="Arial"/>
          <w:i/>
          <w:szCs w:val="20"/>
        </w:rPr>
        <w:t>Toegang, toelating en opvang vreemdelingen</w:t>
      </w:r>
    </w:p>
    <w:p w:rsidR="00602244" w:rsidRDefault="00602244" w:rsidP="00602244">
      <w:pPr>
        <w:spacing w:after="0" w:line="240" w:lineRule="auto"/>
        <w:rPr>
          <w:rFonts w:cs="Arial"/>
          <w:szCs w:val="20"/>
        </w:rPr>
      </w:pPr>
      <w:r w:rsidRPr="007A4E8E">
        <w:rPr>
          <w:rFonts w:cs="Arial"/>
          <w:szCs w:val="20"/>
        </w:rPr>
        <w:t xml:space="preserve">De mutatie op </w:t>
      </w:r>
      <w:r>
        <w:rPr>
          <w:rFonts w:cs="Arial"/>
          <w:szCs w:val="20"/>
        </w:rPr>
        <w:t>dit</w:t>
      </w:r>
      <w:r w:rsidRPr="007A4E8E">
        <w:rPr>
          <w:rFonts w:cs="Arial"/>
          <w:szCs w:val="20"/>
        </w:rPr>
        <w:t xml:space="preserve"> artikelonderdeel wordt </w:t>
      </w:r>
      <w:r>
        <w:rPr>
          <w:rFonts w:cs="Arial"/>
          <w:szCs w:val="20"/>
        </w:rPr>
        <w:t xml:space="preserve">voornamelijk </w:t>
      </w:r>
      <w:r w:rsidRPr="007A4E8E">
        <w:rPr>
          <w:rFonts w:cs="Arial"/>
          <w:szCs w:val="20"/>
        </w:rPr>
        <w:t>verklaard door:</w:t>
      </w:r>
    </w:p>
    <w:p w:rsidR="00602244" w:rsidRDefault="00602244" w:rsidP="00602244">
      <w:pPr>
        <w:numPr>
          <w:ilvl w:val="0"/>
          <w:numId w:val="17"/>
        </w:numPr>
        <w:spacing w:after="0" w:line="240" w:lineRule="auto"/>
        <w:rPr>
          <w:rFonts w:cs="Arial"/>
          <w:szCs w:val="20"/>
        </w:rPr>
      </w:pPr>
      <w:r>
        <w:rPr>
          <w:rFonts w:cs="Arial"/>
          <w:szCs w:val="20"/>
        </w:rPr>
        <w:t>asielinstroom: d</w:t>
      </w:r>
      <w:r w:rsidRPr="003C377C">
        <w:rPr>
          <w:rFonts w:cs="Arial"/>
          <w:szCs w:val="20"/>
        </w:rPr>
        <w:t xml:space="preserve">e hogere </w:t>
      </w:r>
      <w:r>
        <w:rPr>
          <w:rFonts w:cs="Arial"/>
          <w:szCs w:val="20"/>
        </w:rPr>
        <w:t xml:space="preserve">asielinstroom </w:t>
      </w:r>
      <w:r w:rsidRPr="003C377C">
        <w:rPr>
          <w:rFonts w:cs="Arial"/>
          <w:szCs w:val="20"/>
        </w:rPr>
        <w:t xml:space="preserve">instroom leidt </w:t>
      </w:r>
      <w:r>
        <w:rPr>
          <w:rFonts w:cs="Arial"/>
          <w:szCs w:val="20"/>
        </w:rPr>
        <w:t xml:space="preserve">meerjarig </w:t>
      </w:r>
      <w:r w:rsidRPr="003C377C">
        <w:rPr>
          <w:rFonts w:cs="Arial"/>
          <w:szCs w:val="20"/>
        </w:rPr>
        <w:t xml:space="preserve">tot extra kosten bij de IND. </w:t>
      </w:r>
      <w:r>
        <w:rPr>
          <w:rFonts w:cs="Arial"/>
          <w:szCs w:val="20"/>
        </w:rPr>
        <w:t xml:space="preserve">In 2015 € 61,8 mln. aflopend naar € 30,9 mln. in 2017 en verder. </w:t>
      </w:r>
      <w:r w:rsidRPr="003C377C">
        <w:rPr>
          <w:rFonts w:cs="Arial"/>
          <w:szCs w:val="20"/>
        </w:rPr>
        <w:t>De</w:t>
      </w:r>
      <w:r>
        <w:rPr>
          <w:rFonts w:cs="Arial"/>
          <w:szCs w:val="20"/>
        </w:rPr>
        <w:t xml:space="preserve">ze uitgaven </w:t>
      </w:r>
      <w:r w:rsidRPr="003C377C">
        <w:rPr>
          <w:rFonts w:cs="Arial"/>
          <w:szCs w:val="20"/>
        </w:rPr>
        <w:t>worden gedekt binnen de begroting van VenJ. De dekking</w:t>
      </w:r>
      <w:r>
        <w:rPr>
          <w:rFonts w:cs="Arial"/>
          <w:szCs w:val="20"/>
        </w:rPr>
        <w:t xml:space="preserve"> voor 2015</w:t>
      </w:r>
      <w:r w:rsidRPr="003C377C">
        <w:rPr>
          <w:rFonts w:cs="Arial"/>
          <w:szCs w:val="20"/>
        </w:rPr>
        <w:t xml:space="preserve"> geschiedt door een deel van de asielreserve in te zetten</w:t>
      </w:r>
      <w:r>
        <w:rPr>
          <w:rFonts w:cs="Arial"/>
          <w:szCs w:val="20"/>
        </w:rPr>
        <w:t>.</w:t>
      </w:r>
      <w:r w:rsidRPr="003C377C">
        <w:rPr>
          <w:rFonts w:cs="Arial"/>
          <w:szCs w:val="20"/>
        </w:rPr>
        <w:t xml:space="preserve"> </w:t>
      </w:r>
    </w:p>
    <w:p w:rsidR="00602244" w:rsidRDefault="00602244" w:rsidP="00602244">
      <w:pPr>
        <w:numPr>
          <w:ilvl w:val="0"/>
          <w:numId w:val="18"/>
        </w:numPr>
        <w:spacing w:after="0" w:line="240" w:lineRule="auto"/>
        <w:rPr>
          <w:rFonts w:cs="Arial"/>
          <w:szCs w:val="20"/>
        </w:rPr>
      </w:pPr>
      <w:r>
        <w:rPr>
          <w:rFonts w:cs="Arial"/>
          <w:szCs w:val="20"/>
        </w:rPr>
        <w:t>e</w:t>
      </w:r>
      <w:r w:rsidRPr="001E235F">
        <w:rPr>
          <w:rFonts w:cs="Arial"/>
          <w:szCs w:val="20"/>
        </w:rPr>
        <w:t>erstejaarsopvang asielzoekers</w:t>
      </w:r>
      <w:r>
        <w:rPr>
          <w:rFonts w:cs="Arial"/>
          <w:szCs w:val="20"/>
        </w:rPr>
        <w:t xml:space="preserve"> aan ODA</w:t>
      </w:r>
      <w:r w:rsidRPr="001E235F">
        <w:rPr>
          <w:rFonts w:cs="Arial"/>
          <w:szCs w:val="20"/>
        </w:rPr>
        <w:t xml:space="preserve">: </w:t>
      </w:r>
      <w:r>
        <w:rPr>
          <w:rFonts w:cs="Arial"/>
          <w:szCs w:val="20"/>
        </w:rPr>
        <w:t>d</w:t>
      </w:r>
      <w:r w:rsidRPr="001E235F">
        <w:rPr>
          <w:rFonts w:cs="Arial"/>
          <w:szCs w:val="20"/>
        </w:rPr>
        <w:t>oor de verhoogde raming van de asielinstroom neemt de toerekening aan ODA (Official Development Assistance)</w:t>
      </w:r>
      <w:r>
        <w:rPr>
          <w:rFonts w:cs="Arial"/>
          <w:szCs w:val="20"/>
        </w:rPr>
        <w:t xml:space="preserve"> </w:t>
      </w:r>
      <w:r w:rsidRPr="001E235F">
        <w:rPr>
          <w:rFonts w:cs="Arial"/>
          <w:szCs w:val="20"/>
        </w:rPr>
        <w:t>de komende jaren ook toe. Dit wordt veroorzaakt door de stijgende instroom en de oplopende opvangduur</w:t>
      </w:r>
      <w:r>
        <w:rPr>
          <w:rFonts w:cs="Arial"/>
          <w:szCs w:val="20"/>
        </w:rPr>
        <w:t>. Dit</w:t>
      </w:r>
      <w:r w:rsidRPr="001E235F">
        <w:rPr>
          <w:rFonts w:cs="Arial"/>
          <w:szCs w:val="20"/>
        </w:rPr>
        <w:t xml:space="preserve"> leidt tot hogere asielopvangkosten bij het COA. </w:t>
      </w:r>
      <w:r>
        <w:rPr>
          <w:rFonts w:cs="Arial"/>
          <w:szCs w:val="20"/>
        </w:rPr>
        <w:t>In 2015 wordt als gevolg hiervan € 400 mln. extra aan ODA toegerekend.</w:t>
      </w:r>
    </w:p>
    <w:p w:rsidR="00602244" w:rsidRPr="001E235F" w:rsidRDefault="00602244" w:rsidP="00602244">
      <w:pPr>
        <w:numPr>
          <w:ilvl w:val="0"/>
          <w:numId w:val="18"/>
        </w:numPr>
        <w:spacing w:after="0" w:line="240" w:lineRule="auto"/>
        <w:rPr>
          <w:rFonts w:cs="Arial"/>
          <w:szCs w:val="20"/>
        </w:rPr>
      </w:pPr>
      <w:r>
        <w:rPr>
          <w:rFonts w:cs="Arial"/>
          <w:szCs w:val="20"/>
        </w:rPr>
        <w:t xml:space="preserve">archiefkosten IND: voor het wegwerken van de archiefachterstand bij IND is in 2010 besloten dat VenJ bijdraagt in de kosten. Voor 2015 € 5 mln. en voor 2016 € 3,4 mln. </w:t>
      </w:r>
    </w:p>
    <w:p w:rsidR="00602244" w:rsidRDefault="00602244" w:rsidP="00602244">
      <w:pPr>
        <w:spacing w:line="240" w:lineRule="auto"/>
        <w:rPr>
          <w:rFonts w:cs="Arial"/>
          <w:sz w:val="16"/>
          <w:szCs w:val="16"/>
        </w:rPr>
      </w:pPr>
    </w:p>
    <w:p w:rsidR="00602244" w:rsidRDefault="00602244" w:rsidP="00602244">
      <w:pPr>
        <w:spacing w:line="240" w:lineRule="auto"/>
        <w:rPr>
          <w:rFonts w:cs="Arial"/>
          <w:iCs/>
          <w:color w:val="000000"/>
          <w:szCs w:val="20"/>
        </w:rPr>
      </w:pPr>
      <w:r w:rsidRPr="00DF616D">
        <w:rPr>
          <w:rFonts w:cs="Arial"/>
          <w:b/>
        </w:rPr>
        <w:t xml:space="preserve">Mutaties </w:t>
      </w:r>
      <w:r>
        <w:rPr>
          <w:rFonts w:cs="Arial"/>
          <w:b/>
        </w:rPr>
        <w:t>ontvangsten</w:t>
      </w:r>
      <w:r>
        <w:rPr>
          <w:rFonts w:cs="Arial"/>
          <w:b/>
        </w:rPr>
        <w:br/>
      </w:r>
      <w:r w:rsidRPr="00326BAB">
        <w:rPr>
          <w:rFonts w:cs="Arial"/>
          <w:iCs/>
          <w:color w:val="000000"/>
          <w:szCs w:val="20"/>
        </w:rPr>
        <w:t xml:space="preserve">De stijging van de asielinstroom leidt ook tot hogere kosten bij de IND. </w:t>
      </w:r>
      <w:r>
        <w:rPr>
          <w:rFonts w:cs="Arial"/>
          <w:iCs/>
          <w:color w:val="000000"/>
          <w:szCs w:val="20"/>
        </w:rPr>
        <w:t>Om</w:t>
      </w:r>
      <w:r w:rsidRPr="00326BAB">
        <w:rPr>
          <w:rFonts w:cs="Arial"/>
          <w:iCs/>
          <w:color w:val="000000"/>
          <w:szCs w:val="20"/>
        </w:rPr>
        <w:t xml:space="preserve"> deze extra kosten </w:t>
      </w:r>
      <w:r>
        <w:rPr>
          <w:rFonts w:cs="Arial"/>
          <w:iCs/>
          <w:color w:val="000000"/>
          <w:szCs w:val="20"/>
        </w:rPr>
        <w:t xml:space="preserve">deels te dekken </w:t>
      </w:r>
      <w:r w:rsidRPr="00326BAB">
        <w:rPr>
          <w:rFonts w:cs="Arial"/>
          <w:iCs/>
          <w:color w:val="000000"/>
          <w:szCs w:val="20"/>
        </w:rPr>
        <w:t>wordt vanuit de asielreserve € 35,5 mln. ingezet</w:t>
      </w:r>
      <w:r>
        <w:rPr>
          <w:rFonts w:cs="Arial"/>
          <w:iCs/>
          <w:color w:val="000000"/>
          <w:szCs w:val="20"/>
        </w:rPr>
        <w:t>.</w:t>
      </w:r>
    </w:p>
    <w:p w:rsidR="00602244" w:rsidRDefault="00602244" w:rsidP="00602244">
      <w:pPr>
        <w:spacing w:line="240" w:lineRule="auto"/>
        <w:rPr>
          <w:rFonts w:cs="Arial"/>
          <w:iCs/>
          <w:color w:val="000000"/>
          <w:szCs w:val="20"/>
        </w:rPr>
      </w:pPr>
    </w:p>
    <w:p w:rsidR="00602244" w:rsidRPr="00326BAB" w:rsidRDefault="00602244" w:rsidP="00602244">
      <w:pPr>
        <w:spacing w:line="240" w:lineRule="auto"/>
        <w:rPr>
          <w:rFonts w:cs="Arial"/>
          <w:iCs/>
          <w:color w:val="000000"/>
          <w:szCs w:val="20"/>
        </w:rPr>
      </w:pPr>
    </w:p>
    <w:p w:rsidR="00602244" w:rsidRPr="00F71327" w:rsidRDefault="00602244" w:rsidP="00602244">
      <w:pPr>
        <w:numPr>
          <w:ilvl w:val="1"/>
          <w:numId w:val="2"/>
        </w:numPr>
        <w:rPr>
          <w:rFonts w:cs="Arial"/>
          <w:sz w:val="28"/>
          <w:szCs w:val="28"/>
        </w:rPr>
      </w:pPr>
      <w:r w:rsidRPr="00F71327">
        <w:rPr>
          <w:rFonts w:cs="Arial"/>
          <w:sz w:val="28"/>
          <w:szCs w:val="28"/>
        </w:rPr>
        <w:t>DE NIET-BELEIDSARTIKELEN</w:t>
      </w:r>
    </w:p>
    <w:p w:rsidR="00602244" w:rsidRPr="00F71327" w:rsidRDefault="00602244" w:rsidP="00602244">
      <w:pPr>
        <w:spacing w:line="240" w:lineRule="auto"/>
        <w:rPr>
          <w:rFonts w:cs="Arial"/>
          <w:b/>
          <w:sz w:val="24"/>
          <w:szCs w:val="24"/>
        </w:rPr>
      </w:pPr>
      <w:r w:rsidRPr="00F71327">
        <w:rPr>
          <w:rFonts w:cs="Arial"/>
          <w:b/>
          <w:sz w:val="24"/>
          <w:szCs w:val="24"/>
        </w:rPr>
        <w:t>91 Apparaatsuitgaven kerndepartement</w:t>
      </w:r>
    </w:p>
    <w:p w:rsidR="00602244" w:rsidRDefault="00602244" w:rsidP="00602244">
      <w:pPr>
        <w:spacing w:line="240" w:lineRule="auto"/>
        <w:rPr>
          <w:rFonts w:ascii="Verdana" w:hAnsi="Verdana"/>
          <w:b/>
          <w:sz w:val="24"/>
          <w:szCs w:val="24"/>
        </w:rPr>
      </w:pPr>
      <w:r>
        <w:rPr>
          <w:noProof/>
        </w:rPr>
        <w:drawing>
          <wp:inline distT="0" distB="0" distL="0" distR="0">
            <wp:extent cx="5724525" cy="19145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914525"/>
                    </a:xfrm>
                    <a:prstGeom prst="rect">
                      <a:avLst/>
                    </a:prstGeom>
                    <a:noFill/>
                    <a:ln>
                      <a:noFill/>
                    </a:ln>
                  </pic:spPr>
                </pic:pic>
              </a:graphicData>
            </a:graphic>
          </wp:inline>
        </w:drawing>
      </w:r>
    </w:p>
    <w:p w:rsidR="00602244" w:rsidRPr="00F71327" w:rsidRDefault="00602244" w:rsidP="00602244">
      <w:pPr>
        <w:spacing w:line="240" w:lineRule="auto"/>
        <w:rPr>
          <w:rFonts w:cs="Arial"/>
          <w:b/>
        </w:rPr>
      </w:pPr>
      <w:r w:rsidRPr="00F71327">
        <w:rPr>
          <w:rFonts w:cs="Arial"/>
          <w:b/>
          <w:sz w:val="24"/>
          <w:szCs w:val="24"/>
        </w:rPr>
        <w:t xml:space="preserve">Toelichting </w:t>
      </w:r>
      <w:r w:rsidRPr="00F71327">
        <w:rPr>
          <w:rFonts w:cs="Arial"/>
          <w:b/>
          <w:sz w:val="24"/>
          <w:szCs w:val="24"/>
        </w:rPr>
        <w:br/>
      </w:r>
    </w:p>
    <w:p w:rsidR="00602244" w:rsidRPr="00F71327" w:rsidRDefault="00602244" w:rsidP="00602244">
      <w:pPr>
        <w:spacing w:line="240" w:lineRule="auto"/>
        <w:rPr>
          <w:rFonts w:cs="Arial"/>
          <w:b/>
        </w:rPr>
      </w:pPr>
      <w:r w:rsidRPr="00F71327">
        <w:rPr>
          <w:rFonts w:cs="Arial"/>
          <w:b/>
        </w:rPr>
        <w:t>Mutaties uitgaven</w:t>
      </w:r>
    </w:p>
    <w:p w:rsidR="00602244" w:rsidRPr="00F71327" w:rsidRDefault="00602244" w:rsidP="00602244">
      <w:pPr>
        <w:spacing w:after="0" w:line="240" w:lineRule="auto"/>
        <w:rPr>
          <w:rFonts w:cs="Arial"/>
          <w:i/>
          <w:szCs w:val="20"/>
        </w:rPr>
      </w:pPr>
      <w:r w:rsidRPr="00F71327">
        <w:rPr>
          <w:rFonts w:cs="Arial"/>
          <w:i/>
          <w:szCs w:val="20"/>
        </w:rPr>
        <w:t>Apparaatsuitgaven Kerndepartement</w:t>
      </w:r>
    </w:p>
    <w:p w:rsidR="00602244" w:rsidRPr="00F71327" w:rsidRDefault="00602244" w:rsidP="00602244">
      <w:pPr>
        <w:spacing w:after="0" w:line="240" w:lineRule="auto"/>
        <w:rPr>
          <w:rFonts w:cs="Arial"/>
          <w:szCs w:val="20"/>
        </w:rPr>
      </w:pPr>
    </w:p>
    <w:p w:rsidR="00602244" w:rsidRPr="00FF340A" w:rsidRDefault="00602244" w:rsidP="00602244">
      <w:pPr>
        <w:spacing w:after="0" w:line="240" w:lineRule="auto"/>
        <w:rPr>
          <w:rFonts w:cs="Arial"/>
          <w:i/>
          <w:szCs w:val="20"/>
        </w:rPr>
      </w:pPr>
      <w:r>
        <w:rPr>
          <w:rFonts w:cs="Arial"/>
          <w:i/>
          <w:szCs w:val="20"/>
        </w:rPr>
        <w:t>Waarvan e</w:t>
      </w:r>
      <w:r w:rsidRPr="00FF340A">
        <w:rPr>
          <w:rFonts w:cs="Arial"/>
          <w:i/>
          <w:szCs w:val="20"/>
        </w:rPr>
        <w:t xml:space="preserve">igen personeel. </w:t>
      </w:r>
    </w:p>
    <w:p w:rsidR="00602244" w:rsidRPr="00BC7120" w:rsidRDefault="00602244" w:rsidP="00602244">
      <w:pPr>
        <w:spacing w:after="0" w:line="240" w:lineRule="auto"/>
        <w:rPr>
          <w:rFonts w:cs="Arial"/>
          <w:szCs w:val="20"/>
        </w:rPr>
      </w:pPr>
      <w:r>
        <w:rPr>
          <w:rFonts w:cs="Arial"/>
          <w:szCs w:val="20"/>
        </w:rPr>
        <w:t xml:space="preserve">Op dit onderdeel </w:t>
      </w:r>
      <w:r w:rsidRPr="00BC7120">
        <w:rPr>
          <w:rFonts w:cs="Arial"/>
          <w:szCs w:val="20"/>
        </w:rPr>
        <w:t xml:space="preserve">doen zich alleen kleine mutaties voor zoals: </w:t>
      </w:r>
    </w:p>
    <w:p w:rsidR="00602244" w:rsidRDefault="00602244" w:rsidP="00602244">
      <w:pPr>
        <w:numPr>
          <w:ilvl w:val="0"/>
          <w:numId w:val="8"/>
        </w:numPr>
        <w:spacing w:after="0" w:line="240" w:lineRule="auto"/>
        <w:rPr>
          <w:rFonts w:cs="Arial"/>
          <w:szCs w:val="20"/>
        </w:rPr>
      </w:pPr>
      <w:r>
        <w:rPr>
          <w:rFonts w:cs="Arial"/>
          <w:szCs w:val="20"/>
        </w:rPr>
        <w:t xml:space="preserve">een budgetoverheveling van € 1,9 mln. vanuit Defensie naar VenJ. Het betreft de financiering van formatieplaatsen bij Dienst Terugkeer en Vertrek. </w:t>
      </w:r>
    </w:p>
    <w:p w:rsidR="00602244" w:rsidRPr="00F71327" w:rsidRDefault="00602244" w:rsidP="00602244">
      <w:pPr>
        <w:numPr>
          <w:ilvl w:val="0"/>
          <w:numId w:val="9"/>
        </w:numPr>
        <w:spacing w:after="0" w:line="240" w:lineRule="auto"/>
        <w:rPr>
          <w:rFonts w:cs="Arial"/>
          <w:szCs w:val="20"/>
        </w:rPr>
      </w:pPr>
      <w:r>
        <w:rPr>
          <w:rFonts w:cs="Arial"/>
          <w:szCs w:val="20"/>
        </w:rPr>
        <w:t xml:space="preserve">een technische correctie van € 1 mln. in het kader van Verantwoord Begroten. </w:t>
      </w:r>
      <w:r w:rsidRPr="00F71327">
        <w:rPr>
          <w:rFonts w:cs="Arial"/>
          <w:szCs w:val="20"/>
        </w:rPr>
        <w:t>Abusievelijk stond nog een aantal apparaatsuitgaven verantwoord bij de programma uitgaven. Deze mutaties zijn noodzakelijk om de begrotingsindeling in lijn te brengen met de uitgangspunten van Verantwoord Begroten.</w:t>
      </w:r>
    </w:p>
    <w:p w:rsidR="00602244" w:rsidRDefault="00602244" w:rsidP="00602244">
      <w:pPr>
        <w:numPr>
          <w:ilvl w:val="0"/>
          <w:numId w:val="9"/>
        </w:numPr>
        <w:spacing w:after="0" w:line="240" w:lineRule="auto"/>
        <w:rPr>
          <w:rFonts w:cs="Arial"/>
          <w:szCs w:val="20"/>
        </w:rPr>
      </w:pPr>
      <w:r>
        <w:rPr>
          <w:rFonts w:cs="Arial"/>
          <w:szCs w:val="20"/>
        </w:rPr>
        <w:t>budgetoverheveling van € 1,5 mln. voor geleverde diensten door JustID in het kader van jeugd en veiligheid. Het betreft regulier beheer voor de systemen GCOS en IFM.</w:t>
      </w:r>
    </w:p>
    <w:p w:rsidR="00602244" w:rsidRDefault="00602244" w:rsidP="00602244">
      <w:pPr>
        <w:numPr>
          <w:ilvl w:val="0"/>
          <w:numId w:val="9"/>
        </w:numPr>
        <w:spacing w:after="0" w:line="240" w:lineRule="auto"/>
        <w:rPr>
          <w:rFonts w:cs="Arial"/>
          <w:szCs w:val="20"/>
        </w:rPr>
      </w:pPr>
      <w:r>
        <w:rPr>
          <w:rFonts w:cs="Arial"/>
          <w:szCs w:val="20"/>
        </w:rPr>
        <w:t>inzet eindejaarsmarge € 2 mln. voor contraterrorisme.</w:t>
      </w:r>
    </w:p>
    <w:p w:rsidR="00602244" w:rsidRDefault="00602244" w:rsidP="00602244">
      <w:pPr>
        <w:numPr>
          <w:ilvl w:val="0"/>
          <w:numId w:val="9"/>
        </w:numPr>
        <w:spacing w:after="0" w:line="240" w:lineRule="auto"/>
        <w:rPr>
          <w:rFonts w:cs="Arial"/>
          <w:szCs w:val="20"/>
        </w:rPr>
      </w:pPr>
      <w:r>
        <w:rPr>
          <w:rFonts w:cs="Arial"/>
          <w:szCs w:val="20"/>
        </w:rPr>
        <w:t>diverse kleinere mutaties voor totaal € 3,4 mln.</w:t>
      </w: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rPr>
          <w:rFonts w:cs="Arial"/>
          <w:szCs w:val="20"/>
        </w:rPr>
      </w:pPr>
      <w:r>
        <w:rPr>
          <w:rFonts w:cs="Arial"/>
          <w:szCs w:val="20"/>
        </w:rPr>
        <w:t>Waarvan SSO’s</w:t>
      </w:r>
    </w:p>
    <w:p w:rsidR="00602244" w:rsidRDefault="00602244" w:rsidP="00602244">
      <w:pPr>
        <w:numPr>
          <w:ilvl w:val="0"/>
          <w:numId w:val="19"/>
        </w:numPr>
        <w:spacing w:after="0" w:line="240" w:lineRule="auto"/>
        <w:rPr>
          <w:rFonts w:cs="Arial"/>
          <w:szCs w:val="20"/>
        </w:rPr>
      </w:pPr>
      <w:r>
        <w:rPr>
          <w:rFonts w:cs="Arial"/>
          <w:szCs w:val="20"/>
        </w:rPr>
        <w:t>inzet eindejaarsmarge voor de bouw van Eurojust voor € 5,5 mln.</w:t>
      </w:r>
    </w:p>
    <w:p w:rsidR="00602244" w:rsidRDefault="00602244" w:rsidP="00602244">
      <w:pPr>
        <w:numPr>
          <w:ilvl w:val="0"/>
          <w:numId w:val="19"/>
        </w:numPr>
        <w:spacing w:after="0" w:line="240" w:lineRule="auto"/>
        <w:rPr>
          <w:rFonts w:cs="Arial"/>
          <w:szCs w:val="20"/>
        </w:rPr>
      </w:pPr>
      <w:r>
        <w:rPr>
          <w:rFonts w:cs="Arial"/>
          <w:szCs w:val="20"/>
        </w:rPr>
        <w:t xml:space="preserve">financiering GDI (Generieke Digitale Infrastructuur): betreft de </w:t>
      </w:r>
      <w:r w:rsidRPr="000700A0">
        <w:rPr>
          <w:rFonts w:cs="Arial"/>
          <w:szCs w:val="20"/>
        </w:rPr>
        <w:t>bijdrage aan de Nationaal Coördinator Digitale Overheid en de kosten van de generieke digitale</w:t>
      </w:r>
      <w:r>
        <w:rPr>
          <w:rFonts w:cs="Arial"/>
          <w:szCs w:val="20"/>
        </w:rPr>
        <w:t xml:space="preserve"> infrastructuur van de overheid voor € 5,6 mln.</w:t>
      </w:r>
    </w:p>
    <w:p w:rsidR="00602244" w:rsidRDefault="00602244" w:rsidP="00602244">
      <w:pPr>
        <w:numPr>
          <w:ilvl w:val="0"/>
          <w:numId w:val="19"/>
        </w:numPr>
        <w:spacing w:after="0" w:line="240" w:lineRule="auto"/>
        <w:rPr>
          <w:rFonts w:cs="Arial"/>
          <w:szCs w:val="20"/>
        </w:rPr>
      </w:pPr>
      <w:r>
        <w:rPr>
          <w:rFonts w:cs="Arial"/>
          <w:szCs w:val="20"/>
        </w:rPr>
        <w:t>diverse kleine mutaties voor totaal € -3,5 mln.</w:t>
      </w:r>
    </w:p>
    <w:p w:rsidR="00602244" w:rsidRDefault="00602244" w:rsidP="00602244">
      <w:pPr>
        <w:spacing w:after="0" w:line="240" w:lineRule="auto"/>
        <w:rPr>
          <w:rFonts w:cs="Arial"/>
          <w:szCs w:val="20"/>
        </w:rPr>
      </w:pPr>
      <w:r>
        <w:rPr>
          <w:rFonts w:cs="Arial"/>
          <w:szCs w:val="20"/>
        </w:rPr>
        <w:br w:type="page"/>
      </w:r>
    </w:p>
    <w:p w:rsidR="00602244" w:rsidRPr="00F71327" w:rsidRDefault="00602244" w:rsidP="00602244">
      <w:pPr>
        <w:spacing w:line="240" w:lineRule="auto"/>
        <w:rPr>
          <w:rFonts w:cs="Arial"/>
          <w:b/>
        </w:rPr>
      </w:pPr>
      <w:r w:rsidRPr="00F71327">
        <w:rPr>
          <w:rFonts w:cs="Arial"/>
          <w:b/>
        </w:rPr>
        <w:lastRenderedPageBreak/>
        <w:t xml:space="preserve">Mutaties </w:t>
      </w:r>
      <w:r>
        <w:rPr>
          <w:rFonts w:cs="Arial"/>
          <w:b/>
        </w:rPr>
        <w:t>ontvangsten</w:t>
      </w:r>
    </w:p>
    <w:p w:rsidR="00602244" w:rsidRPr="006579EB" w:rsidRDefault="00602244" w:rsidP="00602244">
      <w:pPr>
        <w:rPr>
          <w:rFonts w:cs="Arial"/>
          <w:szCs w:val="20"/>
        </w:rPr>
      </w:pPr>
      <w:r w:rsidRPr="00F71581">
        <w:rPr>
          <w:rFonts w:cs="Arial"/>
          <w:i/>
          <w:szCs w:val="20"/>
        </w:rPr>
        <w:t>Tariefsverlaging Rijks</w:t>
      </w:r>
      <w:r>
        <w:rPr>
          <w:rFonts w:cs="Arial"/>
          <w:i/>
          <w:szCs w:val="20"/>
        </w:rPr>
        <w:t xml:space="preserve">vastgoedbedrijf </w:t>
      </w:r>
      <w:r w:rsidRPr="00F71581">
        <w:rPr>
          <w:rFonts w:cs="Arial"/>
          <w:i/>
          <w:szCs w:val="20"/>
        </w:rPr>
        <w:t>(R</w:t>
      </w:r>
      <w:r>
        <w:rPr>
          <w:rFonts w:cs="Arial"/>
          <w:i/>
          <w:szCs w:val="20"/>
        </w:rPr>
        <w:t>VB</w:t>
      </w:r>
      <w:r w:rsidRPr="00F71581">
        <w:rPr>
          <w:rFonts w:cs="Arial"/>
          <w:i/>
          <w:szCs w:val="20"/>
        </w:rPr>
        <w:t>)</w:t>
      </w:r>
      <w:r>
        <w:rPr>
          <w:rFonts w:cs="Arial"/>
          <w:i/>
          <w:szCs w:val="20"/>
        </w:rPr>
        <w:br/>
      </w:r>
      <w:r w:rsidRPr="0025397B">
        <w:rPr>
          <w:rFonts w:cs="Arial"/>
          <w:szCs w:val="20"/>
        </w:rPr>
        <w:t>Er is gebleken dat er ruimte is binnen de tarieven die de R</w:t>
      </w:r>
      <w:r>
        <w:rPr>
          <w:rFonts w:cs="Arial"/>
          <w:szCs w:val="20"/>
        </w:rPr>
        <w:t xml:space="preserve">VB </w:t>
      </w:r>
      <w:r w:rsidRPr="0025397B">
        <w:rPr>
          <w:rFonts w:cs="Arial"/>
          <w:szCs w:val="20"/>
        </w:rPr>
        <w:t>in rekening brengt. Naar aanleiding hiervan zijn de huren geanalyseerd. Het resultaat is dat de tarieven structureel verlaagd worden, ook onder andere vanwege het verlengen van de afschrijvingstermijnen en de lagere rente. Voor 2015 krijgen departementen een teruggave vanuit de RVB.</w:t>
      </w:r>
    </w:p>
    <w:p w:rsidR="00602244" w:rsidRPr="00207CDB" w:rsidRDefault="00602244" w:rsidP="00602244">
      <w:pPr>
        <w:rPr>
          <w:rFonts w:cs="Arial"/>
          <w:b/>
          <w:sz w:val="24"/>
          <w:szCs w:val="24"/>
        </w:rPr>
      </w:pPr>
      <w:r>
        <w:rPr>
          <w:rFonts w:ascii="Verdana" w:hAnsi="Verdana"/>
          <w:szCs w:val="20"/>
        </w:rPr>
        <w:br w:type="page"/>
      </w:r>
      <w:r w:rsidRPr="00207CDB">
        <w:rPr>
          <w:rFonts w:cs="Arial"/>
          <w:b/>
          <w:sz w:val="24"/>
          <w:szCs w:val="24"/>
        </w:rPr>
        <w:lastRenderedPageBreak/>
        <w:t>92 Nominaal en onvoorzien</w:t>
      </w:r>
    </w:p>
    <w:p w:rsidR="00602244" w:rsidRDefault="00602244" w:rsidP="00602244">
      <w:pPr>
        <w:spacing w:line="240" w:lineRule="auto"/>
        <w:rPr>
          <w:rFonts w:ascii="Verdana" w:hAnsi="Verdana"/>
          <w:b/>
          <w:sz w:val="24"/>
          <w:szCs w:val="24"/>
        </w:rPr>
      </w:pPr>
      <w:r>
        <w:rPr>
          <w:noProof/>
        </w:rPr>
        <w:drawing>
          <wp:inline distT="0" distB="0" distL="0" distR="0">
            <wp:extent cx="5724525" cy="1381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381125"/>
                    </a:xfrm>
                    <a:prstGeom prst="rect">
                      <a:avLst/>
                    </a:prstGeom>
                    <a:noFill/>
                    <a:ln>
                      <a:noFill/>
                    </a:ln>
                  </pic:spPr>
                </pic:pic>
              </a:graphicData>
            </a:graphic>
          </wp:inline>
        </w:drawing>
      </w:r>
    </w:p>
    <w:p w:rsidR="00602244" w:rsidRPr="00F71327" w:rsidRDefault="00602244" w:rsidP="00602244">
      <w:pPr>
        <w:spacing w:line="240" w:lineRule="auto"/>
        <w:rPr>
          <w:rFonts w:cs="Arial"/>
          <w:b/>
        </w:rPr>
      </w:pPr>
      <w:r w:rsidRPr="00F71327">
        <w:rPr>
          <w:rFonts w:cs="Arial"/>
          <w:b/>
          <w:sz w:val="24"/>
          <w:szCs w:val="24"/>
        </w:rPr>
        <w:t xml:space="preserve">Toelichting </w:t>
      </w:r>
      <w:r w:rsidRPr="00F71327">
        <w:rPr>
          <w:rFonts w:cs="Arial"/>
          <w:b/>
          <w:sz w:val="24"/>
          <w:szCs w:val="24"/>
        </w:rPr>
        <w:br/>
      </w:r>
    </w:p>
    <w:p w:rsidR="00602244" w:rsidRPr="00F71327" w:rsidRDefault="00602244" w:rsidP="00602244">
      <w:pPr>
        <w:spacing w:line="240" w:lineRule="auto"/>
        <w:rPr>
          <w:rFonts w:cs="Arial"/>
          <w:b/>
        </w:rPr>
      </w:pPr>
      <w:r w:rsidRPr="00F71327">
        <w:rPr>
          <w:rFonts w:cs="Arial"/>
          <w:b/>
        </w:rPr>
        <w:t>Mutaties uitgaven</w:t>
      </w:r>
    </w:p>
    <w:p w:rsidR="00602244" w:rsidRDefault="00602244" w:rsidP="00602244">
      <w:pPr>
        <w:spacing w:after="0" w:line="240" w:lineRule="auto"/>
        <w:rPr>
          <w:rFonts w:cs="Arial"/>
          <w:szCs w:val="20"/>
        </w:rPr>
      </w:pPr>
      <w:r w:rsidRPr="007A4E8E">
        <w:rPr>
          <w:rFonts w:cs="Arial"/>
          <w:szCs w:val="20"/>
        </w:rPr>
        <w:t xml:space="preserve">De mutatie op </w:t>
      </w:r>
      <w:r>
        <w:rPr>
          <w:rFonts w:cs="Arial"/>
          <w:szCs w:val="20"/>
        </w:rPr>
        <w:t>dit</w:t>
      </w:r>
      <w:r w:rsidRPr="007A4E8E">
        <w:rPr>
          <w:rFonts w:cs="Arial"/>
          <w:szCs w:val="20"/>
        </w:rPr>
        <w:t xml:space="preserve"> artikelonderdeel wordt </w:t>
      </w:r>
      <w:r>
        <w:rPr>
          <w:rFonts w:cs="Arial"/>
          <w:szCs w:val="20"/>
        </w:rPr>
        <w:t xml:space="preserve">voornamelijk </w:t>
      </w:r>
      <w:r w:rsidRPr="007A4E8E">
        <w:rPr>
          <w:rFonts w:cs="Arial"/>
          <w:szCs w:val="20"/>
        </w:rPr>
        <w:t>verklaard door:</w:t>
      </w:r>
    </w:p>
    <w:p w:rsidR="00602244" w:rsidRDefault="00602244" w:rsidP="00602244">
      <w:pPr>
        <w:numPr>
          <w:ilvl w:val="0"/>
          <w:numId w:val="20"/>
        </w:numPr>
        <w:spacing w:after="0" w:line="240" w:lineRule="auto"/>
        <w:rPr>
          <w:rFonts w:cs="Arial"/>
          <w:szCs w:val="20"/>
        </w:rPr>
      </w:pPr>
      <w:r>
        <w:rPr>
          <w:rFonts w:cs="Arial"/>
          <w:szCs w:val="20"/>
        </w:rPr>
        <w:t>bed, bad en brood: h</w:t>
      </w:r>
      <w:r w:rsidRPr="00057D01">
        <w:rPr>
          <w:rFonts w:cs="Arial"/>
          <w:szCs w:val="20"/>
        </w:rPr>
        <w:t>et kabinet heeft afgesproken dat uitgeprocedeerde asielzoekers in Nederland tijdelijk recht krijgen op de voorziening voor bed, bad en brood. Hiervoor is in 2015 € 13,3 mln. en structureel € 20 mln.</w:t>
      </w:r>
      <w:r>
        <w:rPr>
          <w:rFonts w:cs="Arial"/>
          <w:szCs w:val="20"/>
        </w:rPr>
        <w:t xml:space="preserve"> beschikbaar gesteld.</w:t>
      </w:r>
    </w:p>
    <w:p w:rsidR="00602244" w:rsidRDefault="00602244" w:rsidP="00602244">
      <w:pPr>
        <w:numPr>
          <w:ilvl w:val="0"/>
          <w:numId w:val="20"/>
        </w:numPr>
        <w:spacing w:after="0" w:line="240" w:lineRule="auto"/>
        <w:rPr>
          <w:rFonts w:cs="Arial"/>
          <w:szCs w:val="20"/>
        </w:rPr>
      </w:pPr>
      <w:r>
        <w:rPr>
          <w:rFonts w:cs="Arial"/>
          <w:szCs w:val="20"/>
        </w:rPr>
        <w:t>loon- en prijsbijstelling tranche 2015: m</w:t>
      </w:r>
      <w:r w:rsidRPr="00057D01">
        <w:rPr>
          <w:rFonts w:cs="Arial"/>
          <w:szCs w:val="20"/>
        </w:rPr>
        <w:t>et deze mutatie wordt de loon</w:t>
      </w:r>
      <w:r>
        <w:rPr>
          <w:rFonts w:cs="Arial"/>
          <w:szCs w:val="20"/>
        </w:rPr>
        <w:t>- en prijs</w:t>
      </w:r>
      <w:r w:rsidRPr="00057D01">
        <w:rPr>
          <w:rFonts w:cs="Arial"/>
          <w:szCs w:val="20"/>
        </w:rPr>
        <w:t>bijstelling 2015</w:t>
      </w:r>
      <w:r>
        <w:rPr>
          <w:rFonts w:cs="Arial"/>
          <w:szCs w:val="20"/>
        </w:rPr>
        <w:t xml:space="preserve"> (€ 36,2 loon en € 9 mln. prijs)</w:t>
      </w:r>
      <w:r w:rsidRPr="00057D01">
        <w:rPr>
          <w:rFonts w:cs="Arial"/>
          <w:szCs w:val="20"/>
        </w:rPr>
        <w:t xml:space="preserve"> </w:t>
      </w:r>
      <w:r>
        <w:rPr>
          <w:rFonts w:cs="Arial"/>
          <w:szCs w:val="20"/>
        </w:rPr>
        <w:t xml:space="preserve">structureel </w:t>
      </w:r>
      <w:r w:rsidRPr="00057D01">
        <w:rPr>
          <w:rFonts w:cs="Arial"/>
          <w:szCs w:val="20"/>
        </w:rPr>
        <w:t>aan de begroting van VenJ toegevoegd.</w:t>
      </w:r>
    </w:p>
    <w:p w:rsidR="00602244" w:rsidRPr="00BA4D0F" w:rsidRDefault="00602244" w:rsidP="00602244">
      <w:pPr>
        <w:numPr>
          <w:ilvl w:val="0"/>
          <w:numId w:val="20"/>
        </w:numPr>
        <w:spacing w:after="0" w:line="240" w:lineRule="auto"/>
        <w:rPr>
          <w:rFonts w:cs="Arial"/>
          <w:szCs w:val="20"/>
        </w:rPr>
      </w:pPr>
      <w:r w:rsidRPr="00BA4D0F">
        <w:rPr>
          <w:rFonts w:cs="Arial"/>
          <w:szCs w:val="20"/>
        </w:rPr>
        <w:t>Taakstelling VenJ: er is taakstellend in 2015 en 2016 € -30 mln. en structureel vanaf 2017 € -60 mln. ingeboekt op de begroting van VenJ. De taakstelling zal in de eerste jaren worden ingevuld via de huurverlaging bij de RVB.</w:t>
      </w:r>
    </w:p>
    <w:p w:rsidR="00602244" w:rsidRPr="00034434" w:rsidRDefault="00602244" w:rsidP="00602244">
      <w:pPr>
        <w:numPr>
          <w:ilvl w:val="0"/>
          <w:numId w:val="20"/>
        </w:numPr>
        <w:spacing w:after="0" w:line="240" w:lineRule="auto"/>
        <w:rPr>
          <w:rFonts w:cs="Arial"/>
          <w:i/>
          <w:szCs w:val="20"/>
        </w:rPr>
      </w:pPr>
      <w:r>
        <w:rPr>
          <w:rFonts w:cs="Arial"/>
          <w:szCs w:val="20"/>
        </w:rPr>
        <w:t>t</w:t>
      </w:r>
      <w:r w:rsidRPr="00034434">
        <w:rPr>
          <w:rFonts w:cs="Arial"/>
          <w:szCs w:val="20"/>
        </w:rPr>
        <w:t xml:space="preserve">ariefsverlaging RGD € -6,8 mln. in 2015 op de uitgaven. </w:t>
      </w:r>
    </w:p>
    <w:p w:rsidR="00602244" w:rsidRDefault="00602244" w:rsidP="00602244">
      <w:pPr>
        <w:spacing w:line="240" w:lineRule="auto"/>
        <w:rPr>
          <w:rFonts w:ascii="Verdana" w:hAnsi="Verdana"/>
          <w:b/>
          <w:sz w:val="24"/>
          <w:szCs w:val="24"/>
        </w:rPr>
      </w:pPr>
    </w:p>
    <w:p w:rsidR="00602244" w:rsidRDefault="00602244" w:rsidP="00602244"/>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Default="00602244" w:rsidP="00602244">
      <w:pPr>
        <w:spacing w:after="0" w:line="240" w:lineRule="auto"/>
        <w:ind w:left="360"/>
        <w:rPr>
          <w:rFonts w:cs="Arial"/>
          <w:szCs w:val="20"/>
        </w:rPr>
      </w:pPr>
    </w:p>
    <w:p w:rsidR="00602244" w:rsidRPr="003C3E18" w:rsidRDefault="00602244" w:rsidP="00602244">
      <w:pPr>
        <w:numPr>
          <w:ilvl w:val="0"/>
          <w:numId w:val="10"/>
        </w:numPr>
        <w:spacing w:line="240" w:lineRule="auto"/>
        <w:rPr>
          <w:rFonts w:cs="Arial"/>
          <w:b/>
          <w:sz w:val="24"/>
          <w:szCs w:val="24"/>
        </w:rPr>
      </w:pPr>
      <w:r>
        <w:rPr>
          <w:rFonts w:cs="Arial"/>
          <w:b/>
          <w:sz w:val="24"/>
          <w:szCs w:val="24"/>
        </w:rPr>
        <w:t>G</w:t>
      </w:r>
      <w:r w:rsidRPr="003C3E18">
        <w:rPr>
          <w:rFonts w:cs="Arial"/>
          <w:b/>
          <w:sz w:val="24"/>
          <w:szCs w:val="24"/>
        </w:rPr>
        <w:t>eheim</w:t>
      </w:r>
    </w:p>
    <w:p w:rsidR="00602244" w:rsidRDefault="00602244" w:rsidP="00602244">
      <w:pPr>
        <w:spacing w:line="240" w:lineRule="auto"/>
        <w:rPr>
          <w:rFonts w:ascii="Verdana" w:hAnsi="Verdana"/>
          <w:szCs w:val="20"/>
        </w:rPr>
      </w:pPr>
      <w:r>
        <w:rPr>
          <w:noProof/>
        </w:rPr>
        <w:drawing>
          <wp:inline distT="0" distB="0" distL="0" distR="0">
            <wp:extent cx="5724525" cy="1533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533525"/>
                    </a:xfrm>
                    <a:prstGeom prst="rect">
                      <a:avLst/>
                    </a:prstGeom>
                    <a:noFill/>
                    <a:ln>
                      <a:noFill/>
                    </a:ln>
                  </pic:spPr>
                </pic:pic>
              </a:graphicData>
            </a:graphic>
          </wp:inline>
        </w:drawing>
      </w:r>
    </w:p>
    <w:p w:rsidR="00602244" w:rsidRDefault="00602244" w:rsidP="00602244">
      <w:pPr>
        <w:rPr>
          <w:rFonts w:ascii="Verdana" w:hAnsi="Verdana"/>
          <w:szCs w:val="20"/>
        </w:rPr>
      </w:pPr>
    </w:p>
    <w:p w:rsidR="00602244" w:rsidRPr="00B25F24" w:rsidRDefault="00602244" w:rsidP="00602244">
      <w:pPr>
        <w:spacing w:line="240" w:lineRule="auto"/>
        <w:rPr>
          <w:rFonts w:cs="Arial"/>
          <w:szCs w:val="20"/>
        </w:rPr>
      </w:pPr>
      <w:r w:rsidRPr="00B25F24">
        <w:rPr>
          <w:rFonts w:cs="Arial"/>
          <w:szCs w:val="20"/>
        </w:rPr>
        <w:t xml:space="preserve">Op dit </w:t>
      </w:r>
      <w:r>
        <w:rPr>
          <w:rFonts w:cs="Arial"/>
          <w:szCs w:val="20"/>
        </w:rPr>
        <w:t>artikel</w:t>
      </w:r>
      <w:r w:rsidRPr="00B25F24">
        <w:rPr>
          <w:rFonts w:cs="Arial"/>
          <w:szCs w:val="20"/>
        </w:rPr>
        <w:t xml:space="preserve"> hebben geen mutaties plaatsgevonden</w:t>
      </w:r>
      <w:r>
        <w:rPr>
          <w:rFonts w:cs="Arial"/>
          <w:szCs w:val="20"/>
        </w:rPr>
        <w:t>.</w:t>
      </w:r>
    </w:p>
    <w:p w:rsidR="00602244"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0B4F48" w:rsidRDefault="00602244" w:rsidP="00602244">
      <w:pPr>
        <w:rPr>
          <w:rFonts w:ascii="Verdana" w:hAnsi="Verdana"/>
          <w:szCs w:val="20"/>
        </w:rPr>
      </w:pPr>
    </w:p>
    <w:p w:rsidR="00602244" w:rsidRPr="00D20BFC" w:rsidRDefault="00602244" w:rsidP="00602244">
      <w:pPr>
        <w:tabs>
          <w:tab w:val="left" w:pos="1340"/>
        </w:tabs>
        <w:rPr>
          <w:rFonts w:cs="Arial"/>
          <w:b/>
          <w:szCs w:val="20"/>
        </w:rPr>
      </w:pPr>
      <w:r>
        <w:rPr>
          <w:rFonts w:ascii="Verdana" w:hAnsi="Verdana"/>
          <w:szCs w:val="20"/>
        </w:rPr>
        <w:tab/>
      </w:r>
    </w:p>
    <w:p w:rsidR="00602244" w:rsidRPr="00D20BFC" w:rsidRDefault="00602244" w:rsidP="00602244">
      <w:pPr>
        <w:rPr>
          <w:rFonts w:cs="Arial"/>
          <w:b/>
          <w:szCs w:val="20"/>
        </w:rPr>
      </w:pPr>
    </w:p>
    <w:p w:rsidR="009E7070" w:rsidRDefault="009E7070">
      <w:bookmarkStart w:id="3" w:name="_GoBack"/>
      <w:bookmarkEnd w:id="3"/>
    </w:p>
    <w:sectPr w:rsidR="009E7070" w:rsidSect="00B011AC">
      <w:headerReference w:type="default" r:id="rId16"/>
      <w:footerReference w:type="default" r:id="rId17"/>
      <w:pgSz w:w="11906" w:h="16838"/>
      <w:pgMar w:top="1134" w:right="1440" w:bottom="1191" w:left="144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opia">
    <w:altName w:val="Corbel"/>
    <w:charset w:val="00"/>
    <w:family w:val="swiss"/>
    <w:pitch w:val="variable"/>
    <w:sig w:usb0="8000002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83" w:rsidRDefault="00602244">
    <w:pPr>
      <w:pStyle w:val="Voettekst"/>
      <w:jc w:val="right"/>
    </w:pPr>
    <w:r>
      <w:fldChar w:fldCharType="begin"/>
    </w:r>
    <w:r>
      <w:instrText>PAGE   \* MERGE</w:instrText>
    </w:r>
    <w:r>
      <w:instrText>FORMAT</w:instrText>
    </w:r>
    <w:r>
      <w:fldChar w:fldCharType="separate"/>
    </w:r>
    <w:r>
      <w:rPr>
        <w:noProof/>
      </w:rPr>
      <w:t>21</w:t>
    </w:r>
    <w:r>
      <w:fldChar w:fldCharType="end"/>
    </w:r>
  </w:p>
  <w:p w:rsidR="00986383" w:rsidRDefault="00602244">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383" w:rsidRDefault="006022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009"/>
    <w:multiLevelType w:val="multilevel"/>
    <w:tmpl w:val="906A9EA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
    <w:nsid w:val="054564CE"/>
    <w:multiLevelType w:val="hybridMultilevel"/>
    <w:tmpl w:val="ED825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1F64DA3"/>
    <w:multiLevelType w:val="hybridMultilevel"/>
    <w:tmpl w:val="367A708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nsid w:val="197F40AD"/>
    <w:multiLevelType w:val="hybridMultilevel"/>
    <w:tmpl w:val="BBFC4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A9A3A11"/>
    <w:multiLevelType w:val="hybridMultilevel"/>
    <w:tmpl w:val="F1340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0A92BE8"/>
    <w:multiLevelType w:val="hybridMultilevel"/>
    <w:tmpl w:val="536E0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0CA2A10"/>
    <w:multiLevelType w:val="hybridMultilevel"/>
    <w:tmpl w:val="B31E06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70053BE"/>
    <w:multiLevelType w:val="hybridMultilevel"/>
    <w:tmpl w:val="AA74A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CC66430"/>
    <w:multiLevelType w:val="hybridMultilevel"/>
    <w:tmpl w:val="AF864C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9424964"/>
    <w:multiLevelType w:val="hybridMultilevel"/>
    <w:tmpl w:val="6C8C9B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13F6182"/>
    <w:multiLevelType w:val="hybridMultilevel"/>
    <w:tmpl w:val="EBD01C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1453C68"/>
    <w:multiLevelType w:val="hybridMultilevel"/>
    <w:tmpl w:val="CFB4D65C"/>
    <w:lvl w:ilvl="0" w:tplc="F21CCE5A">
      <w:start w:val="9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38500D5"/>
    <w:multiLevelType w:val="hybridMultilevel"/>
    <w:tmpl w:val="3F1EC6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4564B57"/>
    <w:multiLevelType w:val="hybridMultilevel"/>
    <w:tmpl w:val="F552F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B901613"/>
    <w:multiLevelType w:val="hybridMultilevel"/>
    <w:tmpl w:val="24367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FBB0351"/>
    <w:multiLevelType w:val="multilevel"/>
    <w:tmpl w:val="16A2C666"/>
    <w:lvl w:ilvl="0">
      <w:start w:val="2"/>
      <w:numFmt w:val="decimal"/>
      <w:lvlText w:val="%1."/>
      <w:lvlJc w:val="left"/>
      <w:pPr>
        <w:ind w:left="390" w:hanging="390"/>
      </w:pPr>
      <w:rPr>
        <w:rFonts w:ascii="Verdana" w:hAnsi="Verdana" w:hint="default"/>
        <w:sz w:val="20"/>
      </w:rPr>
    </w:lvl>
    <w:lvl w:ilvl="1">
      <w:start w:val="3"/>
      <w:numFmt w:val="decimal"/>
      <w:lvlText w:val="%1.%2."/>
      <w:lvlJc w:val="left"/>
      <w:pPr>
        <w:ind w:left="390" w:hanging="390"/>
      </w:pPr>
      <w:rPr>
        <w:rFonts w:ascii="Verdana" w:hAnsi="Verdana" w:hint="default"/>
        <w:sz w:val="28"/>
        <w:szCs w:val="28"/>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16">
    <w:nsid w:val="50C136D9"/>
    <w:multiLevelType w:val="hybridMultilevel"/>
    <w:tmpl w:val="9F7E2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5F566E9"/>
    <w:multiLevelType w:val="hybridMultilevel"/>
    <w:tmpl w:val="8CAAE1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76A43E6"/>
    <w:multiLevelType w:val="hybridMultilevel"/>
    <w:tmpl w:val="42B235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A62185D"/>
    <w:multiLevelType w:val="hybridMultilevel"/>
    <w:tmpl w:val="CD2E1A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61325D4"/>
    <w:multiLevelType w:val="hybridMultilevel"/>
    <w:tmpl w:val="FFA29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7766452"/>
    <w:multiLevelType w:val="multilevel"/>
    <w:tmpl w:val="57C215C4"/>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868" w:hanging="2880"/>
      </w:pPr>
      <w:rPr>
        <w:rFonts w:hint="default"/>
      </w:rPr>
    </w:lvl>
    <w:lvl w:ilvl="8">
      <w:start w:val="1"/>
      <w:numFmt w:val="decimal"/>
      <w:lvlText w:val="%1.%2.%3.%4.%5.%6.%7.%8.%9"/>
      <w:lvlJc w:val="left"/>
      <w:pPr>
        <w:ind w:left="5152" w:hanging="2880"/>
      </w:pPr>
      <w:rPr>
        <w:rFonts w:hint="default"/>
      </w:rPr>
    </w:lvl>
  </w:abstractNum>
  <w:abstractNum w:abstractNumId="22">
    <w:nsid w:val="6C2F17DC"/>
    <w:multiLevelType w:val="hybridMultilevel"/>
    <w:tmpl w:val="35987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0745BED"/>
    <w:multiLevelType w:val="hybridMultilevel"/>
    <w:tmpl w:val="C50266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6A27950"/>
    <w:multiLevelType w:val="hybridMultilevel"/>
    <w:tmpl w:val="89E227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8"/>
  </w:num>
  <w:num w:numId="4">
    <w:abstractNumId w:val="21"/>
  </w:num>
  <w:num w:numId="5">
    <w:abstractNumId w:val="2"/>
  </w:num>
  <w:num w:numId="6">
    <w:abstractNumId w:val="19"/>
  </w:num>
  <w:num w:numId="7">
    <w:abstractNumId w:val="16"/>
  </w:num>
  <w:num w:numId="8">
    <w:abstractNumId w:val="9"/>
  </w:num>
  <w:num w:numId="9">
    <w:abstractNumId w:val="13"/>
  </w:num>
  <w:num w:numId="10">
    <w:abstractNumId w:val="11"/>
  </w:num>
  <w:num w:numId="11">
    <w:abstractNumId w:val="6"/>
  </w:num>
  <w:num w:numId="12">
    <w:abstractNumId w:val="17"/>
  </w:num>
  <w:num w:numId="13">
    <w:abstractNumId w:val="24"/>
  </w:num>
  <w:num w:numId="14">
    <w:abstractNumId w:val="23"/>
  </w:num>
  <w:num w:numId="15">
    <w:abstractNumId w:val="14"/>
  </w:num>
  <w:num w:numId="16">
    <w:abstractNumId w:val="8"/>
  </w:num>
  <w:num w:numId="17">
    <w:abstractNumId w:val="1"/>
  </w:num>
  <w:num w:numId="18">
    <w:abstractNumId w:val="10"/>
  </w:num>
  <w:num w:numId="19">
    <w:abstractNumId w:val="4"/>
  </w:num>
  <w:num w:numId="20">
    <w:abstractNumId w:val="12"/>
  </w:num>
  <w:num w:numId="21">
    <w:abstractNumId w:val="5"/>
  </w:num>
  <w:num w:numId="22">
    <w:abstractNumId w:val="20"/>
  </w:num>
  <w:num w:numId="23">
    <w:abstractNumId w:val="7"/>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44"/>
    <w:rsid w:val="00485333"/>
    <w:rsid w:val="004F79F1"/>
    <w:rsid w:val="00602244"/>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2244"/>
    <w:pPr>
      <w:spacing w:after="200" w:line="276" w:lineRule="auto"/>
    </w:pPr>
    <w:rPr>
      <w:rFonts w:ascii="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2244"/>
    <w:pPr>
      <w:ind w:left="720"/>
      <w:contextualSpacing/>
    </w:pPr>
  </w:style>
  <w:style w:type="paragraph" w:styleId="Normaalweb">
    <w:name w:val="Normal (Web)"/>
    <w:basedOn w:val="Standaard"/>
    <w:uiPriority w:val="99"/>
    <w:unhideWhenUsed/>
    <w:rsid w:val="00602244"/>
    <w:pPr>
      <w:spacing w:before="100" w:beforeAutospacing="1" w:after="100" w:afterAutospacing="1" w:line="240" w:lineRule="auto"/>
    </w:pPr>
    <w:rPr>
      <w:rFonts w:ascii="Times New Roman" w:hAnsi="Times New Roman"/>
      <w:sz w:val="24"/>
      <w:szCs w:val="24"/>
    </w:rPr>
  </w:style>
  <w:style w:type="paragraph" w:styleId="Geenafstand">
    <w:name w:val="No Spacing"/>
    <w:basedOn w:val="Standaard"/>
    <w:uiPriority w:val="1"/>
    <w:qFormat/>
    <w:rsid w:val="00602244"/>
    <w:pPr>
      <w:spacing w:after="0" w:line="240" w:lineRule="auto"/>
    </w:pPr>
  </w:style>
  <w:style w:type="paragraph" w:styleId="Koptekst">
    <w:name w:val="header"/>
    <w:basedOn w:val="Standaard"/>
    <w:link w:val="KoptekstChar"/>
    <w:uiPriority w:val="99"/>
    <w:unhideWhenUsed/>
    <w:rsid w:val="00602244"/>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602244"/>
    <w:rPr>
      <w:rFonts w:ascii="Calibri" w:hAnsi="Calibri"/>
      <w:sz w:val="22"/>
      <w:szCs w:val="22"/>
      <w:lang w:val="x-none" w:eastAsia="x-none"/>
    </w:rPr>
  </w:style>
  <w:style w:type="paragraph" w:styleId="Voettekst">
    <w:name w:val="footer"/>
    <w:basedOn w:val="Standaard"/>
    <w:link w:val="VoettekstChar"/>
    <w:uiPriority w:val="99"/>
    <w:unhideWhenUsed/>
    <w:rsid w:val="00602244"/>
    <w:pPr>
      <w:tabs>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602244"/>
    <w:rPr>
      <w:rFonts w:ascii="Calibri" w:hAnsi="Calibri"/>
      <w:sz w:val="22"/>
      <w:szCs w:val="22"/>
      <w:lang w:val="x-none" w:eastAsia="x-none"/>
    </w:rPr>
  </w:style>
  <w:style w:type="paragraph" w:styleId="Ballontekst">
    <w:name w:val="Balloon Text"/>
    <w:basedOn w:val="Standaard"/>
    <w:link w:val="BallontekstChar"/>
    <w:rsid w:val="006022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602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2244"/>
    <w:pPr>
      <w:spacing w:after="200" w:line="276" w:lineRule="auto"/>
    </w:pPr>
    <w:rPr>
      <w:rFonts w:ascii="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2244"/>
    <w:pPr>
      <w:ind w:left="720"/>
      <w:contextualSpacing/>
    </w:pPr>
  </w:style>
  <w:style w:type="paragraph" w:styleId="Normaalweb">
    <w:name w:val="Normal (Web)"/>
    <w:basedOn w:val="Standaard"/>
    <w:uiPriority w:val="99"/>
    <w:unhideWhenUsed/>
    <w:rsid w:val="00602244"/>
    <w:pPr>
      <w:spacing w:before="100" w:beforeAutospacing="1" w:after="100" w:afterAutospacing="1" w:line="240" w:lineRule="auto"/>
    </w:pPr>
    <w:rPr>
      <w:rFonts w:ascii="Times New Roman" w:hAnsi="Times New Roman"/>
      <w:sz w:val="24"/>
      <w:szCs w:val="24"/>
    </w:rPr>
  </w:style>
  <w:style w:type="paragraph" w:styleId="Geenafstand">
    <w:name w:val="No Spacing"/>
    <w:basedOn w:val="Standaard"/>
    <w:uiPriority w:val="1"/>
    <w:qFormat/>
    <w:rsid w:val="00602244"/>
    <w:pPr>
      <w:spacing w:after="0" w:line="240" w:lineRule="auto"/>
    </w:pPr>
  </w:style>
  <w:style w:type="paragraph" w:styleId="Koptekst">
    <w:name w:val="header"/>
    <w:basedOn w:val="Standaard"/>
    <w:link w:val="KoptekstChar"/>
    <w:uiPriority w:val="99"/>
    <w:unhideWhenUsed/>
    <w:rsid w:val="00602244"/>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602244"/>
    <w:rPr>
      <w:rFonts w:ascii="Calibri" w:hAnsi="Calibri"/>
      <w:sz w:val="22"/>
      <w:szCs w:val="22"/>
      <w:lang w:val="x-none" w:eastAsia="x-none"/>
    </w:rPr>
  </w:style>
  <w:style w:type="paragraph" w:styleId="Voettekst">
    <w:name w:val="footer"/>
    <w:basedOn w:val="Standaard"/>
    <w:link w:val="VoettekstChar"/>
    <w:uiPriority w:val="99"/>
    <w:unhideWhenUsed/>
    <w:rsid w:val="00602244"/>
    <w:pPr>
      <w:tabs>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602244"/>
    <w:rPr>
      <w:rFonts w:ascii="Calibri" w:hAnsi="Calibri"/>
      <w:sz w:val="22"/>
      <w:szCs w:val="22"/>
      <w:lang w:val="x-none" w:eastAsia="x-none"/>
    </w:rPr>
  </w:style>
  <w:style w:type="paragraph" w:styleId="Ballontekst">
    <w:name w:val="Balloon Text"/>
    <w:basedOn w:val="Standaard"/>
    <w:link w:val="BallontekstChar"/>
    <w:rsid w:val="006022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602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01011-E861-4A4E-9F46-3A4C52ACF611}"/>
</file>

<file path=customXml/itemProps2.xml><?xml version="1.0" encoding="utf-8"?>
<ds:datastoreItem xmlns:ds="http://schemas.openxmlformats.org/officeDocument/2006/customXml" ds:itemID="{85F10055-F5E1-4620-8AB5-D40FB176A8C3}"/>
</file>

<file path=customXml/itemProps3.xml><?xml version="1.0" encoding="utf-8"?>
<ds:datastoreItem xmlns:ds="http://schemas.openxmlformats.org/officeDocument/2006/customXml" ds:itemID="{FFF7A084-3D73-4DCB-9D67-D6361C0BBEB8}"/>
</file>

<file path=docProps/app.xml><?xml version="1.0" encoding="utf-8"?>
<Properties xmlns="http://schemas.openxmlformats.org/officeDocument/2006/extended-properties" xmlns:vt="http://schemas.openxmlformats.org/officeDocument/2006/docPropsVTypes">
  <Template>CF57014C.dotm</Template>
  <TotalTime>0</TotalTime>
  <Pages>22</Pages>
  <Words>4617</Words>
  <Characters>25394</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2015-06-01T16:08:00Z</dcterms:created>
  <dcterms:modified xsi:type="dcterms:W3CDTF">2015-06-01T16:09:00Z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