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6F" w:rsidRPr="00AE69FE" w:rsidRDefault="00F6226F" w:rsidP="00F6226F">
      <w:pPr>
        <w:spacing w:line="360" w:lineRule="auto"/>
        <w:ind w:right="1"/>
        <w:rPr>
          <w:b/>
        </w:rPr>
      </w:pPr>
      <w:r w:rsidRPr="00AE69FE">
        <w:rPr>
          <w:b/>
        </w:rPr>
        <w:t>MEMORIE VAN TOELICHTING</w:t>
      </w: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r w:rsidRPr="00AE69FE">
        <w:rPr>
          <w:b/>
        </w:rPr>
        <w:t>A. ARTIKELSGEWIJZE TOELICHTING BIJ HET WETSVOORSTEL</w:t>
      </w: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r w:rsidRPr="00AE69FE">
        <w:rPr>
          <w:b/>
        </w:rPr>
        <w:t>Artikel 1</w:t>
      </w:r>
    </w:p>
    <w:p w:rsidR="00F6226F" w:rsidRPr="00AE69FE" w:rsidRDefault="00F6226F" w:rsidP="00F6226F">
      <w:pPr>
        <w:spacing w:line="360" w:lineRule="auto"/>
        <w:ind w:right="1"/>
      </w:pPr>
      <w:r w:rsidRPr="00AE69FE">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departementale begrotingsstaat van het Ministerie van Defensie (X).</w:t>
      </w:r>
    </w:p>
    <w:p w:rsidR="00F6226F" w:rsidRPr="00AE69FE" w:rsidRDefault="00F6226F" w:rsidP="00F6226F">
      <w:pPr>
        <w:spacing w:line="360" w:lineRule="auto"/>
        <w:ind w:right="1"/>
      </w:pPr>
    </w:p>
    <w:p w:rsidR="00F6226F" w:rsidRPr="00AE69FE" w:rsidRDefault="00F6226F" w:rsidP="00F6226F">
      <w:pPr>
        <w:spacing w:line="360" w:lineRule="auto"/>
        <w:ind w:right="1"/>
      </w:pPr>
      <w:r w:rsidRPr="00AE69FE">
        <w:t>De in de begrotingsstaten opgenomen begrotingsartikelen worden in onderdeel B van deze memorie van</w:t>
      </w:r>
    </w:p>
    <w:p w:rsidR="00F6226F" w:rsidRPr="00AE69FE" w:rsidRDefault="00F6226F" w:rsidP="00F6226F">
      <w:pPr>
        <w:spacing w:line="360" w:lineRule="auto"/>
        <w:ind w:right="1"/>
      </w:pPr>
      <w:r w:rsidRPr="00AE69FE">
        <w:t>toelichting toegelicht (de zgn. begrotingstoelichting).</w:t>
      </w:r>
    </w:p>
    <w:p w:rsidR="00F6226F" w:rsidRPr="00AE69FE" w:rsidRDefault="00F6226F" w:rsidP="00F6226F">
      <w:pPr>
        <w:spacing w:line="360" w:lineRule="auto"/>
        <w:ind w:right="1"/>
        <w:rPr>
          <w:b/>
        </w:rPr>
      </w:pPr>
    </w:p>
    <w:p w:rsidR="00F6226F" w:rsidRPr="00AE69FE" w:rsidRDefault="00F6226F" w:rsidP="00F6226F">
      <w:pPr>
        <w:spacing w:line="360" w:lineRule="auto"/>
        <w:ind w:right="1"/>
      </w:pPr>
      <w:r w:rsidRPr="00AE69FE">
        <w:t>De Minister van Defensie,</w:t>
      </w:r>
    </w:p>
    <w:p w:rsidR="00F6226F" w:rsidRPr="00AE69FE" w:rsidRDefault="00F6226F" w:rsidP="00F6226F">
      <w:pPr>
        <w:spacing w:line="360" w:lineRule="auto"/>
        <w:ind w:right="1"/>
      </w:pPr>
    </w:p>
    <w:p w:rsidR="00F6226F" w:rsidRPr="00AE69FE" w:rsidRDefault="00F6226F" w:rsidP="00F6226F">
      <w:pPr>
        <w:spacing w:line="360" w:lineRule="auto"/>
        <w:ind w:right="1"/>
      </w:pPr>
    </w:p>
    <w:p w:rsidR="00F6226F" w:rsidRPr="00AE69FE" w:rsidRDefault="00F6226F" w:rsidP="00F6226F">
      <w:pPr>
        <w:spacing w:line="360" w:lineRule="auto"/>
        <w:ind w:right="1"/>
      </w:pPr>
    </w:p>
    <w:p w:rsidR="00F6226F" w:rsidRPr="00AE69FE" w:rsidRDefault="00F6226F" w:rsidP="00F6226F">
      <w:pPr>
        <w:spacing w:line="360" w:lineRule="auto"/>
        <w:ind w:right="1"/>
      </w:pPr>
      <w:r w:rsidRPr="00AE69FE">
        <w:t>J.A. Hennis-Plasschaert</w:t>
      </w:r>
    </w:p>
    <w:p w:rsidR="00F6226F" w:rsidRPr="00AE69FE" w:rsidRDefault="00F6226F" w:rsidP="00F6226F"/>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p>
    <w:p w:rsidR="00F6226F" w:rsidRPr="00AE69FE" w:rsidRDefault="00F6226F" w:rsidP="00F6226F">
      <w:pPr>
        <w:spacing w:line="360" w:lineRule="auto"/>
        <w:ind w:right="1"/>
        <w:rPr>
          <w:b/>
        </w:rPr>
      </w:pPr>
      <w:r w:rsidRPr="00AE69FE">
        <w:rPr>
          <w:b/>
        </w:rPr>
        <w:t>B. BEGROTINGSTOELICHTING</w:t>
      </w:r>
    </w:p>
    <w:p w:rsidR="00F6226F" w:rsidRPr="00AE69FE" w:rsidRDefault="00F6226F" w:rsidP="00F6226F">
      <w:pPr>
        <w:spacing w:line="360" w:lineRule="auto"/>
        <w:ind w:right="1"/>
      </w:pPr>
    </w:p>
    <w:p w:rsidR="00F6226F" w:rsidRPr="00AE69FE" w:rsidRDefault="00F6226F" w:rsidP="00F6226F">
      <w:pPr>
        <w:spacing w:line="360" w:lineRule="auto"/>
        <w:ind w:right="1"/>
      </w:pPr>
    </w:p>
    <w:p w:rsidR="00F6226F" w:rsidRPr="00AE69FE" w:rsidRDefault="00F6226F" w:rsidP="00F6226F">
      <w:pPr>
        <w:spacing w:line="360" w:lineRule="auto"/>
        <w:ind w:right="1"/>
        <w:rPr>
          <w:b/>
        </w:rPr>
      </w:pPr>
      <w:r w:rsidRPr="00AE69FE">
        <w:rPr>
          <w:b/>
        </w:rPr>
        <w:t>De departementale begroting</w:t>
      </w:r>
    </w:p>
    <w:p w:rsidR="00F6226F" w:rsidRPr="00AE69FE" w:rsidRDefault="00F6226F" w:rsidP="00F6226F">
      <w:pPr>
        <w:numPr>
          <w:ilvl w:val="0"/>
          <w:numId w:val="2"/>
        </w:numPr>
        <w:tabs>
          <w:tab w:val="clear" w:pos="76"/>
        </w:tabs>
        <w:spacing w:line="360" w:lineRule="auto"/>
        <w:ind w:right="1"/>
      </w:pPr>
    </w:p>
    <w:p w:rsidR="00F6226F" w:rsidRPr="00AE69FE" w:rsidRDefault="00F6226F" w:rsidP="00F6226F">
      <w:pPr>
        <w:numPr>
          <w:ilvl w:val="0"/>
          <w:numId w:val="2"/>
        </w:numPr>
        <w:tabs>
          <w:tab w:val="clear" w:pos="76"/>
        </w:tabs>
        <w:spacing w:line="360" w:lineRule="auto"/>
        <w:ind w:right="1"/>
        <w:rPr>
          <w:b/>
        </w:rPr>
      </w:pPr>
      <w:r w:rsidRPr="00AE69FE">
        <w:rPr>
          <w:b/>
        </w:rPr>
        <w:t>1. Leeswijzer</w:t>
      </w:r>
    </w:p>
    <w:p w:rsidR="00F6226F" w:rsidRPr="00AE69FE" w:rsidRDefault="00F6226F" w:rsidP="00F6226F">
      <w:pPr>
        <w:pStyle w:val="Kop7"/>
        <w:spacing w:line="360" w:lineRule="auto"/>
        <w:jc w:val="left"/>
        <w:rPr>
          <w:i w:val="0"/>
          <w:sz w:val="20"/>
        </w:rPr>
      </w:pPr>
    </w:p>
    <w:p w:rsidR="00F6226F" w:rsidRPr="00AE69FE" w:rsidRDefault="00F6226F" w:rsidP="00F6226F">
      <w:pPr>
        <w:pStyle w:val="Kop7"/>
        <w:spacing w:line="360" w:lineRule="auto"/>
        <w:jc w:val="left"/>
        <w:rPr>
          <w:sz w:val="20"/>
        </w:rPr>
      </w:pPr>
      <w:r w:rsidRPr="00AE69FE">
        <w:rPr>
          <w:sz w:val="20"/>
        </w:rPr>
        <w:t>Budgettair kader</w:t>
      </w:r>
    </w:p>
    <w:p w:rsidR="00F6226F" w:rsidRPr="00AE69FE" w:rsidRDefault="00F6226F" w:rsidP="00F6226F">
      <w:pPr>
        <w:pStyle w:val="Kop7"/>
        <w:spacing w:line="360" w:lineRule="auto"/>
        <w:jc w:val="left"/>
        <w:rPr>
          <w:i w:val="0"/>
          <w:iCs/>
          <w:sz w:val="20"/>
        </w:rPr>
      </w:pPr>
      <w:r w:rsidRPr="00AE69FE">
        <w:rPr>
          <w:i w:val="0"/>
          <w:iCs/>
          <w:sz w:val="20"/>
        </w:rPr>
        <w:t>Uit de hiervoor vermelde samenvattende begrotingsstaat blijkt dat ten opzichte van de begroting 2015 de uitgaven voor 2015 met € 6,6 miljoen worden verlaagd, en de ontvangsten 2015 met € 35,8 miljoen worden verhoogd. Dit leidt tot een uitgavenbudget van € 7.993,8 miljoen en een ontvangstenbudget van € 358,9 miljoen. Het bedrag voor de verplichtingen in 2015 is verlaagd met € 80,8 miljoen tot € 8.067,2 miljoen.</w:t>
      </w:r>
    </w:p>
    <w:p w:rsidR="00F6226F" w:rsidRPr="00AE69FE" w:rsidRDefault="00F6226F" w:rsidP="00F6226F">
      <w:pPr>
        <w:pStyle w:val="Kop7"/>
        <w:spacing w:line="360" w:lineRule="auto"/>
        <w:jc w:val="left"/>
        <w:rPr>
          <w:sz w:val="20"/>
        </w:rPr>
      </w:pPr>
    </w:p>
    <w:p w:rsidR="00F6226F" w:rsidRPr="00AE69FE" w:rsidRDefault="00F6226F" w:rsidP="00F6226F">
      <w:pPr>
        <w:pStyle w:val="Kop6"/>
        <w:spacing w:line="360" w:lineRule="auto"/>
        <w:jc w:val="left"/>
        <w:rPr>
          <w:b w:val="0"/>
          <w:i/>
          <w:sz w:val="20"/>
        </w:rPr>
      </w:pPr>
      <w:r w:rsidRPr="00AE69FE">
        <w:rPr>
          <w:b w:val="0"/>
          <w:i/>
          <w:sz w:val="20"/>
        </w:rPr>
        <w:t>Samenvatting belangrijkste begrotingswijzigingen</w:t>
      </w:r>
    </w:p>
    <w:p w:rsidR="00F6226F" w:rsidRPr="00AE69FE" w:rsidRDefault="00F6226F" w:rsidP="00F6226F">
      <w:pPr>
        <w:suppressAutoHyphens/>
        <w:spacing w:line="360" w:lineRule="auto"/>
      </w:pPr>
      <w:r w:rsidRPr="00AE69FE">
        <w:t xml:space="preserve">De belangrijkste begrotingswijzigingen hebben te maken met mutaties binnen het Budget Internationale Veiligheid (BIV). Begin 2015 hebben Defensie, BZ en BH&amp;OS gezamenlijk bepaald welke activiteiten gefinancierd zouden worden vanuit het BIV. Bij Defensie gaat het hierbij om activiteiten ter ondersteuning van de inzet van de </w:t>
      </w:r>
      <w:r w:rsidRPr="00AE69FE">
        <w:rPr>
          <w:i/>
        </w:rPr>
        <w:t>Vessel Protection Detachements</w:t>
      </w:r>
      <w:r w:rsidRPr="00AE69FE">
        <w:t xml:space="preserve"> (VPD’s), activiteiten ten behoeve van training en capaciteitsopbouw, civiel-militaire capaciteiten, luchttransport ten behoeve van missies en operaties, een uitzendbare KMar-pool en nazorg (totale omvang </w:t>
      </w:r>
    </w:p>
    <w:p w:rsidR="00F6226F" w:rsidRPr="00AE69FE" w:rsidRDefault="00F6226F" w:rsidP="00F6226F">
      <w:pPr>
        <w:suppressAutoHyphens/>
        <w:spacing w:line="360" w:lineRule="auto"/>
      </w:pPr>
      <w:r w:rsidRPr="00AE69FE">
        <w:t>€ 59,5 miljoen). Daarnaast wordt er € 60 miljoen vanuit het BIV overgeheveld naar BZ en BH&amp;OS. Vanuit dit bedrag worden activiteiten op het terrein van veiligheidssectorhervorming, bescherming van burgers in fragiele staten, rechtstaatontwikkeling en capaciteitsopbouw gefinancierd. Verder heeft de doorwerking van de eindejaarsmarge invloed op de begroting (€ 40,6 miljoen Defensie en € 31,6 miljoen BIV voor 2015 en € 5,4 miljoen BIV voor 2016).</w:t>
      </w:r>
    </w:p>
    <w:p w:rsidR="00F6226F" w:rsidRPr="00AE69FE" w:rsidRDefault="00F6226F" w:rsidP="00F6226F">
      <w:pPr>
        <w:suppressAutoHyphens/>
        <w:spacing w:line="360" w:lineRule="auto"/>
      </w:pPr>
    </w:p>
    <w:p w:rsidR="00F6226F" w:rsidRPr="00AE69FE" w:rsidRDefault="00F6226F" w:rsidP="00F6226F">
      <w:pPr>
        <w:suppressAutoHyphens/>
        <w:spacing w:line="360" w:lineRule="auto"/>
      </w:pPr>
      <w:r w:rsidRPr="00AE69FE">
        <w:t>De budgetoverhevelingen tussen de departementen betreffen onder meer de bijdrage van Defensie in de exploitatiekosten van het project C2000 (-€ 6,3 miljoen) van het ministerie van Veiligheid en Justitie, de bijdrage aan de commerciële inhuur van SAR-capaciteit en de restitutie van het budget voor SAR naar het ministerie van Infrastructuur en Milieu (-€ 12,3 miljoen voor 2015) en de financiering van formatieplaatsen bij de Dienst Terugkeer &amp; Vertrek van het ministerie van Veiligheid en Justitie (-€ 2,2 miljoen structureel). Uit de generale middelen komt de structurele bijdrage voor de maatregelen in verband met contra terrorisme (resp. € 19,5 miljoen voor 2015, € 56,8 miljoen voor 2016, € 54,8 miljoen voor 2017, en structureel € 51,3 miljoen vanaf 2018) en de bijdrage voor de inzet MH-17 (€ 3,1 miljoen). Verder vindt een kasschuif plaats ten behoeve van de herijking van de investeringsplannen (-€ 97 miljoen voor 2015).</w:t>
      </w:r>
    </w:p>
    <w:p w:rsidR="00F6226F" w:rsidRPr="00AE69FE" w:rsidRDefault="00F6226F" w:rsidP="00F6226F">
      <w:pPr>
        <w:suppressAutoHyphens/>
        <w:spacing w:line="360" w:lineRule="auto"/>
      </w:pPr>
      <w:r w:rsidRPr="00AE69FE">
        <w:t xml:space="preserve"> </w:t>
      </w:r>
    </w:p>
    <w:p w:rsidR="00F6226F" w:rsidRPr="00AE69FE" w:rsidRDefault="00F6226F" w:rsidP="00F6226F">
      <w:pPr>
        <w:suppressAutoHyphens/>
        <w:spacing w:line="360" w:lineRule="auto"/>
      </w:pPr>
      <w:r w:rsidRPr="00AE69FE">
        <w:t xml:space="preserve">De ontvangstenbegroting neemt toe met € 35,8 miljoen. De hogere ontvangsten zijn het saldo van de hogere verkoopopbrengsten (€ 25,7 miljoen) van roerende goederen, de lagere ontvangsten van onroerende goederen (-€ 11,2 miljoen), de hogere CODEMO ontvangsten (€ 10,5 miljoen), de hogere ontvangsten vanuit de Navo </w:t>
      </w:r>
    </w:p>
    <w:p w:rsidR="00F6226F" w:rsidRPr="00AE69FE" w:rsidRDefault="00F6226F" w:rsidP="00F6226F">
      <w:pPr>
        <w:suppressAutoHyphens/>
        <w:spacing w:line="360" w:lineRule="auto"/>
      </w:pPr>
      <w:r w:rsidRPr="00AE69FE">
        <w:t xml:space="preserve">(€ 12,2 miljoen) en de overige personele en materiele ontvangsten (-€ 1,4 miljoen). </w:t>
      </w:r>
    </w:p>
    <w:p w:rsidR="00F6226F" w:rsidRPr="00AE69FE" w:rsidRDefault="00F6226F" w:rsidP="00F6226F">
      <w:pPr>
        <w:suppressAutoHyphens/>
        <w:spacing w:line="360" w:lineRule="auto"/>
      </w:pPr>
    </w:p>
    <w:p w:rsidR="00F6226F" w:rsidRPr="00AE69FE" w:rsidRDefault="00F6226F" w:rsidP="00F6226F">
      <w:pPr>
        <w:suppressAutoHyphens/>
        <w:spacing w:line="360" w:lineRule="auto"/>
      </w:pPr>
    </w:p>
    <w:p w:rsidR="00F6226F" w:rsidRPr="00AE69FE" w:rsidRDefault="00F6226F" w:rsidP="00F6226F">
      <w:pPr>
        <w:suppressAutoHyphens/>
        <w:spacing w:line="360" w:lineRule="auto"/>
      </w:pPr>
      <w:r w:rsidRPr="00AE69FE">
        <w:lastRenderedPageBreak/>
        <w:t xml:space="preserve">De verplichtingenbegroting neemt per saldo met € 80,8 miljoen af. De toevoeging van de eindejaarsmarge en de doorwerking van de hogere ontvangsten werken niet door op het verplichtingenbudget van het investeringsartikel voorzien in nieuw materieel (€ 74 miljoen). Het overige verschil komt voort uit mutaties in de uitgaven die ook verplichtingenmutaties bevatten. </w:t>
      </w:r>
    </w:p>
    <w:p w:rsidR="00F6226F" w:rsidRPr="00AE69FE" w:rsidRDefault="00F6226F" w:rsidP="00F6226F">
      <w:pPr>
        <w:spacing w:line="360" w:lineRule="auto"/>
      </w:pPr>
    </w:p>
    <w:p w:rsidR="00F6226F" w:rsidRPr="00AE69FE" w:rsidRDefault="00F6226F" w:rsidP="00F6226F">
      <w:pPr>
        <w:pStyle w:val="Kop6"/>
        <w:spacing w:line="360" w:lineRule="auto"/>
        <w:jc w:val="left"/>
        <w:rPr>
          <w:b w:val="0"/>
          <w:i/>
          <w:sz w:val="20"/>
        </w:rPr>
      </w:pPr>
      <w:r w:rsidRPr="00AE69FE">
        <w:rPr>
          <w:b w:val="0"/>
          <w:i/>
          <w:sz w:val="20"/>
        </w:rPr>
        <w:t>Toelichtingen</w:t>
      </w:r>
    </w:p>
    <w:p w:rsidR="00F6226F" w:rsidRPr="00AE69FE" w:rsidRDefault="00F6226F" w:rsidP="00F6226F">
      <w:pPr>
        <w:spacing w:line="360" w:lineRule="auto"/>
      </w:pPr>
      <w:r w:rsidRPr="00AE69FE">
        <w:t xml:space="preserve">Per begrotingsartikel zijn de wijzigingen naar aard en oorzaak gerangschikt in een tabel met autonome en beleidsmatige mutaties. Naast de beleidsmatige mutaties worden ook omvangrijke autonome mutaties toegelicht. </w:t>
      </w:r>
    </w:p>
    <w:p w:rsidR="00F6226F" w:rsidRPr="00AE69FE" w:rsidRDefault="00F6226F" w:rsidP="00F6226F">
      <w:pPr>
        <w:pStyle w:val="Kop1"/>
        <w:spacing w:line="360" w:lineRule="auto"/>
        <w:rPr>
          <w:b/>
          <w:sz w:val="20"/>
          <w:lang w:val="nl-NL"/>
        </w:rPr>
      </w:pPr>
    </w:p>
    <w:p w:rsidR="00F6226F" w:rsidRPr="00AE69FE" w:rsidRDefault="00F6226F" w:rsidP="00F6226F">
      <w:pPr>
        <w:pStyle w:val="Kop1"/>
        <w:spacing w:line="360" w:lineRule="auto"/>
        <w:rPr>
          <w:b/>
          <w:sz w:val="20"/>
          <w:lang w:val="nl-NL"/>
        </w:rPr>
      </w:pPr>
      <w:r w:rsidRPr="00AE69FE">
        <w:rPr>
          <w:b/>
          <w:sz w:val="20"/>
          <w:lang w:val="nl-NL"/>
        </w:rPr>
        <w:t>2. Het beleid</w:t>
      </w:r>
    </w:p>
    <w:p w:rsidR="00F6226F" w:rsidRPr="00AE69FE" w:rsidRDefault="00F6226F" w:rsidP="00F6226F">
      <w:pPr>
        <w:pStyle w:val="Kop8"/>
        <w:spacing w:line="360" w:lineRule="auto"/>
        <w:rPr>
          <w:sz w:val="20"/>
          <w:lang w:val="nl-NL"/>
        </w:rPr>
      </w:pPr>
      <w:r w:rsidRPr="00AE69FE">
        <w:rPr>
          <w:sz w:val="20"/>
          <w:lang w:val="nl-NL"/>
        </w:rPr>
        <w:t>Algemeen</w:t>
      </w:r>
    </w:p>
    <w:p w:rsidR="00F6226F" w:rsidRPr="00AE69FE" w:rsidRDefault="00F6226F" w:rsidP="00F6226F">
      <w:pPr>
        <w:spacing w:line="360" w:lineRule="auto"/>
        <w:ind w:right="1"/>
        <w:jc w:val="both"/>
      </w:pPr>
      <w:r w:rsidRPr="00AE69FE">
        <w:t>Met dit wetsvoorstel wordt voorgesteld de begroting van de uitgaven en de ontvangsten van het ministerie van Defensie (X) voor het jaar 2015 met € 6,6 miljoen te verlagen respectievelijk met € 35,8 miljoen te verhogen.</w:t>
      </w:r>
    </w:p>
    <w:p w:rsidR="00F6226F" w:rsidRPr="00AE69FE" w:rsidRDefault="00F6226F" w:rsidP="00F6226F">
      <w:pPr>
        <w:spacing w:line="360" w:lineRule="auto"/>
        <w:ind w:right="1"/>
      </w:pPr>
    </w:p>
    <w:p w:rsidR="00F6226F" w:rsidRPr="00AE69FE" w:rsidRDefault="00F6226F" w:rsidP="00F6226F">
      <w:pPr>
        <w:spacing w:line="360" w:lineRule="auto"/>
        <w:ind w:right="1"/>
      </w:pPr>
      <w:r w:rsidRPr="00AE69FE">
        <w:t>De mutaties die tot deze aanpassingen leiden, worden in de Voorjaarsnota 2015 opgenomen.</w:t>
      </w:r>
    </w:p>
    <w:p w:rsidR="00F6226F" w:rsidRPr="00AE69FE" w:rsidRDefault="00F6226F" w:rsidP="00F6226F">
      <w:pPr>
        <w:spacing w:line="360" w:lineRule="auto"/>
        <w:ind w:right="1"/>
      </w:pPr>
    </w:p>
    <w:p w:rsidR="00F6226F" w:rsidRPr="00AE69FE" w:rsidRDefault="00F6226F" w:rsidP="00F6226F">
      <w:pPr>
        <w:spacing w:line="360" w:lineRule="auto"/>
        <w:ind w:right="1"/>
      </w:pPr>
      <w:r w:rsidRPr="00AE69FE">
        <w:t xml:space="preserve">De cijfermatige aansluiting van de begrotingsstaten is als volgt: </w:t>
      </w:r>
    </w:p>
    <w:p w:rsidR="00F6226F" w:rsidRPr="00AE69FE" w:rsidRDefault="00F6226F" w:rsidP="00F6226F">
      <w:pPr>
        <w:spacing w:line="360" w:lineRule="auto"/>
        <w:ind w:right="1"/>
      </w:pPr>
    </w:p>
    <w:p w:rsidR="00F6226F" w:rsidRPr="00AE69FE" w:rsidRDefault="00F6226F" w:rsidP="00F6226F">
      <w:pPr>
        <w:spacing w:line="360" w:lineRule="auto"/>
        <w:ind w:right="1"/>
        <w:jc w:val="both"/>
        <w:rPr>
          <w:b/>
        </w:rPr>
      </w:pPr>
      <w:r w:rsidRPr="00AE69FE">
        <w:rPr>
          <w:b/>
        </w:rPr>
        <w:t>Uitgaven</w:t>
      </w:r>
    </w:p>
    <w:p w:rsidR="00F6226F" w:rsidRPr="00AE69FE" w:rsidRDefault="00F6226F" w:rsidP="00F6226F">
      <w:pPr>
        <w:spacing w:line="360" w:lineRule="auto"/>
        <w:ind w:right="1"/>
        <w:jc w:val="both"/>
      </w:pPr>
    </w:p>
    <w:tbl>
      <w:tblPr>
        <w:tblW w:w="0" w:type="auto"/>
        <w:tblLayout w:type="fixed"/>
        <w:tblCellMar>
          <w:left w:w="70" w:type="dxa"/>
          <w:right w:w="70" w:type="dxa"/>
        </w:tblCellMar>
        <w:tblLook w:val="0000" w:firstRow="0" w:lastRow="0" w:firstColumn="0" w:lastColumn="0" w:noHBand="0" w:noVBand="0"/>
      </w:tblPr>
      <w:tblGrid>
        <w:gridCol w:w="5032"/>
        <w:gridCol w:w="1338"/>
        <w:gridCol w:w="1080"/>
        <w:gridCol w:w="360"/>
      </w:tblGrid>
      <w:tr w:rsidR="00F6226F" w:rsidRPr="00AE69FE" w:rsidTr="00175626">
        <w:tc>
          <w:tcPr>
            <w:tcW w:w="5032" w:type="dxa"/>
          </w:tcPr>
          <w:p w:rsidR="00F6226F" w:rsidRPr="00AE69FE" w:rsidRDefault="00F6226F" w:rsidP="00175626">
            <w:pPr>
              <w:jc w:val="both"/>
            </w:pPr>
            <w:r w:rsidRPr="00AE69FE">
              <w:t xml:space="preserve">Vastgestelde begroting 2015  </w:t>
            </w:r>
          </w:p>
          <w:p w:rsidR="00F6226F" w:rsidRPr="00AE69FE" w:rsidRDefault="00F6226F" w:rsidP="00175626">
            <w:pPr>
              <w:jc w:val="both"/>
            </w:pPr>
          </w:p>
        </w:tc>
        <w:tc>
          <w:tcPr>
            <w:tcW w:w="1338" w:type="dxa"/>
          </w:tcPr>
          <w:p w:rsidR="00F6226F" w:rsidRPr="00AE69FE" w:rsidRDefault="00F6226F" w:rsidP="00175626">
            <w:pPr>
              <w:jc w:val="both"/>
            </w:pPr>
            <w:r w:rsidRPr="00AE69FE">
              <w:t xml:space="preserve"> € 8.000,363</w:t>
            </w:r>
          </w:p>
          <w:p w:rsidR="00F6226F" w:rsidRPr="00AE69FE" w:rsidRDefault="00F6226F" w:rsidP="00175626">
            <w:pPr>
              <w:jc w:val="both"/>
            </w:pPr>
          </w:p>
        </w:tc>
        <w:tc>
          <w:tcPr>
            <w:tcW w:w="1080" w:type="dxa"/>
          </w:tcPr>
          <w:p w:rsidR="00F6226F" w:rsidRPr="00AE69FE" w:rsidRDefault="00F6226F" w:rsidP="00175626">
            <w:pPr>
              <w:jc w:val="both"/>
            </w:pPr>
            <w:r w:rsidRPr="00AE69FE">
              <w:t>Miljoen</w:t>
            </w:r>
          </w:p>
          <w:p w:rsidR="00F6226F" w:rsidRPr="00AE69FE" w:rsidRDefault="00F6226F" w:rsidP="00175626">
            <w:pPr>
              <w:jc w:val="both"/>
            </w:pPr>
          </w:p>
        </w:tc>
        <w:tc>
          <w:tcPr>
            <w:tcW w:w="360" w:type="dxa"/>
          </w:tcPr>
          <w:p w:rsidR="00F6226F" w:rsidRPr="00AE69FE" w:rsidRDefault="00F6226F" w:rsidP="00175626">
            <w:pPr>
              <w:jc w:val="both"/>
            </w:pPr>
          </w:p>
        </w:tc>
      </w:tr>
      <w:tr w:rsidR="00F6226F" w:rsidRPr="00AE69FE" w:rsidTr="00175626">
        <w:tc>
          <w:tcPr>
            <w:tcW w:w="5032" w:type="dxa"/>
          </w:tcPr>
          <w:p w:rsidR="00F6226F" w:rsidRPr="00AE69FE" w:rsidRDefault="00F6226F" w:rsidP="00175626">
            <w:pPr>
              <w:jc w:val="both"/>
            </w:pPr>
            <w:r w:rsidRPr="00AE69FE">
              <w:t>Wijzigingen 1e suppletoire begroting 2015</w:t>
            </w:r>
          </w:p>
        </w:tc>
        <w:tc>
          <w:tcPr>
            <w:tcW w:w="1338" w:type="dxa"/>
            <w:tcBorders>
              <w:bottom w:val="single" w:sz="4" w:space="0" w:color="auto"/>
            </w:tcBorders>
          </w:tcPr>
          <w:p w:rsidR="00F6226F" w:rsidRPr="00AE69FE" w:rsidRDefault="00F6226F" w:rsidP="00175626">
            <w:pPr>
              <w:jc w:val="both"/>
            </w:pPr>
            <w:r w:rsidRPr="00AE69FE">
              <w:t xml:space="preserve"> €    -   6,552 </w:t>
            </w:r>
          </w:p>
        </w:tc>
        <w:tc>
          <w:tcPr>
            <w:tcW w:w="1080" w:type="dxa"/>
            <w:tcBorders>
              <w:bottom w:val="single" w:sz="4" w:space="0" w:color="auto"/>
            </w:tcBorders>
          </w:tcPr>
          <w:p w:rsidR="00F6226F" w:rsidRPr="00AE69FE" w:rsidRDefault="00F6226F" w:rsidP="00175626">
            <w:pPr>
              <w:jc w:val="both"/>
            </w:pPr>
            <w:r w:rsidRPr="00AE69FE">
              <w:t>Miljoen</w:t>
            </w:r>
          </w:p>
        </w:tc>
        <w:tc>
          <w:tcPr>
            <w:tcW w:w="360" w:type="dxa"/>
          </w:tcPr>
          <w:p w:rsidR="00F6226F" w:rsidRPr="00AE69FE" w:rsidRDefault="00F6226F" w:rsidP="00175626">
            <w:pPr>
              <w:jc w:val="both"/>
            </w:pPr>
          </w:p>
        </w:tc>
      </w:tr>
      <w:tr w:rsidR="00F6226F" w:rsidRPr="00AE69FE" w:rsidTr="00175626">
        <w:tc>
          <w:tcPr>
            <w:tcW w:w="5032" w:type="dxa"/>
          </w:tcPr>
          <w:p w:rsidR="00F6226F" w:rsidRPr="00AE69FE" w:rsidRDefault="00F6226F" w:rsidP="00175626">
            <w:pPr>
              <w:jc w:val="both"/>
            </w:pPr>
          </w:p>
        </w:tc>
        <w:tc>
          <w:tcPr>
            <w:tcW w:w="1338" w:type="dxa"/>
            <w:tcBorders>
              <w:top w:val="single" w:sz="4" w:space="0" w:color="auto"/>
            </w:tcBorders>
          </w:tcPr>
          <w:p w:rsidR="00F6226F" w:rsidRPr="00AE69FE" w:rsidRDefault="00F6226F" w:rsidP="00175626">
            <w:pPr>
              <w:jc w:val="both"/>
            </w:pPr>
          </w:p>
        </w:tc>
        <w:tc>
          <w:tcPr>
            <w:tcW w:w="1080" w:type="dxa"/>
            <w:tcBorders>
              <w:top w:val="single" w:sz="4" w:space="0" w:color="auto"/>
            </w:tcBorders>
          </w:tcPr>
          <w:p w:rsidR="00F6226F" w:rsidRPr="00AE69FE" w:rsidRDefault="00F6226F" w:rsidP="00175626">
            <w:pPr>
              <w:jc w:val="both"/>
            </w:pPr>
          </w:p>
        </w:tc>
        <w:tc>
          <w:tcPr>
            <w:tcW w:w="360" w:type="dxa"/>
          </w:tcPr>
          <w:p w:rsidR="00F6226F" w:rsidRPr="00AE69FE" w:rsidRDefault="00F6226F" w:rsidP="00175626">
            <w:pPr>
              <w:jc w:val="both"/>
            </w:pPr>
          </w:p>
        </w:tc>
      </w:tr>
      <w:tr w:rsidR="00F6226F" w:rsidRPr="00AE69FE" w:rsidTr="00175626">
        <w:tc>
          <w:tcPr>
            <w:tcW w:w="5032" w:type="dxa"/>
          </w:tcPr>
          <w:p w:rsidR="00F6226F" w:rsidRPr="00AE69FE" w:rsidRDefault="00F6226F" w:rsidP="00175626">
            <w:pPr>
              <w:jc w:val="both"/>
            </w:pPr>
            <w:r w:rsidRPr="00AE69FE">
              <w:t>Stand Voorjaarsnota 2015</w:t>
            </w:r>
          </w:p>
        </w:tc>
        <w:tc>
          <w:tcPr>
            <w:tcW w:w="1338" w:type="dxa"/>
          </w:tcPr>
          <w:p w:rsidR="00F6226F" w:rsidRPr="00AE69FE" w:rsidRDefault="00F6226F" w:rsidP="00175626">
            <w:pPr>
              <w:jc w:val="both"/>
            </w:pPr>
            <w:r w:rsidRPr="00AE69FE">
              <w:t xml:space="preserve"> € 7.993,811</w:t>
            </w:r>
          </w:p>
        </w:tc>
        <w:tc>
          <w:tcPr>
            <w:tcW w:w="1080" w:type="dxa"/>
          </w:tcPr>
          <w:p w:rsidR="00F6226F" w:rsidRPr="00AE69FE" w:rsidRDefault="00F6226F" w:rsidP="00175626">
            <w:pPr>
              <w:jc w:val="both"/>
            </w:pPr>
            <w:r w:rsidRPr="00AE69FE">
              <w:t>Miljoen</w:t>
            </w:r>
          </w:p>
        </w:tc>
        <w:tc>
          <w:tcPr>
            <w:tcW w:w="360" w:type="dxa"/>
          </w:tcPr>
          <w:p w:rsidR="00F6226F" w:rsidRPr="00AE69FE" w:rsidRDefault="00F6226F" w:rsidP="00175626">
            <w:pPr>
              <w:jc w:val="both"/>
            </w:pPr>
          </w:p>
        </w:tc>
      </w:tr>
    </w:tbl>
    <w:p w:rsidR="00F6226F" w:rsidRPr="00AE69FE" w:rsidRDefault="00F6226F" w:rsidP="00F6226F">
      <w:pPr>
        <w:jc w:val="both"/>
      </w:pPr>
    </w:p>
    <w:p w:rsidR="00F6226F" w:rsidRPr="00AE69FE" w:rsidRDefault="00F6226F" w:rsidP="00F6226F">
      <w:pPr>
        <w:spacing w:line="360" w:lineRule="auto"/>
        <w:ind w:right="1"/>
        <w:jc w:val="both"/>
      </w:pPr>
    </w:p>
    <w:p w:rsidR="00F6226F" w:rsidRPr="00AE69FE" w:rsidRDefault="00F6226F" w:rsidP="00F6226F">
      <w:pPr>
        <w:spacing w:line="360" w:lineRule="auto"/>
        <w:ind w:right="1"/>
        <w:jc w:val="both"/>
        <w:rPr>
          <w:b/>
        </w:rPr>
      </w:pPr>
      <w:r w:rsidRPr="00AE69FE">
        <w:rPr>
          <w:b/>
        </w:rPr>
        <w:t>Ontvangsten</w:t>
      </w:r>
    </w:p>
    <w:p w:rsidR="00F6226F" w:rsidRPr="00AE69FE" w:rsidRDefault="00F6226F" w:rsidP="00F6226F">
      <w:pPr>
        <w:spacing w:line="360" w:lineRule="auto"/>
        <w:ind w:right="1"/>
        <w:jc w:val="both"/>
      </w:pPr>
    </w:p>
    <w:tbl>
      <w:tblPr>
        <w:tblW w:w="0" w:type="auto"/>
        <w:tblLayout w:type="fixed"/>
        <w:tblCellMar>
          <w:left w:w="70" w:type="dxa"/>
          <w:right w:w="70" w:type="dxa"/>
        </w:tblCellMar>
        <w:tblLook w:val="0000" w:firstRow="0" w:lastRow="0" w:firstColumn="0" w:lastColumn="0" w:noHBand="0" w:noVBand="0"/>
      </w:tblPr>
      <w:tblGrid>
        <w:gridCol w:w="5032"/>
        <w:gridCol w:w="1338"/>
        <w:gridCol w:w="1080"/>
        <w:gridCol w:w="360"/>
      </w:tblGrid>
      <w:tr w:rsidR="00F6226F" w:rsidRPr="00AE69FE" w:rsidTr="00175626">
        <w:tc>
          <w:tcPr>
            <w:tcW w:w="5032" w:type="dxa"/>
          </w:tcPr>
          <w:p w:rsidR="00F6226F" w:rsidRPr="00AE69FE" w:rsidRDefault="00F6226F" w:rsidP="00175626">
            <w:pPr>
              <w:jc w:val="both"/>
            </w:pPr>
            <w:r w:rsidRPr="00AE69FE">
              <w:t xml:space="preserve">Vastgestelde begroting 2015 </w:t>
            </w:r>
          </w:p>
        </w:tc>
        <w:tc>
          <w:tcPr>
            <w:tcW w:w="1338" w:type="dxa"/>
          </w:tcPr>
          <w:p w:rsidR="00F6226F" w:rsidRPr="00AE69FE" w:rsidRDefault="00F6226F" w:rsidP="00175626">
            <w:pPr>
              <w:jc w:val="right"/>
            </w:pPr>
            <w:r w:rsidRPr="00AE69FE">
              <w:t>€  323,062</w:t>
            </w:r>
          </w:p>
        </w:tc>
        <w:tc>
          <w:tcPr>
            <w:tcW w:w="1080" w:type="dxa"/>
          </w:tcPr>
          <w:p w:rsidR="00F6226F" w:rsidRPr="00AE69FE" w:rsidRDefault="00F6226F" w:rsidP="00175626">
            <w:pPr>
              <w:pStyle w:val="Voettekst"/>
              <w:tabs>
                <w:tab w:val="clear" w:pos="4536"/>
                <w:tab w:val="clear" w:pos="9072"/>
              </w:tabs>
            </w:pPr>
            <w:r w:rsidRPr="00AE69FE">
              <w:t>Miljoen</w:t>
            </w:r>
          </w:p>
        </w:tc>
        <w:tc>
          <w:tcPr>
            <w:tcW w:w="360" w:type="dxa"/>
          </w:tcPr>
          <w:p w:rsidR="00F6226F" w:rsidRPr="00AE69FE" w:rsidRDefault="00F6226F" w:rsidP="00175626">
            <w:pPr>
              <w:jc w:val="right"/>
            </w:pPr>
          </w:p>
        </w:tc>
      </w:tr>
      <w:tr w:rsidR="00F6226F" w:rsidRPr="00AE69FE" w:rsidTr="00175626">
        <w:tc>
          <w:tcPr>
            <w:tcW w:w="5032" w:type="dxa"/>
          </w:tcPr>
          <w:p w:rsidR="00F6226F" w:rsidRPr="00AE69FE" w:rsidRDefault="00F6226F" w:rsidP="00175626">
            <w:pPr>
              <w:jc w:val="both"/>
            </w:pPr>
          </w:p>
        </w:tc>
        <w:tc>
          <w:tcPr>
            <w:tcW w:w="1338" w:type="dxa"/>
          </w:tcPr>
          <w:p w:rsidR="00F6226F" w:rsidRPr="00AE69FE" w:rsidRDefault="00F6226F" w:rsidP="00175626">
            <w:pPr>
              <w:jc w:val="right"/>
            </w:pPr>
          </w:p>
        </w:tc>
        <w:tc>
          <w:tcPr>
            <w:tcW w:w="1080" w:type="dxa"/>
          </w:tcPr>
          <w:p w:rsidR="00F6226F" w:rsidRPr="00AE69FE" w:rsidRDefault="00F6226F" w:rsidP="00175626"/>
        </w:tc>
        <w:tc>
          <w:tcPr>
            <w:tcW w:w="360" w:type="dxa"/>
          </w:tcPr>
          <w:p w:rsidR="00F6226F" w:rsidRPr="00AE69FE" w:rsidRDefault="00F6226F" w:rsidP="00175626">
            <w:pPr>
              <w:jc w:val="right"/>
            </w:pPr>
          </w:p>
        </w:tc>
      </w:tr>
      <w:tr w:rsidR="00F6226F" w:rsidRPr="00AE69FE" w:rsidTr="00175626">
        <w:tc>
          <w:tcPr>
            <w:tcW w:w="5032" w:type="dxa"/>
          </w:tcPr>
          <w:p w:rsidR="00F6226F" w:rsidRPr="00AE69FE" w:rsidRDefault="00F6226F" w:rsidP="00175626">
            <w:pPr>
              <w:jc w:val="both"/>
            </w:pPr>
            <w:r w:rsidRPr="00AE69FE">
              <w:t>Wijzigingen 1e suppletoire begroting 2015</w:t>
            </w:r>
          </w:p>
        </w:tc>
        <w:tc>
          <w:tcPr>
            <w:tcW w:w="1338" w:type="dxa"/>
          </w:tcPr>
          <w:p w:rsidR="00F6226F" w:rsidRPr="00AE69FE" w:rsidRDefault="00F6226F" w:rsidP="00175626">
            <w:r w:rsidRPr="00AE69FE">
              <w:t xml:space="preserve">     €   35,798</w:t>
            </w:r>
          </w:p>
        </w:tc>
        <w:tc>
          <w:tcPr>
            <w:tcW w:w="1080" w:type="dxa"/>
          </w:tcPr>
          <w:p w:rsidR="00F6226F" w:rsidRPr="00AE69FE" w:rsidRDefault="00F6226F" w:rsidP="00175626">
            <w:pPr>
              <w:pStyle w:val="Voettekst"/>
              <w:tabs>
                <w:tab w:val="clear" w:pos="4536"/>
                <w:tab w:val="clear" w:pos="9072"/>
              </w:tabs>
            </w:pPr>
            <w:r w:rsidRPr="00AE69FE">
              <w:t>Miljoen</w:t>
            </w:r>
          </w:p>
        </w:tc>
        <w:tc>
          <w:tcPr>
            <w:tcW w:w="360" w:type="dxa"/>
          </w:tcPr>
          <w:p w:rsidR="00F6226F" w:rsidRPr="00AE69FE" w:rsidRDefault="00F6226F" w:rsidP="00175626">
            <w:pPr>
              <w:pStyle w:val="Voettekst"/>
              <w:tabs>
                <w:tab w:val="clear" w:pos="4536"/>
                <w:tab w:val="clear" w:pos="9072"/>
              </w:tabs>
            </w:pPr>
          </w:p>
        </w:tc>
      </w:tr>
      <w:tr w:rsidR="00F6226F" w:rsidRPr="00AE69FE" w:rsidTr="00175626">
        <w:tc>
          <w:tcPr>
            <w:tcW w:w="5032" w:type="dxa"/>
          </w:tcPr>
          <w:p w:rsidR="00F6226F" w:rsidRPr="00AE69FE" w:rsidRDefault="00F6226F" w:rsidP="00175626">
            <w:pPr>
              <w:jc w:val="both"/>
            </w:pPr>
          </w:p>
        </w:tc>
        <w:tc>
          <w:tcPr>
            <w:tcW w:w="1338" w:type="dxa"/>
            <w:tcBorders>
              <w:top w:val="single" w:sz="4" w:space="0" w:color="auto"/>
            </w:tcBorders>
          </w:tcPr>
          <w:p w:rsidR="00F6226F" w:rsidRPr="00AE69FE" w:rsidRDefault="00F6226F" w:rsidP="00175626">
            <w:pPr>
              <w:jc w:val="right"/>
            </w:pPr>
          </w:p>
        </w:tc>
        <w:tc>
          <w:tcPr>
            <w:tcW w:w="1080" w:type="dxa"/>
            <w:tcBorders>
              <w:top w:val="single" w:sz="4" w:space="0" w:color="auto"/>
            </w:tcBorders>
          </w:tcPr>
          <w:p w:rsidR="00F6226F" w:rsidRPr="00AE69FE" w:rsidRDefault="00F6226F" w:rsidP="00175626"/>
        </w:tc>
        <w:tc>
          <w:tcPr>
            <w:tcW w:w="360" w:type="dxa"/>
          </w:tcPr>
          <w:p w:rsidR="00F6226F" w:rsidRPr="00AE69FE" w:rsidRDefault="00F6226F" w:rsidP="00175626">
            <w:pPr>
              <w:jc w:val="right"/>
            </w:pPr>
          </w:p>
        </w:tc>
      </w:tr>
      <w:tr w:rsidR="00F6226F" w:rsidRPr="00AE69FE" w:rsidTr="00175626">
        <w:tc>
          <w:tcPr>
            <w:tcW w:w="5032" w:type="dxa"/>
          </w:tcPr>
          <w:p w:rsidR="00F6226F" w:rsidRPr="00AE69FE" w:rsidRDefault="00F6226F" w:rsidP="00175626">
            <w:pPr>
              <w:jc w:val="both"/>
            </w:pPr>
            <w:r w:rsidRPr="00AE69FE">
              <w:t>Stand Voorjaarsnota 2015</w:t>
            </w:r>
          </w:p>
        </w:tc>
        <w:tc>
          <w:tcPr>
            <w:tcW w:w="1338" w:type="dxa"/>
          </w:tcPr>
          <w:p w:rsidR="00F6226F" w:rsidRPr="00AE69FE" w:rsidRDefault="00F6226F" w:rsidP="00175626">
            <w:pPr>
              <w:jc w:val="right"/>
            </w:pPr>
            <w:r w:rsidRPr="00AE69FE">
              <w:t>€  358,860</w:t>
            </w:r>
          </w:p>
        </w:tc>
        <w:tc>
          <w:tcPr>
            <w:tcW w:w="1080" w:type="dxa"/>
          </w:tcPr>
          <w:p w:rsidR="00F6226F" w:rsidRPr="00AE69FE" w:rsidRDefault="00F6226F" w:rsidP="00175626">
            <w:r w:rsidRPr="00AE69FE">
              <w:t>Miljoen</w:t>
            </w:r>
          </w:p>
        </w:tc>
        <w:tc>
          <w:tcPr>
            <w:tcW w:w="360" w:type="dxa"/>
          </w:tcPr>
          <w:p w:rsidR="00F6226F" w:rsidRPr="00AE69FE" w:rsidRDefault="00F6226F" w:rsidP="00175626">
            <w:pPr>
              <w:jc w:val="right"/>
            </w:pPr>
          </w:p>
        </w:tc>
      </w:tr>
    </w:tbl>
    <w:p w:rsidR="00F6226F" w:rsidRPr="00AE69FE" w:rsidRDefault="00F6226F" w:rsidP="00F6226F">
      <w:pPr>
        <w:spacing w:line="360" w:lineRule="auto"/>
        <w:ind w:right="1"/>
        <w:jc w:val="both"/>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sectPr w:rsidR="00F6226F" w:rsidRPr="00AE69FE" w:rsidSect="005B2880">
          <w:pgSz w:w="11907" w:h="16840" w:code="9"/>
          <w:pgMar w:top="964" w:right="748" w:bottom="1134" w:left="1134" w:header="454" w:footer="709" w:gutter="0"/>
          <w:cols w:space="708"/>
        </w:sectPr>
      </w:pPr>
    </w:p>
    <w:p w:rsidR="00F6226F" w:rsidRPr="00AE69FE" w:rsidRDefault="00F6226F" w:rsidP="00F6226F">
      <w:pPr>
        <w:pStyle w:val="Voettekst"/>
        <w:tabs>
          <w:tab w:val="clear" w:pos="4536"/>
          <w:tab w:val="clear" w:pos="9072"/>
        </w:tabs>
        <w:spacing w:line="360" w:lineRule="auto"/>
      </w:pPr>
    </w:p>
    <w:p w:rsidR="00F6226F" w:rsidRPr="00AE69FE" w:rsidRDefault="00F6226F" w:rsidP="00F6226F">
      <w:pPr>
        <w:pStyle w:val="Voettekst"/>
        <w:tabs>
          <w:tab w:val="clear" w:pos="4536"/>
          <w:tab w:val="clear" w:pos="9072"/>
        </w:tabs>
        <w:spacing w:line="360" w:lineRule="auto"/>
        <w:rPr>
          <w:b/>
        </w:rPr>
      </w:pPr>
      <w:r w:rsidRPr="00AE69FE">
        <w:rPr>
          <w:b/>
        </w:rPr>
        <w:t>Overzicht uitgavenmutaties</w:t>
      </w:r>
    </w:p>
    <w:p w:rsidR="00F6226F" w:rsidRPr="00AE69FE" w:rsidRDefault="00F6226F" w:rsidP="00F6226F">
      <w:pPr>
        <w:pStyle w:val="Voettekst"/>
        <w:tabs>
          <w:tab w:val="clear" w:pos="4536"/>
          <w:tab w:val="clear" w:pos="9072"/>
        </w:tabs>
        <w:spacing w:line="360" w:lineRule="auto"/>
      </w:pPr>
    </w:p>
    <w:tbl>
      <w:tblPr>
        <w:tblW w:w="13800" w:type="dxa"/>
        <w:tblInd w:w="55" w:type="dxa"/>
        <w:tblCellMar>
          <w:left w:w="70" w:type="dxa"/>
          <w:right w:w="70" w:type="dxa"/>
        </w:tblCellMar>
        <w:tblLook w:val="04A0" w:firstRow="1" w:lastRow="0" w:firstColumn="1" w:lastColumn="0" w:noHBand="0" w:noVBand="1"/>
      </w:tblPr>
      <w:tblGrid>
        <w:gridCol w:w="2740"/>
        <w:gridCol w:w="800"/>
        <w:gridCol w:w="720"/>
        <w:gridCol w:w="760"/>
        <w:gridCol w:w="740"/>
        <w:gridCol w:w="740"/>
        <w:gridCol w:w="1240"/>
        <w:gridCol w:w="780"/>
        <w:gridCol w:w="780"/>
        <w:gridCol w:w="1000"/>
        <w:gridCol w:w="920"/>
        <w:gridCol w:w="727"/>
        <w:gridCol w:w="1060"/>
        <w:gridCol w:w="860"/>
      </w:tblGrid>
      <w:tr w:rsidR="00F6226F" w:rsidRPr="00AE69FE" w:rsidTr="00175626">
        <w:trPr>
          <w:trHeight w:val="270"/>
        </w:trPr>
        <w:tc>
          <w:tcPr>
            <w:tcW w:w="2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Bedragen x € 1 miljoen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70"/>
        </w:trPr>
        <w:tc>
          <w:tcPr>
            <w:tcW w:w="2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xml:space="preserve">artikel </w:t>
            </w:r>
          </w:p>
        </w:tc>
        <w:tc>
          <w:tcPr>
            <w:tcW w:w="80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1</w:t>
            </w:r>
          </w:p>
        </w:tc>
        <w:tc>
          <w:tcPr>
            <w:tcW w:w="72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2</w:t>
            </w:r>
          </w:p>
        </w:tc>
        <w:tc>
          <w:tcPr>
            <w:tcW w:w="7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3</w:t>
            </w:r>
          </w:p>
        </w:tc>
        <w:tc>
          <w:tcPr>
            <w:tcW w:w="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4</w:t>
            </w:r>
          </w:p>
        </w:tc>
        <w:tc>
          <w:tcPr>
            <w:tcW w:w="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5</w:t>
            </w:r>
          </w:p>
        </w:tc>
        <w:tc>
          <w:tcPr>
            <w:tcW w:w="12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6</w:t>
            </w:r>
          </w:p>
        </w:tc>
        <w:tc>
          <w:tcPr>
            <w:tcW w:w="78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7</w:t>
            </w:r>
          </w:p>
        </w:tc>
        <w:tc>
          <w:tcPr>
            <w:tcW w:w="78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8</w:t>
            </w:r>
          </w:p>
        </w:tc>
        <w:tc>
          <w:tcPr>
            <w:tcW w:w="100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9</w:t>
            </w:r>
          </w:p>
        </w:tc>
        <w:tc>
          <w:tcPr>
            <w:tcW w:w="92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10</w:t>
            </w:r>
          </w:p>
        </w:tc>
        <w:tc>
          <w:tcPr>
            <w:tcW w:w="6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11</w:t>
            </w:r>
          </w:p>
        </w:tc>
        <w:tc>
          <w:tcPr>
            <w:tcW w:w="10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12</w:t>
            </w:r>
          </w:p>
        </w:tc>
        <w:tc>
          <w:tcPr>
            <w:tcW w:w="8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 </w:t>
            </w:r>
          </w:p>
        </w:tc>
      </w:tr>
      <w:tr w:rsidR="00F6226F" w:rsidRPr="00AE69FE" w:rsidTr="00175626">
        <w:trPr>
          <w:trHeight w:val="780"/>
        </w:trPr>
        <w:tc>
          <w:tcPr>
            <w:tcW w:w="2740" w:type="dxa"/>
            <w:tcBorders>
              <w:top w:val="nil"/>
              <w:left w:val="nil"/>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Omschrijving</w:t>
            </w:r>
          </w:p>
        </w:tc>
        <w:tc>
          <w:tcPr>
            <w:tcW w:w="80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Inzet</w:t>
            </w:r>
          </w:p>
        </w:tc>
        <w:tc>
          <w:tcPr>
            <w:tcW w:w="72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CZSK</w:t>
            </w:r>
          </w:p>
        </w:tc>
        <w:tc>
          <w:tcPr>
            <w:tcW w:w="76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CLAS</w:t>
            </w:r>
          </w:p>
        </w:tc>
        <w:tc>
          <w:tcPr>
            <w:tcW w:w="74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CLSK</w:t>
            </w:r>
          </w:p>
        </w:tc>
        <w:tc>
          <w:tcPr>
            <w:tcW w:w="74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CKMar</w:t>
            </w:r>
          </w:p>
        </w:tc>
        <w:tc>
          <w:tcPr>
            <w:tcW w:w="1240" w:type="dxa"/>
            <w:tcBorders>
              <w:top w:val="nil"/>
              <w:left w:val="nil"/>
              <w:bottom w:val="single" w:sz="8" w:space="0" w:color="auto"/>
              <w:right w:val="nil"/>
            </w:tcBorders>
            <w:shd w:val="clear" w:color="000000" w:fill="FFFFFF"/>
            <w:vAlign w:val="bottom"/>
            <w:hideMark/>
          </w:tcPr>
          <w:p w:rsidR="00F6226F" w:rsidRPr="00AE69FE" w:rsidRDefault="00F6226F" w:rsidP="00175626">
            <w:pPr>
              <w:jc w:val="center"/>
              <w:rPr>
                <w:b/>
                <w:bCs/>
                <w:sz w:val="16"/>
                <w:szCs w:val="16"/>
              </w:rPr>
            </w:pPr>
            <w:r w:rsidRPr="00AE69FE">
              <w:rPr>
                <w:b/>
                <w:bCs/>
                <w:sz w:val="16"/>
                <w:szCs w:val="16"/>
              </w:rPr>
              <w:t>Investeringen krijgsmacht</w:t>
            </w:r>
          </w:p>
        </w:tc>
        <w:tc>
          <w:tcPr>
            <w:tcW w:w="78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DMO</w:t>
            </w:r>
          </w:p>
        </w:tc>
        <w:tc>
          <w:tcPr>
            <w:tcW w:w="78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CDC</w:t>
            </w:r>
          </w:p>
        </w:tc>
        <w:tc>
          <w:tcPr>
            <w:tcW w:w="1000" w:type="dxa"/>
            <w:tcBorders>
              <w:top w:val="nil"/>
              <w:left w:val="nil"/>
              <w:bottom w:val="single" w:sz="8" w:space="0" w:color="auto"/>
              <w:right w:val="nil"/>
            </w:tcBorders>
            <w:shd w:val="clear" w:color="000000" w:fill="FFFFFF"/>
            <w:vAlign w:val="bottom"/>
            <w:hideMark/>
          </w:tcPr>
          <w:p w:rsidR="00F6226F" w:rsidRPr="00AE69FE" w:rsidRDefault="00F6226F" w:rsidP="00175626">
            <w:pPr>
              <w:jc w:val="center"/>
              <w:rPr>
                <w:b/>
                <w:bCs/>
                <w:sz w:val="16"/>
                <w:szCs w:val="16"/>
              </w:rPr>
            </w:pPr>
            <w:r w:rsidRPr="00AE69FE">
              <w:rPr>
                <w:b/>
                <w:bCs/>
                <w:sz w:val="16"/>
                <w:szCs w:val="16"/>
              </w:rPr>
              <w:t>Algemeen</w:t>
            </w:r>
          </w:p>
        </w:tc>
        <w:tc>
          <w:tcPr>
            <w:tcW w:w="920" w:type="dxa"/>
            <w:tcBorders>
              <w:top w:val="nil"/>
              <w:left w:val="nil"/>
              <w:bottom w:val="single" w:sz="8" w:space="0" w:color="auto"/>
              <w:right w:val="nil"/>
            </w:tcBorders>
            <w:shd w:val="clear" w:color="000000" w:fill="FFFFFF"/>
            <w:vAlign w:val="bottom"/>
            <w:hideMark/>
          </w:tcPr>
          <w:p w:rsidR="00F6226F" w:rsidRPr="00AE69FE" w:rsidRDefault="00F6226F" w:rsidP="00175626">
            <w:pPr>
              <w:jc w:val="center"/>
              <w:rPr>
                <w:b/>
                <w:bCs/>
                <w:sz w:val="16"/>
                <w:szCs w:val="16"/>
              </w:rPr>
            </w:pPr>
            <w:r w:rsidRPr="00AE69FE">
              <w:rPr>
                <w:b/>
                <w:bCs/>
                <w:sz w:val="16"/>
                <w:szCs w:val="16"/>
              </w:rPr>
              <w:t>Centraal apparaat</w:t>
            </w:r>
          </w:p>
        </w:tc>
        <w:tc>
          <w:tcPr>
            <w:tcW w:w="66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Geheim</w:t>
            </w:r>
          </w:p>
        </w:tc>
        <w:tc>
          <w:tcPr>
            <w:tcW w:w="1060" w:type="dxa"/>
            <w:tcBorders>
              <w:top w:val="nil"/>
              <w:left w:val="nil"/>
              <w:bottom w:val="single" w:sz="8" w:space="0" w:color="auto"/>
              <w:right w:val="nil"/>
            </w:tcBorders>
            <w:shd w:val="clear" w:color="000000" w:fill="FFFFFF"/>
            <w:vAlign w:val="bottom"/>
            <w:hideMark/>
          </w:tcPr>
          <w:p w:rsidR="00F6226F" w:rsidRPr="00AE69FE" w:rsidRDefault="00F6226F" w:rsidP="00175626">
            <w:pPr>
              <w:jc w:val="center"/>
              <w:rPr>
                <w:b/>
                <w:bCs/>
                <w:sz w:val="16"/>
                <w:szCs w:val="16"/>
              </w:rPr>
            </w:pPr>
            <w:r w:rsidRPr="00AE69FE">
              <w:rPr>
                <w:b/>
                <w:bCs/>
                <w:sz w:val="16"/>
                <w:szCs w:val="16"/>
              </w:rPr>
              <w:t>Nominaal en onvoorzien</w:t>
            </w:r>
          </w:p>
        </w:tc>
        <w:tc>
          <w:tcPr>
            <w:tcW w:w="860" w:type="dxa"/>
            <w:tcBorders>
              <w:top w:val="nil"/>
              <w:left w:val="nil"/>
              <w:bottom w:val="single" w:sz="8" w:space="0" w:color="auto"/>
              <w:right w:val="nil"/>
            </w:tcBorders>
            <w:shd w:val="clear" w:color="000000" w:fill="FFFFFF"/>
            <w:noWrap/>
            <w:vAlign w:val="bottom"/>
            <w:hideMark/>
          </w:tcPr>
          <w:p w:rsidR="00F6226F" w:rsidRPr="00AE69FE" w:rsidRDefault="00F6226F" w:rsidP="00175626">
            <w:pPr>
              <w:jc w:val="center"/>
              <w:rPr>
                <w:b/>
                <w:bCs/>
                <w:sz w:val="16"/>
                <w:szCs w:val="16"/>
              </w:rPr>
            </w:pPr>
            <w:r w:rsidRPr="00AE69FE">
              <w:rPr>
                <w:b/>
                <w:bCs/>
                <w:sz w:val="16"/>
                <w:szCs w:val="16"/>
              </w:rPr>
              <w:t>Totaal</w:t>
            </w:r>
          </w:p>
        </w:tc>
      </w:tr>
      <w:tr w:rsidR="00F6226F" w:rsidRPr="00AE69FE" w:rsidTr="00175626">
        <w:trPr>
          <w:trHeight w:val="345"/>
        </w:trPr>
        <w:tc>
          <w:tcPr>
            <w:tcW w:w="2740" w:type="dxa"/>
            <w:tcBorders>
              <w:top w:val="nil"/>
              <w:left w:val="nil"/>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Begroting 2015 incl nota v wijz</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404,0</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696,2</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1.121,0</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644,3</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311,5</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1.308,5</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742,4</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1.037,7</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102,5</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1.599,8</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27,3</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8.000,4</w:t>
            </w:r>
          </w:p>
        </w:tc>
      </w:tr>
      <w:tr w:rsidR="00F6226F" w:rsidRPr="00AE69FE" w:rsidTr="00175626">
        <w:trPr>
          <w:trHeight w:val="255"/>
        </w:trPr>
        <w:tc>
          <w:tcPr>
            <w:tcW w:w="2740" w:type="dxa"/>
            <w:tcBorders>
              <w:top w:val="nil"/>
              <w:left w:val="nil"/>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Wijzigingen in samenhang</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xml:space="preserve">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2740" w:type="dxa"/>
            <w:tcBorders>
              <w:top w:val="nil"/>
              <w:left w:val="nil"/>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met de Voorjaarsnota 2015</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-76,1</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12,0</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42,2</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47,5</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10,4</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-103,5</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-16,4</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0,0</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52,7</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-6,6</w:t>
            </w:r>
          </w:p>
        </w:tc>
      </w:tr>
      <w:tr w:rsidR="00F6226F" w:rsidRPr="00AE69FE" w:rsidTr="00175626">
        <w:trPr>
          <w:trHeight w:val="255"/>
        </w:trPr>
        <w:tc>
          <w:tcPr>
            <w:tcW w:w="2740" w:type="dxa"/>
            <w:tcBorders>
              <w:top w:val="nil"/>
              <w:left w:val="nil"/>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 Beleidsmatige wijzigingen: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 Definitieve eindejaarsmarge</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31,6</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37,8</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0,7</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920" w:type="dxa"/>
            <w:tcBorders>
              <w:top w:val="nil"/>
              <w:left w:val="nil"/>
              <w:bottom w:val="nil"/>
              <w:right w:val="nil"/>
            </w:tcBorders>
            <w:shd w:val="clear" w:color="auto" w:fill="auto"/>
            <w:noWrap/>
            <w:vAlign w:val="bottom"/>
            <w:hideMark/>
          </w:tcPr>
          <w:p w:rsidR="00F6226F" w:rsidRPr="00AE69FE" w:rsidRDefault="00F6226F" w:rsidP="00175626">
            <w:pPr>
              <w:rPr>
                <w:szCs w:val="20"/>
              </w:rPr>
            </w:pP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72,9</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2. Spiegelen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-0,9</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0,5</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4,6</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0,2</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-22,8</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0,2</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23,5</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28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3. Herallocatie</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0,9</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21,9</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16,5</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0,1</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-19,0</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4,6</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-7,3</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-25,2</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28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4. BIV naar BHOS</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5. Financiering vanuit BIV</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-51,5</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4,5</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10,5</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22,0</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15,7</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2,7</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0,8</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0,6</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15,2</w:t>
            </w:r>
          </w:p>
        </w:tc>
      </w:tr>
      <w:tr w:rsidR="00F6226F" w:rsidRPr="00AE69FE" w:rsidTr="00175626">
        <w:trPr>
          <w:trHeight w:val="45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6. Overhevelingen tussen departementen &amp; mutaties generale middelen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3,9</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-2,3</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-11,1</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-8,6</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-0,7</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-0,1</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-0,3</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20,7</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-0,4</w:t>
            </w:r>
          </w:p>
        </w:tc>
      </w:tr>
      <w:tr w:rsidR="00F6226F" w:rsidRPr="00AE69FE" w:rsidTr="00175626">
        <w:trPr>
          <w:trHeight w:val="45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 xml:space="preserve">7. Herschikkingen tussen defensieonderdelen </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-0,2</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5,4</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0,2</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-4,8</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15,0</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3,3</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-0,1</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-23,7</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8. Premiedaling sociale lasten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-6,1</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-2,6</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-9,2</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28,1</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45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9. Afdracht eindheffing sociale lasten 2015</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-5,0</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-0,7</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-3,0</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-10,2</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46,4</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10. Doorwerking ontvangsten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0,5</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35,2</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35,7</w:t>
            </w:r>
          </w:p>
        </w:tc>
      </w:tr>
      <w:tr w:rsidR="00F6226F" w:rsidRPr="00AE69FE" w:rsidTr="00175626">
        <w:trPr>
          <w:trHeight w:val="255"/>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11. Herschikking formatie (inhuur)</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-19,0</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30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12. Kasschuif herijking DIP</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-96,6</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-96,6</w:t>
            </w:r>
          </w:p>
        </w:tc>
      </w:tr>
      <w:tr w:rsidR="00F6226F" w:rsidRPr="00AE69FE" w:rsidTr="00175626">
        <w:trPr>
          <w:trHeight w:val="30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13. Loon en prijsbijstelling</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0,4</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26,4</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26,8</w:t>
            </w:r>
          </w:p>
        </w:tc>
      </w:tr>
      <w:tr w:rsidR="00F6226F" w:rsidRPr="00AE69FE" w:rsidTr="00175626">
        <w:trPr>
          <w:trHeight w:val="30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14. Loonbijstelling 0,8% n.a.v. AV</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3,8</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6,7</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2,0</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7,1</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-27,3</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300"/>
        </w:trPr>
        <w:tc>
          <w:tcPr>
            <w:tcW w:w="2740" w:type="dxa"/>
            <w:tcBorders>
              <w:top w:val="nil"/>
              <w:left w:val="nil"/>
              <w:bottom w:val="nil"/>
              <w:right w:val="nil"/>
            </w:tcBorders>
            <w:shd w:val="clear" w:color="000000" w:fill="FFFFFF"/>
            <w:vAlign w:val="bottom"/>
            <w:hideMark/>
          </w:tcPr>
          <w:p w:rsidR="00F6226F" w:rsidRPr="00AE69FE" w:rsidRDefault="00F6226F" w:rsidP="00175626">
            <w:pPr>
              <w:rPr>
                <w:sz w:val="16"/>
                <w:szCs w:val="16"/>
              </w:rPr>
            </w:pPr>
            <w:r w:rsidRPr="00AE69FE">
              <w:rPr>
                <w:sz w:val="16"/>
                <w:szCs w:val="16"/>
              </w:rPr>
              <w:t>15. Herschikkingen tlv investeringen</w:t>
            </w:r>
          </w:p>
        </w:tc>
        <w:tc>
          <w:tcPr>
            <w:tcW w:w="8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2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27,0</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4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24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-66,7</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8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17,7</w:t>
            </w:r>
          </w:p>
        </w:tc>
        <w:tc>
          <w:tcPr>
            <w:tcW w:w="100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92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22,0</w:t>
            </w:r>
          </w:p>
        </w:tc>
        <w:tc>
          <w:tcPr>
            <w:tcW w:w="6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nil"/>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860" w:type="dxa"/>
            <w:tcBorders>
              <w:top w:val="nil"/>
              <w:left w:val="nil"/>
              <w:bottom w:val="nil"/>
              <w:right w:val="nil"/>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0,0</w:t>
            </w:r>
          </w:p>
        </w:tc>
      </w:tr>
      <w:tr w:rsidR="00F6226F" w:rsidRPr="00AE69FE" w:rsidTr="00175626">
        <w:trPr>
          <w:trHeight w:val="270"/>
        </w:trPr>
        <w:tc>
          <w:tcPr>
            <w:tcW w:w="2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Stand Voorjaarsnota 2015</w:t>
            </w:r>
          </w:p>
        </w:tc>
        <w:tc>
          <w:tcPr>
            <w:tcW w:w="80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328,0</w:t>
            </w:r>
          </w:p>
        </w:tc>
        <w:tc>
          <w:tcPr>
            <w:tcW w:w="72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708,2</w:t>
            </w:r>
          </w:p>
        </w:tc>
        <w:tc>
          <w:tcPr>
            <w:tcW w:w="7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1.163,2</w:t>
            </w:r>
          </w:p>
        </w:tc>
        <w:tc>
          <w:tcPr>
            <w:tcW w:w="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691,8</w:t>
            </w:r>
          </w:p>
        </w:tc>
        <w:tc>
          <w:tcPr>
            <w:tcW w:w="7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321,9</w:t>
            </w:r>
          </w:p>
        </w:tc>
        <w:tc>
          <w:tcPr>
            <w:tcW w:w="124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1.205,0</w:t>
            </w:r>
          </w:p>
        </w:tc>
        <w:tc>
          <w:tcPr>
            <w:tcW w:w="78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726,1</w:t>
            </w:r>
          </w:p>
        </w:tc>
        <w:tc>
          <w:tcPr>
            <w:tcW w:w="78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1.052,9</w:t>
            </w:r>
          </w:p>
        </w:tc>
        <w:tc>
          <w:tcPr>
            <w:tcW w:w="100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96,9</w:t>
            </w:r>
          </w:p>
        </w:tc>
        <w:tc>
          <w:tcPr>
            <w:tcW w:w="92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1.614,8</w:t>
            </w:r>
          </w:p>
        </w:tc>
        <w:tc>
          <w:tcPr>
            <w:tcW w:w="6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w:t>
            </w:r>
          </w:p>
        </w:tc>
        <w:tc>
          <w:tcPr>
            <w:tcW w:w="10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80,0</w:t>
            </w:r>
          </w:p>
        </w:tc>
        <w:tc>
          <w:tcPr>
            <w:tcW w:w="860" w:type="dxa"/>
            <w:tcBorders>
              <w:top w:val="single" w:sz="8" w:space="0" w:color="auto"/>
              <w:left w:val="nil"/>
              <w:bottom w:val="single" w:sz="8" w:space="0" w:color="auto"/>
              <w:right w:val="nil"/>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7.993,8</w:t>
            </w:r>
          </w:p>
        </w:tc>
      </w:tr>
    </w:tbl>
    <w:p w:rsidR="00F6226F" w:rsidRPr="00AE69FE" w:rsidRDefault="00F6226F" w:rsidP="00F6226F">
      <w:pPr>
        <w:pStyle w:val="Bijschrift"/>
        <w:rPr>
          <w:caps/>
          <w:sz w:val="20"/>
        </w:rPr>
        <w:sectPr w:rsidR="00F6226F" w:rsidRPr="00AE69FE" w:rsidSect="00114AC6">
          <w:pgSz w:w="16840" w:h="11907" w:orient="landscape" w:code="9"/>
          <w:pgMar w:top="1134" w:right="964" w:bottom="748" w:left="1134" w:header="454" w:footer="709" w:gutter="0"/>
          <w:cols w:space="708"/>
        </w:sectPr>
      </w:pPr>
      <w:r w:rsidRPr="00AE69FE">
        <w:t xml:space="preserve">De totalen kunnen afwijken van de som der losse delen als gevolg van afrondingen. </w:t>
      </w:r>
    </w:p>
    <w:p w:rsidR="00F6226F" w:rsidRPr="00AE69FE" w:rsidRDefault="00F6226F" w:rsidP="00F6226F">
      <w:pPr>
        <w:pStyle w:val="MinDefRubricering"/>
        <w:spacing w:line="360" w:lineRule="auto"/>
        <w:rPr>
          <w:caps w:val="0"/>
          <w:sz w:val="20"/>
        </w:rPr>
      </w:pPr>
      <w:r w:rsidRPr="00AE69FE">
        <w:rPr>
          <w:caps w:val="0"/>
          <w:sz w:val="20"/>
        </w:rPr>
        <w:lastRenderedPageBreak/>
        <w:t>Toelichting</w:t>
      </w:r>
    </w:p>
    <w:p w:rsidR="00F6226F" w:rsidRPr="00AE69FE" w:rsidRDefault="00F6226F" w:rsidP="00F6226F">
      <w:pPr>
        <w:pStyle w:val="MinDefBodytekst"/>
      </w:pPr>
    </w:p>
    <w:p w:rsidR="00F6226F" w:rsidRPr="00AE69FE" w:rsidRDefault="00F6226F" w:rsidP="00F6226F">
      <w:pPr>
        <w:spacing w:line="360" w:lineRule="auto"/>
        <w:ind w:right="1"/>
        <w:rPr>
          <w:i/>
        </w:rPr>
      </w:pPr>
      <w:r w:rsidRPr="00AE69FE">
        <w:rPr>
          <w:i/>
        </w:rPr>
        <w:t xml:space="preserve">1: Definitieve eindejaarsmarge </w:t>
      </w:r>
    </w:p>
    <w:p w:rsidR="00F6226F" w:rsidRPr="00AE69FE" w:rsidRDefault="00F6226F" w:rsidP="00F6226F">
      <w:pPr>
        <w:spacing w:line="360" w:lineRule="auto"/>
        <w:ind w:right="1"/>
      </w:pPr>
      <w:r w:rsidRPr="00AE69FE">
        <w:t xml:space="preserve">Het defensiebudget wordt opwaarts bijgesteld met een bedrag van € 72,9 miljoen. Dit betreft de definitieve eindejaarsmarge als gevolg van de (lager) gerealiseerde bedragen in 2014, waarvan € 32,3 miljoen betrekking heeft op HGIS/BIV en € 40,5 miljoen op Defensie. </w:t>
      </w:r>
    </w:p>
    <w:p w:rsidR="00F6226F" w:rsidRPr="00AE69FE" w:rsidRDefault="00F6226F" w:rsidP="00F6226F">
      <w:pPr>
        <w:spacing w:line="360" w:lineRule="auto"/>
        <w:ind w:right="1"/>
      </w:pPr>
    </w:p>
    <w:p w:rsidR="00F6226F" w:rsidRPr="00AE69FE" w:rsidRDefault="00F6226F" w:rsidP="00F6226F">
      <w:pPr>
        <w:spacing w:line="360" w:lineRule="auto"/>
        <w:ind w:right="1"/>
        <w:rPr>
          <w:i/>
        </w:rPr>
      </w:pPr>
      <w:r w:rsidRPr="00AE69FE">
        <w:rPr>
          <w:i/>
        </w:rPr>
        <w:t xml:space="preserve">2  en 3: Spiegelen en herallocatie budgetten </w:t>
      </w:r>
    </w:p>
    <w:p w:rsidR="00F6226F" w:rsidRPr="00AE69FE" w:rsidRDefault="00F6226F" w:rsidP="00F6226F">
      <w:pPr>
        <w:spacing w:line="360" w:lineRule="auto"/>
        <w:rPr>
          <w:szCs w:val="20"/>
        </w:rPr>
      </w:pPr>
      <w:r w:rsidRPr="00AE69FE">
        <w:rPr>
          <w:szCs w:val="20"/>
        </w:rPr>
        <w:t xml:space="preserve">Door middel van herallocatie is een aantal budgettaire aandachtspunten opgelost. Dit betreft onder meer de budgetverhoging voor </w:t>
      </w:r>
      <w:r w:rsidRPr="00AE69FE">
        <w:rPr>
          <w:i/>
          <w:szCs w:val="20"/>
        </w:rPr>
        <w:t xml:space="preserve">Foreign Military Sales </w:t>
      </w:r>
      <w:r w:rsidRPr="00AE69FE">
        <w:rPr>
          <w:szCs w:val="20"/>
        </w:rPr>
        <w:t>(€ 11,7 miljoen)</w:t>
      </w:r>
      <w:r w:rsidRPr="00AE69FE">
        <w:rPr>
          <w:i/>
          <w:szCs w:val="20"/>
        </w:rPr>
        <w:t>,</w:t>
      </w:r>
      <w:r w:rsidRPr="00AE69FE">
        <w:rPr>
          <w:szCs w:val="20"/>
        </w:rPr>
        <w:t xml:space="preserve"> de uitgestelde oprichting van de </w:t>
      </w:r>
      <w:r w:rsidRPr="00AE69FE">
        <w:t xml:space="preserve">Defensie Gezondheidszorg Organisatie (€ 24 miljoen), milieubeleid (€ 0,9 miljoen), financiering incidentele pilots reservisten (€ 5,3 miljoen), dekking uitzendbonussen (€ 0,9 miljoen), verhoging instandhoudingsbudgetten van het CLAS (€ 4 miljoen) en inhuur </w:t>
      </w:r>
      <w:r w:rsidRPr="00AE69FE">
        <w:rPr>
          <w:i/>
        </w:rPr>
        <w:t xml:space="preserve">Nationaal Training Centrum </w:t>
      </w:r>
      <w:r w:rsidRPr="00AE69FE">
        <w:t xml:space="preserve">(€ 1 miljoen), het internationale verhuiscontract (€ 3,7 miljoen) en tenslotte de beschikbaarheidsvergoeding en meerwerk voor het Nationaal Militair Museum (€ 5,3 miljoen). De dekking komt uit de onderrealisatie </w:t>
      </w:r>
      <w:r>
        <w:t xml:space="preserve">in </w:t>
      </w:r>
      <w:r w:rsidRPr="00AE69FE">
        <w:t>2014.</w:t>
      </w:r>
    </w:p>
    <w:p w:rsidR="00F6226F" w:rsidRPr="00AE69FE" w:rsidRDefault="00F6226F" w:rsidP="00F6226F">
      <w:pPr>
        <w:spacing w:line="360" w:lineRule="auto"/>
        <w:rPr>
          <w:szCs w:val="20"/>
        </w:rPr>
      </w:pPr>
    </w:p>
    <w:p w:rsidR="00F6226F" w:rsidRPr="00AE69FE" w:rsidRDefault="00F6226F" w:rsidP="00F6226F">
      <w:pPr>
        <w:spacing w:line="360" w:lineRule="auto"/>
        <w:rPr>
          <w:i/>
        </w:rPr>
      </w:pPr>
      <w:r w:rsidRPr="00AE69FE">
        <w:rPr>
          <w:i/>
        </w:rPr>
        <w:t>4  en 5: Budget Internationale veiligheid naar BH&amp;OS en de financiering vanuit het BIV</w:t>
      </w:r>
    </w:p>
    <w:p w:rsidR="00F6226F" w:rsidRPr="00AE69FE" w:rsidRDefault="00F6226F" w:rsidP="00F6226F">
      <w:pPr>
        <w:tabs>
          <w:tab w:val="left" w:pos="-1440"/>
          <w:tab w:val="left" w:pos="-720"/>
        </w:tabs>
        <w:suppressAutoHyphens/>
        <w:spacing w:line="360" w:lineRule="auto"/>
        <w:rPr>
          <w:szCs w:val="20"/>
        </w:rPr>
      </w:pPr>
      <w:r w:rsidRPr="00AE69FE">
        <w:rPr>
          <w:szCs w:val="20"/>
        </w:rPr>
        <w:t xml:space="preserve">Na interdepartementale besluitvorming wordt er vanuit Artikel 1 € 59,5 miljoen toegedeeld aan de overige artikelen van de Defensiebegroting. Het </w:t>
      </w:r>
      <w:r w:rsidRPr="00AE69FE">
        <w:t>gaat hierbij om activiteiten ter ondersteuning van de inzet van de VPD’s, activiteiten ten behoeve van training en capaciteitsopbouw, civiel-militaire capaciteiten, luchttransport ten behoeve van missies en operaties, een uitzendbare KMar-pool en nazorg</w:t>
      </w:r>
      <w:r w:rsidRPr="00AE69FE">
        <w:rPr>
          <w:szCs w:val="20"/>
        </w:rPr>
        <w:t xml:space="preserve"> (zie overzichtstabel, nr. 1 t/m 6). Daarnaast wordt er € 60 miljoen uit het BIV overgeheveld naar BZ en BH&amp;OS (zie overzichtstabel, nr. 7). </w:t>
      </w:r>
      <w:r w:rsidRPr="00AE69FE">
        <w:t>Vanuit dit bedrag worden activiteiten op het terrein van veiligheidssectorhervorming, bescherming van burgers in fragiele staten, rechtstaatontwikkeling en capaciteitsopbouw gefinancierd. Ten derde wordt € 15,3 miljoen gebruikt voor de inzet van de BSB (zie overzichtstabel, nr. 8).</w:t>
      </w:r>
    </w:p>
    <w:p w:rsidR="00F6226F" w:rsidRPr="00AE69FE" w:rsidRDefault="00F6226F" w:rsidP="00F6226F">
      <w:pPr>
        <w:spacing w:line="360" w:lineRule="auto"/>
      </w:pPr>
    </w:p>
    <w:p w:rsidR="00F6226F" w:rsidRPr="00AE69FE" w:rsidRDefault="00F6226F" w:rsidP="00F6226F">
      <w:pPr>
        <w:spacing w:line="360" w:lineRule="auto"/>
      </w:pPr>
      <w:r w:rsidRPr="00AE69FE">
        <w:rPr>
          <w:noProof/>
        </w:rPr>
        <w:drawing>
          <wp:inline distT="0" distB="0" distL="0" distR="0" wp14:anchorId="1BBFDF2A" wp14:editId="2AE1064E">
            <wp:extent cx="6365875" cy="19210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5875" cy="1921085"/>
                    </a:xfrm>
                    <a:prstGeom prst="rect">
                      <a:avLst/>
                    </a:prstGeom>
                    <a:noFill/>
                    <a:ln>
                      <a:noFill/>
                    </a:ln>
                  </pic:spPr>
                </pic:pic>
              </a:graphicData>
            </a:graphic>
          </wp:inline>
        </w:drawing>
      </w:r>
    </w:p>
    <w:p w:rsidR="00F6226F" w:rsidRPr="00AE69FE" w:rsidRDefault="00F6226F" w:rsidP="00F6226F">
      <w:pPr>
        <w:spacing w:line="360" w:lineRule="auto"/>
        <w:ind w:right="1"/>
        <w:rPr>
          <w:sz w:val="16"/>
          <w:szCs w:val="16"/>
        </w:rPr>
      </w:pPr>
      <w:r w:rsidRPr="00AE69FE">
        <w:rPr>
          <w:sz w:val="16"/>
          <w:szCs w:val="16"/>
        </w:rPr>
        <w:t>Bedragen x € 1 miljoen</w:t>
      </w:r>
    </w:p>
    <w:p w:rsidR="00F6226F" w:rsidRPr="00AE69FE" w:rsidRDefault="00F6226F" w:rsidP="00F6226F">
      <w:pPr>
        <w:spacing w:line="360" w:lineRule="auto"/>
        <w:ind w:right="1"/>
        <w:rPr>
          <w:i/>
        </w:rPr>
      </w:pPr>
    </w:p>
    <w:p w:rsidR="00F6226F" w:rsidRPr="00AE69FE" w:rsidRDefault="00F6226F" w:rsidP="00F6226F">
      <w:pPr>
        <w:spacing w:line="360" w:lineRule="auto"/>
        <w:ind w:right="1"/>
        <w:rPr>
          <w:i/>
        </w:rPr>
      </w:pPr>
      <w:r w:rsidRPr="00AE69FE">
        <w:rPr>
          <w:i/>
        </w:rPr>
        <w:t>6: Overhevelingen tussen departementen &amp; mutaties generale middelen</w:t>
      </w:r>
    </w:p>
    <w:p w:rsidR="00F6226F" w:rsidRPr="00AE69FE" w:rsidRDefault="00F6226F" w:rsidP="00F6226F">
      <w:pPr>
        <w:suppressAutoHyphens/>
        <w:spacing w:line="360" w:lineRule="auto"/>
      </w:pPr>
      <w:r w:rsidRPr="00AE69FE">
        <w:t xml:space="preserve">Overhevelingen tussen het ministerie van Defensie en andere departementen betreffen onder meer de bijdrage van Defensie in de exploitatiekosten van het project C2000 (-€ 6,3 miljoen) van het ministerie van Veiligheid en Justitie, de bijdrage in commerciële inhuur </w:t>
      </w:r>
      <w:r w:rsidRPr="00AE69FE">
        <w:rPr>
          <w:i/>
        </w:rPr>
        <w:t>Search and Rescue (</w:t>
      </w:r>
      <w:r w:rsidRPr="00AE69FE">
        <w:t xml:space="preserve">SAR) capaciteit en de restitutie van het budget SAR naar het ministerie van Infrastructuur en Milieu (-€ 12,3 miljoen voor 2015) en de financiering van formatieplaatsen bij de Dienst Terugkeer &amp; Vertrek van het ministerie van Veiligheid en Justitie (-€ 2,2 miljoen </w:t>
      </w:r>
      <w:r w:rsidRPr="00AE69FE">
        <w:lastRenderedPageBreak/>
        <w:t>structureel). Tevens betreft dit een vergoeding van € 0,3 miljoen (structureel) van DT&amp;V voor het escorteren van uitgeprocedeerde asielzoekers.</w:t>
      </w:r>
    </w:p>
    <w:p w:rsidR="00F6226F" w:rsidRPr="00AE69FE" w:rsidRDefault="00F6226F" w:rsidP="00F6226F">
      <w:pPr>
        <w:suppressAutoHyphens/>
        <w:spacing w:line="360" w:lineRule="auto"/>
      </w:pPr>
      <w:r w:rsidRPr="00AE69FE">
        <w:t>Uit de generale middelen komt de structurele bijdrage voor de maatregelen in verband met contra terrorisme (resp. € 19,5 miljoen voor 2015, € 56,8 miljoen voor 2016, € 54,8 miljoen voor 2017, en structureel € 51,3 miljoen vanaf 2018) en de bijdrage voor de inzet van MH-17 (€ 3,1 miljoen).</w:t>
      </w:r>
    </w:p>
    <w:p w:rsidR="00F6226F" w:rsidRPr="00AE69FE" w:rsidRDefault="00F6226F" w:rsidP="00F6226F">
      <w:pPr>
        <w:spacing w:line="360" w:lineRule="auto"/>
        <w:ind w:right="1"/>
        <w:rPr>
          <w:i/>
        </w:rPr>
      </w:pPr>
    </w:p>
    <w:p w:rsidR="00F6226F" w:rsidRPr="00AE69FE" w:rsidRDefault="00F6226F" w:rsidP="00F6226F">
      <w:pPr>
        <w:spacing w:line="360" w:lineRule="auto"/>
        <w:rPr>
          <w:i/>
        </w:rPr>
      </w:pPr>
      <w:r w:rsidRPr="00AE69FE">
        <w:rPr>
          <w:i/>
        </w:rPr>
        <w:t>7: Herschikkingen tussen defensieonderdelen</w:t>
      </w:r>
    </w:p>
    <w:p w:rsidR="00F6226F" w:rsidRPr="00AE69FE" w:rsidRDefault="00F6226F" w:rsidP="00F6226F">
      <w:pPr>
        <w:spacing w:line="360" w:lineRule="auto"/>
        <w:rPr>
          <w:i/>
        </w:rPr>
      </w:pPr>
      <w:r w:rsidRPr="00AE69FE">
        <w:t xml:space="preserve">Met een protocol van overdracht zijn activiteiten met de daarbij behorende budgetten tussen Defensieonderdelen overgeheveld. Dit betreft onder meer de instandhoudingsbudgetten van de Gulfstream (€ 2,1 miljoen), het brandweervoertuig (€ 1,7 miljoen) en overige wapensystemen (€ 5,2 miljoen). Verder betreft dit de afdekking van het tekort op exploitatie van de IT (€ 17 miljoen) en de tekorten op pensioenen en wachtgelden bij de Bestuursstaf (-€ 3 miljoen). </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8: Premiedaling sociale lasten en sociale lasten</w:t>
      </w:r>
    </w:p>
    <w:p w:rsidR="00F6226F" w:rsidRPr="00AE69FE" w:rsidRDefault="00F6226F" w:rsidP="00F6226F">
      <w:pPr>
        <w:spacing w:line="360" w:lineRule="auto"/>
      </w:pPr>
      <w:r w:rsidRPr="00AE69FE">
        <w:t>Vanwege de aanpassingen van het werkgeversdeel van de pensioenbijdragen valt er structureel circa € 28,1 miljoen vrij. De vrijval wordt vanuit de budgetten voor formatie overgeheveld naar nominaal en onvoorzien. Deze ontvlechting is onderdeel van de onderhandelingen over de arbeidsvoorwaarden. Naar aanleiding van het tot stand komen van een arbeidsvoorwaardenakkoord is de loonbijstelling van 0,8% weer uitgedeeld naar de geëigende wetsartikelen.</w:t>
      </w:r>
    </w:p>
    <w:p w:rsidR="00F6226F" w:rsidRPr="00AE69FE" w:rsidRDefault="00F6226F" w:rsidP="00F6226F">
      <w:pPr>
        <w:spacing w:line="360" w:lineRule="auto"/>
      </w:pPr>
    </w:p>
    <w:p w:rsidR="00F6226F" w:rsidRPr="00AE69FE" w:rsidRDefault="00F6226F" w:rsidP="00F6226F">
      <w:pPr>
        <w:tabs>
          <w:tab w:val="left" w:pos="-1440"/>
          <w:tab w:val="left" w:pos="-720"/>
        </w:tabs>
        <w:suppressAutoHyphens/>
        <w:spacing w:line="360" w:lineRule="auto"/>
        <w:rPr>
          <w:i/>
        </w:rPr>
      </w:pPr>
      <w:r w:rsidRPr="00AE69FE">
        <w:rPr>
          <w:i/>
        </w:rPr>
        <w:t xml:space="preserve">9: Afdracht eindheffing Werkkostenregeling (WKR) 2015 </w:t>
      </w:r>
    </w:p>
    <w:p w:rsidR="00F6226F" w:rsidRPr="00AE69FE" w:rsidRDefault="00F6226F" w:rsidP="00F6226F">
      <w:pPr>
        <w:tabs>
          <w:tab w:val="left" w:pos="-1440"/>
          <w:tab w:val="left" w:pos="-720"/>
        </w:tabs>
        <w:suppressAutoHyphens/>
        <w:spacing w:line="360" w:lineRule="auto"/>
      </w:pPr>
      <w:r w:rsidRPr="00AE69FE">
        <w:t>De Belastingdienst heeft een wijziging doorgevoerd in de wijze van de afdracht sociale lasten met name in het kader van de werkkostenregeling. Van een periodieke inhouding gaat de Belastingdienst over naar een jaarlijkse inhouding.</w:t>
      </w:r>
    </w:p>
    <w:p w:rsidR="00F6226F" w:rsidRPr="00AE69FE" w:rsidRDefault="00F6226F" w:rsidP="00F6226F">
      <w:pPr>
        <w:spacing w:line="360" w:lineRule="auto"/>
      </w:pPr>
    </w:p>
    <w:p w:rsidR="00F6226F" w:rsidRPr="00AE69FE" w:rsidRDefault="00F6226F" w:rsidP="00F6226F">
      <w:pPr>
        <w:spacing w:line="360" w:lineRule="auto"/>
        <w:ind w:right="1"/>
        <w:rPr>
          <w:i/>
        </w:rPr>
      </w:pPr>
      <w:r w:rsidRPr="00AE69FE">
        <w:rPr>
          <w:i/>
        </w:rPr>
        <w:t>10:</w:t>
      </w:r>
      <w:r w:rsidRPr="00AE69FE">
        <w:t xml:space="preserve"> </w:t>
      </w:r>
      <w:r w:rsidRPr="00AE69FE">
        <w:rPr>
          <w:i/>
        </w:rPr>
        <w:t>Doorwerking ontvangsten</w:t>
      </w:r>
    </w:p>
    <w:p w:rsidR="00F6226F" w:rsidRPr="00AE69FE" w:rsidRDefault="00F6226F" w:rsidP="00F6226F">
      <w:pPr>
        <w:suppressAutoHyphens/>
        <w:spacing w:line="360" w:lineRule="auto"/>
      </w:pPr>
      <w:r w:rsidRPr="00AE69FE">
        <w:rPr>
          <w:szCs w:val="20"/>
        </w:rPr>
        <w:t>De uitgavenbegroting wordt met € 35,8 miljoen verhoogd vanwege hoger</w:t>
      </w:r>
      <w:r w:rsidRPr="00AE69FE">
        <w:t xml:space="preserve">e ontvangsten. De hogere ontvangsten zijn het saldo van de hogere verkoopopbrengsten (€ 25,7 miljoen) van roerende goederen, de lagere ontvangsten van onroerende goederen (€ 11,2 miljoen), de bijstelling van CODEMO ontvangsten (€ 10,5 miljoen), de ontvangsten vanuit de Navo (€ 12,2 miljoen) en de overige personele en materiële ontvangsten. </w:t>
      </w:r>
    </w:p>
    <w:p w:rsidR="00F6226F" w:rsidRPr="00AE69FE" w:rsidRDefault="00F6226F" w:rsidP="00F6226F">
      <w:pPr>
        <w:suppressAutoHyphens/>
        <w:spacing w:line="360" w:lineRule="auto"/>
      </w:pPr>
    </w:p>
    <w:p w:rsidR="00F6226F" w:rsidRPr="00AE69FE" w:rsidRDefault="00F6226F" w:rsidP="00F6226F">
      <w:pPr>
        <w:spacing w:line="360" w:lineRule="auto"/>
        <w:ind w:right="1"/>
        <w:rPr>
          <w:i/>
        </w:rPr>
      </w:pPr>
      <w:r w:rsidRPr="00AE69FE">
        <w:rPr>
          <w:i/>
        </w:rPr>
        <w:t>11: Bijstelling formatie (inhuur)</w:t>
      </w:r>
    </w:p>
    <w:p w:rsidR="00F6226F" w:rsidRPr="00AE69FE" w:rsidRDefault="00F6226F" w:rsidP="00F6226F">
      <w:pPr>
        <w:rPr>
          <w:szCs w:val="18"/>
        </w:rPr>
      </w:pPr>
      <w:r w:rsidRPr="00AE69FE">
        <w:rPr>
          <w:szCs w:val="18"/>
        </w:rPr>
        <w:t xml:space="preserve">Dit betreft met name inhuur van medisch specialisten en personeel voor de implementatie van ERP. </w:t>
      </w:r>
    </w:p>
    <w:p w:rsidR="00F6226F" w:rsidRPr="00AE69FE" w:rsidRDefault="00F6226F" w:rsidP="00F6226F"/>
    <w:p w:rsidR="00F6226F" w:rsidRPr="00AE69FE" w:rsidRDefault="00F6226F" w:rsidP="00F6226F"/>
    <w:p w:rsidR="00F6226F" w:rsidRPr="00AE69FE" w:rsidRDefault="00F6226F" w:rsidP="00F6226F">
      <w:pPr>
        <w:spacing w:line="360" w:lineRule="auto"/>
        <w:rPr>
          <w:i/>
          <w:szCs w:val="20"/>
        </w:rPr>
      </w:pPr>
      <w:r w:rsidRPr="00AE69FE">
        <w:t xml:space="preserve">12: </w:t>
      </w:r>
      <w:r w:rsidRPr="00AE69FE">
        <w:rPr>
          <w:i/>
          <w:szCs w:val="20"/>
        </w:rPr>
        <w:t xml:space="preserve">Kasschuiven </w:t>
      </w:r>
    </w:p>
    <w:p w:rsidR="00F6226F" w:rsidRPr="00AE69FE" w:rsidRDefault="00F6226F" w:rsidP="00F6226F">
      <w:pPr>
        <w:spacing w:line="360" w:lineRule="auto"/>
      </w:pPr>
      <w:r w:rsidRPr="00AE69FE">
        <w:t>Vanwege de vertraging van een aantal projecten in de herijking van een aantal behoeftestellingen, is een andere fasering van de investeringsuitgaven noodzakelijk. Het betreft onder meer de projecten VF-16, DVOW, Chinook vervanging en modernisering, vervangende capaciteit M-fregatten en vervanging van de onderzeeboten.</w:t>
      </w:r>
      <w:r w:rsidRPr="00AE69FE">
        <w:br/>
      </w:r>
    </w:p>
    <w:p w:rsidR="00F6226F" w:rsidRPr="00AE69FE" w:rsidRDefault="00F6226F" w:rsidP="00F6226F">
      <w:pPr>
        <w:spacing w:line="360" w:lineRule="auto"/>
      </w:pPr>
      <w:r w:rsidRPr="00AE69FE">
        <w:t>De overige kasschuiven betreffen een aangepast verloop van personele kosten (SBK en wachtgelden) en een risicovoorziening voor IV/ICT in 2016.</w:t>
      </w:r>
    </w:p>
    <w:p w:rsidR="00F6226F" w:rsidRPr="00AE69FE" w:rsidRDefault="00F6226F" w:rsidP="00F6226F">
      <w:r w:rsidRPr="00AE69FE">
        <w:br w:type="page"/>
      </w:r>
    </w:p>
    <w:p w:rsidR="00F6226F" w:rsidRPr="00AE69FE" w:rsidRDefault="00F6226F" w:rsidP="00F6226F">
      <w:pPr>
        <w:spacing w:line="360" w:lineRule="auto"/>
      </w:pPr>
    </w:p>
    <w:tbl>
      <w:tblPr>
        <w:tblW w:w="5000" w:type="pct"/>
        <w:tblCellMar>
          <w:left w:w="70" w:type="dxa"/>
          <w:right w:w="70" w:type="dxa"/>
        </w:tblCellMar>
        <w:tblLook w:val="04A0" w:firstRow="1" w:lastRow="0" w:firstColumn="1" w:lastColumn="0" w:noHBand="0" w:noVBand="1"/>
      </w:tblPr>
      <w:tblGrid>
        <w:gridCol w:w="4999"/>
        <w:gridCol w:w="1202"/>
        <w:gridCol w:w="862"/>
        <w:gridCol w:w="862"/>
        <w:gridCol w:w="746"/>
        <w:gridCol w:w="746"/>
        <w:gridCol w:w="748"/>
      </w:tblGrid>
      <w:tr w:rsidR="00F6226F" w:rsidRPr="00AE69FE" w:rsidTr="00175626">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Kasschuiven (bedragen x € 1.000); meerjarige mutaties</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591" w:type="pct"/>
            <w:tcBorders>
              <w:top w:val="nil"/>
              <w:left w:val="nil"/>
              <w:bottom w:val="single" w:sz="4" w:space="0" w:color="auto"/>
              <w:right w:val="single" w:sz="4" w:space="0" w:color="auto"/>
            </w:tcBorders>
            <w:shd w:val="clear" w:color="000000" w:fill="BFBFBF"/>
            <w:vAlign w:val="bottom"/>
            <w:hideMark/>
          </w:tcPr>
          <w:p w:rsidR="00F6226F" w:rsidRPr="00AE69FE" w:rsidRDefault="00F6226F" w:rsidP="00175626">
            <w:pPr>
              <w:jc w:val="right"/>
              <w:rPr>
                <w:b/>
                <w:bCs/>
                <w:sz w:val="16"/>
                <w:szCs w:val="16"/>
              </w:rPr>
            </w:pPr>
            <w:r w:rsidRPr="00AE69FE">
              <w:rPr>
                <w:b/>
                <w:bCs/>
                <w:sz w:val="16"/>
                <w:szCs w:val="16"/>
              </w:rPr>
              <w:t>2015</w:t>
            </w:r>
          </w:p>
        </w:tc>
        <w:tc>
          <w:tcPr>
            <w:tcW w:w="424"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2016</w:t>
            </w:r>
          </w:p>
        </w:tc>
        <w:tc>
          <w:tcPr>
            <w:tcW w:w="424"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2017</w:t>
            </w:r>
          </w:p>
        </w:tc>
        <w:tc>
          <w:tcPr>
            <w:tcW w:w="367"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2018</w:t>
            </w:r>
          </w:p>
        </w:tc>
        <w:tc>
          <w:tcPr>
            <w:tcW w:w="367"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2019</w:t>
            </w:r>
          </w:p>
        </w:tc>
        <w:tc>
          <w:tcPr>
            <w:tcW w:w="368"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Kasschuif herijking defensie investeringsplan</w:t>
            </w:r>
          </w:p>
        </w:tc>
        <w:tc>
          <w:tcPr>
            <w:tcW w:w="59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-96.600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88.300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-13.800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22.100</w:t>
            </w:r>
          </w:p>
        </w:tc>
        <w:tc>
          <w:tcPr>
            <w:tcW w:w="36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000000" w:fill="FFFFFF"/>
            <w:noWrap/>
          </w:tcPr>
          <w:p w:rsidR="00F6226F" w:rsidRPr="00AE69FE" w:rsidRDefault="00F6226F" w:rsidP="00175626">
            <w:pPr>
              <w:rPr>
                <w:bCs/>
                <w:sz w:val="16"/>
                <w:szCs w:val="16"/>
              </w:rPr>
            </w:pPr>
            <w:r w:rsidRPr="00AE69FE">
              <w:rPr>
                <w:sz w:val="16"/>
                <w:szCs w:val="16"/>
              </w:rPr>
              <w:t>Kasschuif personele exploitatie</w:t>
            </w:r>
          </w:p>
        </w:tc>
        <w:tc>
          <w:tcPr>
            <w:tcW w:w="591"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p>
        </w:tc>
        <w:tc>
          <w:tcPr>
            <w:tcW w:w="424"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p>
        </w:tc>
        <w:tc>
          <w:tcPr>
            <w:tcW w:w="424"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r w:rsidRPr="00AE69FE">
              <w:rPr>
                <w:bCs/>
                <w:sz w:val="16"/>
                <w:szCs w:val="16"/>
              </w:rPr>
              <w:t>33.000</w:t>
            </w:r>
          </w:p>
        </w:tc>
        <w:tc>
          <w:tcPr>
            <w:tcW w:w="367"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r w:rsidRPr="00AE69FE">
              <w:rPr>
                <w:bCs/>
                <w:sz w:val="16"/>
                <w:szCs w:val="16"/>
              </w:rPr>
              <w:t>-16.000</w:t>
            </w:r>
          </w:p>
        </w:tc>
        <w:tc>
          <w:tcPr>
            <w:tcW w:w="367"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r w:rsidRPr="00AE69FE">
              <w:rPr>
                <w:bCs/>
                <w:sz w:val="16"/>
                <w:szCs w:val="16"/>
              </w:rPr>
              <w:t>-10.000</w:t>
            </w:r>
          </w:p>
        </w:tc>
        <w:tc>
          <w:tcPr>
            <w:tcW w:w="368" w:type="pct"/>
            <w:tcBorders>
              <w:top w:val="nil"/>
              <w:left w:val="nil"/>
              <w:bottom w:val="single" w:sz="4" w:space="0" w:color="auto"/>
              <w:right w:val="single" w:sz="4" w:space="0" w:color="auto"/>
            </w:tcBorders>
            <w:shd w:val="clear" w:color="000000" w:fill="FFFFFF"/>
            <w:noWrap/>
            <w:vAlign w:val="bottom"/>
          </w:tcPr>
          <w:p w:rsidR="00F6226F" w:rsidRPr="00AE69FE" w:rsidRDefault="00F6226F" w:rsidP="00175626">
            <w:pPr>
              <w:jc w:val="right"/>
              <w:rPr>
                <w:bCs/>
                <w:sz w:val="16"/>
                <w:szCs w:val="16"/>
              </w:rPr>
            </w:pPr>
            <w:r w:rsidRPr="00AE69FE">
              <w:rPr>
                <w:bCs/>
                <w:sz w:val="16"/>
                <w:szCs w:val="16"/>
              </w:rPr>
              <w:t>-7.000</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Kasschuif IV/ICT</w:t>
            </w:r>
          </w:p>
        </w:tc>
        <w:tc>
          <w:tcPr>
            <w:tcW w:w="59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-10.000</w:t>
            </w:r>
          </w:p>
        </w:tc>
        <w:tc>
          <w:tcPr>
            <w:tcW w:w="36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bl>
    <w:p w:rsidR="00F6226F" w:rsidRPr="00AE69FE" w:rsidRDefault="00F6226F" w:rsidP="00F6226F">
      <w:pPr>
        <w:spacing w:line="360" w:lineRule="auto"/>
        <w:rPr>
          <w:sz w:val="16"/>
          <w:szCs w:val="16"/>
        </w:rPr>
      </w:pPr>
      <w:r w:rsidRPr="00AE69FE">
        <w:rPr>
          <w:sz w:val="16"/>
          <w:szCs w:val="16"/>
        </w:rPr>
        <w:t>Bedragen x € 1.000</w:t>
      </w:r>
    </w:p>
    <w:p w:rsidR="00F6226F" w:rsidRPr="00AE69FE" w:rsidRDefault="00F6226F" w:rsidP="00F6226F">
      <w:pPr>
        <w:spacing w:line="360" w:lineRule="auto"/>
        <w:rPr>
          <w:i/>
          <w:szCs w:val="20"/>
        </w:rPr>
      </w:pPr>
    </w:p>
    <w:p w:rsidR="00F6226F" w:rsidRPr="00AE69FE" w:rsidRDefault="00F6226F" w:rsidP="00F6226F">
      <w:pPr>
        <w:spacing w:line="360" w:lineRule="auto"/>
        <w:rPr>
          <w:i/>
          <w:szCs w:val="20"/>
        </w:rPr>
      </w:pPr>
      <w:r w:rsidRPr="00AE69FE">
        <w:rPr>
          <w:i/>
          <w:szCs w:val="20"/>
        </w:rPr>
        <w:t xml:space="preserve">13: Loon- en prijsbijstelling </w:t>
      </w:r>
    </w:p>
    <w:p w:rsidR="00F6226F" w:rsidRPr="00AE69FE" w:rsidRDefault="00F6226F" w:rsidP="00F6226F">
      <w:pPr>
        <w:spacing w:line="360" w:lineRule="auto"/>
      </w:pPr>
      <w:r w:rsidRPr="00AE69FE">
        <w:t>Dit betreft de uitkering van de loon- en prijsbijstelling tranche 2015.</w:t>
      </w:r>
    </w:p>
    <w:p w:rsidR="00F6226F" w:rsidRPr="00AE69FE" w:rsidRDefault="00F6226F" w:rsidP="00F6226F">
      <w:pPr>
        <w:spacing w:line="360" w:lineRule="auto"/>
      </w:pPr>
    </w:p>
    <w:p w:rsidR="00F6226F" w:rsidRPr="00AE69FE" w:rsidRDefault="00F6226F" w:rsidP="00F6226F">
      <w:pPr>
        <w:spacing w:line="360" w:lineRule="auto"/>
        <w:rPr>
          <w:i/>
          <w:szCs w:val="20"/>
        </w:rPr>
      </w:pPr>
      <w:r w:rsidRPr="00AE69FE">
        <w:rPr>
          <w:i/>
          <w:szCs w:val="20"/>
        </w:rPr>
        <w:t>14: Loonbijstelling 0,8% n.a.v. Arbeidsvoorwaardenonderhandelingen: eerste deelresultaat (AV).</w:t>
      </w:r>
    </w:p>
    <w:p w:rsidR="00F6226F" w:rsidRPr="00AE69FE" w:rsidRDefault="00F6226F" w:rsidP="00F6226F">
      <w:pPr>
        <w:tabs>
          <w:tab w:val="left" w:pos="-1440"/>
          <w:tab w:val="left" w:pos="-720"/>
        </w:tabs>
        <w:suppressAutoHyphens/>
        <w:spacing w:line="360" w:lineRule="auto"/>
      </w:pPr>
      <w:r w:rsidRPr="00AE69FE">
        <w:t xml:space="preserve">Dit betreft de uitkering van de loonbijstelling naar aanleiding van het </w:t>
      </w:r>
      <w:r w:rsidRPr="00AE69FE">
        <w:rPr>
          <w:i/>
        </w:rPr>
        <w:t>Arbeidsvoorwaardenonderhandelingen Defensie: eerste deelresultaat.</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15. Herschikkingen ten laste van investeringen</w:t>
      </w:r>
    </w:p>
    <w:p w:rsidR="00F6226F" w:rsidRPr="00AE69FE" w:rsidRDefault="00F6226F" w:rsidP="00F6226F">
      <w:pPr>
        <w:spacing w:line="360" w:lineRule="auto"/>
      </w:pPr>
      <w:r w:rsidRPr="00AE69FE">
        <w:t>Dit betreft het oplossen van enkele knelpunten voor de begroting 2015, te weten in de instandhoudingsbudgetten bij het CLAS (€ 10 miljoen) en huisvesting en infrastructuur bij het CDC (€ 17,7 miljoen). Het budget voor huisvesting en infrastructuur is verhoogd vanwege vertraging bij de reductie van de hoeveelheid vastgoed van Defensie. Dit laatste leidt tot hogere uitgaven van € 12,8 miljoen. Verder wordt budget toegevoegd voor het Privaat Publieke Samenwerking (PPS)-contract Kromhoutkazerne (€ 2,4 miljoen) en hogere uitgaven voor huren als gevolg van de vertraagde oplevering van een aantal projecten, zoals de nieuwbouw op Schiphol en de Seeligkazerne (€ 2,5 miljoen) in Breda.</w:t>
      </w:r>
    </w:p>
    <w:p w:rsidR="00F6226F" w:rsidRPr="00AE69FE" w:rsidRDefault="00F6226F" w:rsidP="00F6226F">
      <w:pPr>
        <w:spacing w:line="360" w:lineRule="auto"/>
      </w:pPr>
    </w:p>
    <w:p w:rsidR="00F6226F" w:rsidRPr="00AE69FE" w:rsidRDefault="00F6226F" w:rsidP="00F6226F">
      <w:pPr>
        <w:spacing w:line="360" w:lineRule="auto"/>
      </w:pPr>
      <w:r w:rsidRPr="00AE69FE">
        <w:t>Verder zijn knelpunten in de personele exploitatie (€ 17 miljoen bij het CLAS) en voor SBK-regelingen opgelost. De knelpunten voor de SBK-regelingen zijn het gevolg van vertraging in de uitstroom van personeel, gecombineerd met hogere uitgaven van de diverse uitkeringsregelingen (€ 22 miljoen voor 2015).</w:t>
      </w:r>
    </w:p>
    <w:p w:rsidR="00F6226F" w:rsidRPr="00AE69FE" w:rsidRDefault="00F6226F" w:rsidP="00F6226F">
      <w:pPr>
        <w:pStyle w:val="Lijstalinea"/>
        <w:spacing w:line="360" w:lineRule="auto"/>
        <w:ind w:left="0"/>
      </w:pPr>
    </w:p>
    <w:p w:rsidR="00F6226F" w:rsidRPr="00AE69FE" w:rsidRDefault="00F6226F" w:rsidP="00F6226F">
      <w:pPr>
        <w:spacing w:line="360" w:lineRule="auto"/>
        <w:rPr>
          <w:b/>
        </w:rPr>
      </w:pPr>
      <w:r w:rsidRPr="00AE69FE">
        <w:rPr>
          <w:b/>
        </w:rPr>
        <w:t>Toelichting ontvangsten</w:t>
      </w:r>
    </w:p>
    <w:p w:rsidR="00F6226F" w:rsidRPr="00AE69FE" w:rsidRDefault="00F6226F" w:rsidP="00F6226F">
      <w:pPr>
        <w:rPr>
          <w:i/>
          <w:szCs w:val="20"/>
        </w:rPr>
      </w:pPr>
      <w:r w:rsidRPr="00AE69FE">
        <w:rPr>
          <w:i/>
          <w:szCs w:val="20"/>
        </w:rPr>
        <w:t xml:space="preserve"> </w:t>
      </w:r>
      <w:r w:rsidRPr="00AE69FE">
        <w:rPr>
          <w:noProof/>
        </w:rPr>
        <w:drawing>
          <wp:inline distT="0" distB="0" distL="0" distR="0" wp14:anchorId="4B93D00A" wp14:editId="00A0EF9F">
            <wp:extent cx="6365875" cy="14119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411917"/>
                    </a:xfrm>
                    <a:prstGeom prst="rect">
                      <a:avLst/>
                    </a:prstGeom>
                    <a:noFill/>
                    <a:ln>
                      <a:noFill/>
                    </a:ln>
                  </pic:spPr>
                </pic:pic>
              </a:graphicData>
            </a:graphic>
          </wp:inline>
        </w:drawing>
      </w:r>
    </w:p>
    <w:p w:rsidR="00F6226F" w:rsidRPr="00AE69FE" w:rsidRDefault="00F6226F" w:rsidP="00F6226F">
      <w:pPr>
        <w:rPr>
          <w:i/>
          <w:szCs w:val="20"/>
        </w:rPr>
      </w:pPr>
      <w:r w:rsidRPr="00AE69FE">
        <w:rPr>
          <w:sz w:val="16"/>
          <w:szCs w:val="16"/>
        </w:rPr>
        <w:t>Bedragen x € 1 miljoen</w:t>
      </w:r>
    </w:p>
    <w:p w:rsidR="00F6226F" w:rsidRPr="00AE69FE" w:rsidRDefault="00F6226F" w:rsidP="00F6226F">
      <w:pPr>
        <w:rPr>
          <w:i/>
          <w:szCs w:val="20"/>
        </w:rPr>
      </w:pPr>
    </w:p>
    <w:p w:rsidR="00F6226F" w:rsidRPr="00AE69FE" w:rsidRDefault="00F6226F" w:rsidP="00F6226F">
      <w:pPr>
        <w:pStyle w:val="Lijstalinea"/>
        <w:numPr>
          <w:ilvl w:val="0"/>
          <w:numId w:val="21"/>
        </w:numPr>
        <w:rPr>
          <w:rFonts w:ascii="Arial" w:hAnsi="Arial" w:cs="Arial"/>
          <w:i/>
          <w:sz w:val="20"/>
          <w:szCs w:val="20"/>
        </w:rPr>
      </w:pPr>
      <w:r w:rsidRPr="00AE69FE">
        <w:rPr>
          <w:rFonts w:ascii="Arial" w:hAnsi="Arial" w:cs="Arial"/>
          <w:i/>
          <w:sz w:val="20"/>
          <w:szCs w:val="20"/>
        </w:rPr>
        <w:t>Bijstelling verkoopopbrengsten</w:t>
      </w:r>
    </w:p>
    <w:p w:rsidR="00F6226F" w:rsidRPr="00AE69FE" w:rsidRDefault="00F6226F" w:rsidP="00F6226F">
      <w:pPr>
        <w:spacing w:line="360" w:lineRule="auto"/>
        <w:rPr>
          <w:szCs w:val="20"/>
        </w:rPr>
      </w:pPr>
      <w:r w:rsidRPr="00AE69FE">
        <w:t>De hogere ontvangsten worden vooral veroorzaakt door de hogere verkoopontvangsten (€ 25,7 miljoen) van roerende goederen, de verlaagde ontvangsten van onroerende goederen (€ 11,2 miljoen) en de hogere CODEMO ontvangsten (€ 10,5 miljoen).</w:t>
      </w:r>
    </w:p>
    <w:p w:rsidR="00F6226F" w:rsidRPr="00AE69FE" w:rsidRDefault="00F6226F" w:rsidP="00F6226F">
      <w:pPr>
        <w:rPr>
          <w:szCs w:val="20"/>
        </w:rPr>
      </w:pPr>
      <w:r w:rsidRPr="00AE69FE">
        <w:rPr>
          <w:szCs w:val="20"/>
        </w:rPr>
        <w:br w:type="page"/>
      </w:r>
    </w:p>
    <w:p w:rsidR="00F6226F" w:rsidRPr="00AE69FE" w:rsidRDefault="00F6226F" w:rsidP="00F6226F">
      <w:pPr>
        <w:spacing w:line="360" w:lineRule="auto"/>
        <w:ind w:left="357"/>
        <w:rPr>
          <w:szCs w:val="20"/>
        </w:rPr>
      </w:pPr>
    </w:p>
    <w:p w:rsidR="00F6226F" w:rsidRPr="00AE69FE" w:rsidRDefault="00F6226F" w:rsidP="00F6226F">
      <w:pPr>
        <w:pStyle w:val="Lijstalinea"/>
        <w:numPr>
          <w:ilvl w:val="0"/>
          <w:numId w:val="21"/>
        </w:numPr>
        <w:rPr>
          <w:rFonts w:ascii="Arial" w:hAnsi="Arial" w:cs="Arial"/>
          <w:i/>
          <w:sz w:val="20"/>
          <w:szCs w:val="20"/>
        </w:rPr>
      </w:pPr>
      <w:r w:rsidRPr="00AE69FE">
        <w:rPr>
          <w:rFonts w:ascii="Arial" w:hAnsi="Arial" w:cs="Arial"/>
          <w:i/>
          <w:sz w:val="20"/>
          <w:szCs w:val="20"/>
        </w:rPr>
        <w:t>Bijstelling overige ontvangsten</w:t>
      </w:r>
    </w:p>
    <w:p w:rsidR="00F6226F" w:rsidRPr="00AE69FE" w:rsidRDefault="00F6226F" w:rsidP="00F6226F">
      <w:pPr>
        <w:suppressAutoHyphens/>
        <w:spacing w:line="360" w:lineRule="auto"/>
      </w:pPr>
      <w:r w:rsidRPr="00AE69FE">
        <w:t>De hogere overige ontvangsten worden vooral veroorzaakt door de hogere ontvangsten vanuit de Navo (€ 12,2 miljoen) en de overige personele en materiële ontvangsten.</w:t>
      </w:r>
    </w:p>
    <w:p w:rsidR="00F6226F" w:rsidRPr="00AE69FE" w:rsidRDefault="00F6226F" w:rsidP="00F6226F"/>
    <w:p w:rsidR="00F6226F" w:rsidRPr="00AE69FE" w:rsidRDefault="00F6226F" w:rsidP="00F6226F"/>
    <w:p w:rsidR="00F6226F" w:rsidRPr="00AE69FE" w:rsidRDefault="00F6226F" w:rsidP="00F6226F"/>
    <w:p w:rsidR="00F6226F" w:rsidRPr="00AE69FE" w:rsidRDefault="00F6226F" w:rsidP="00F6226F">
      <w:pPr>
        <w:sectPr w:rsidR="00F6226F" w:rsidRPr="00AE69FE" w:rsidSect="00114AC6">
          <w:pgSz w:w="11907" w:h="16840" w:code="9"/>
          <w:pgMar w:top="964" w:right="748" w:bottom="1134" w:left="1134" w:header="454" w:footer="709" w:gutter="0"/>
          <w:cols w:space="708"/>
        </w:sectPr>
      </w:pPr>
    </w:p>
    <w:p w:rsidR="00F6226F" w:rsidRPr="00AE69FE" w:rsidRDefault="00F6226F" w:rsidP="00F6226F">
      <w:pPr>
        <w:pStyle w:val="MinDefRubricering"/>
        <w:widowControl w:val="0"/>
        <w:spacing w:line="360" w:lineRule="auto"/>
        <w:rPr>
          <w:caps w:val="0"/>
        </w:rPr>
      </w:pPr>
      <w:r w:rsidRPr="00AE69FE">
        <w:rPr>
          <w:caps w:val="0"/>
        </w:rPr>
        <w:lastRenderedPageBreak/>
        <w:t>Budgettaire gevolgen van beleid</w:t>
      </w:r>
    </w:p>
    <w:p w:rsidR="00F6226F" w:rsidRPr="00AE69FE" w:rsidRDefault="00F6226F" w:rsidP="00F6226F">
      <w:pPr>
        <w:widowControl w:val="0"/>
        <w:spacing w:line="360" w:lineRule="auto"/>
        <w:rPr>
          <w:b/>
        </w:rPr>
      </w:pPr>
      <w:r w:rsidRPr="00AE69FE">
        <w:rPr>
          <w:b/>
        </w:rPr>
        <w:t>Beleidsartikel 1 Inzet</w:t>
      </w:r>
    </w:p>
    <w:tbl>
      <w:tblPr>
        <w:tblW w:w="0" w:type="auto"/>
        <w:tblInd w:w="55" w:type="dxa"/>
        <w:tblCellMar>
          <w:left w:w="70" w:type="dxa"/>
          <w:right w:w="70" w:type="dxa"/>
        </w:tblCellMar>
        <w:tblLook w:val="04A0" w:firstRow="1" w:lastRow="0" w:firstColumn="1" w:lastColumn="0" w:noHBand="0" w:noVBand="1"/>
      </w:tblPr>
      <w:tblGrid>
        <w:gridCol w:w="4073"/>
        <w:gridCol w:w="1121"/>
        <w:gridCol w:w="1176"/>
        <w:gridCol w:w="1162"/>
        <w:gridCol w:w="594"/>
        <w:gridCol w:w="496"/>
        <w:gridCol w:w="496"/>
        <w:gridCol w:w="496"/>
        <w:gridCol w:w="496"/>
      </w:tblGrid>
      <w:tr w:rsidR="00F6226F" w:rsidRPr="00AE69FE" w:rsidTr="00175626">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6226F" w:rsidRPr="00AE69FE" w:rsidRDefault="00F6226F" w:rsidP="00175626">
            <w:pPr>
              <w:rPr>
                <w:b/>
                <w:bCs/>
                <w:sz w:val="16"/>
                <w:szCs w:val="16"/>
              </w:rPr>
            </w:pPr>
            <w:r w:rsidRPr="00AE69FE">
              <w:rPr>
                <w:b/>
                <w:bCs/>
                <w:sz w:val="16"/>
                <w:szCs w:val="16"/>
              </w:rPr>
              <w:t>Artikel 1 Inzet (Bedragen x € 1.000)</w:t>
            </w:r>
          </w:p>
        </w:tc>
      </w:tr>
      <w:tr w:rsidR="00F6226F" w:rsidRPr="00AE69FE" w:rsidTr="00175626">
        <w:trPr>
          <w:trHeight w:val="930"/>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 xml:space="preserve"> Ontwerp-begroting 2015 incl nota van wijziging</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-76.049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r>
      <w:tr w:rsidR="00F6226F" w:rsidRPr="00AE69FE" w:rsidTr="00175626">
        <w:trPr>
          <w:trHeight w:val="255"/>
        </w:trPr>
        <w:tc>
          <w:tcPr>
            <w:tcW w:w="0" w:type="auto"/>
            <w:tcBorders>
              <w:top w:val="nil"/>
              <w:left w:val="single" w:sz="4" w:space="0" w:color="auto"/>
              <w:bottom w:val="nil"/>
              <w:right w:val="nil"/>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-76.049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xml:space="preserve">Programma uitgaven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-76.049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750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Opdracht Inzet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Crisisbeheersingsoperaties (HGIS)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393.350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-74.599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318.751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w:t>
            </w:r>
            <w:r w:rsidRPr="00AE69FE">
              <w:rPr>
                <w:sz w:val="16"/>
                <w:szCs w:val="16"/>
              </w:rPr>
              <w:t xml:space="preserve"> (1) A</w:t>
            </w:r>
            <w:r w:rsidRPr="00AE69FE">
              <w:rPr>
                <w:i/>
                <w:iCs/>
                <w:sz w:val="16"/>
                <w:szCs w:val="16"/>
              </w:rPr>
              <w:t xml:space="preserve">ctiviteiten ter ondersteuning van de inzet van VPD’s , activiteiten ten behoeve van training en capaciteitsopbouw, civiel-militaire capaciteiten, lucht-transport, de KMar-pool en nazorg Crisisbeheersingsoperaties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59.500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-59.500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Financiering nationale inzet krijgsmacht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2.376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3.126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Overige inzet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16.300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6.100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45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(1) Correctie Overige inzet i.v.m. nog te ontvangen bijdrage vanuit het BIV t.b.v. VPS's</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-8.000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8.000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6.707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6.707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-5.433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Programma 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Crisisbeheersingsoperaties (HGIS)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-5.433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Overige inzet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5.300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5.300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bl>
    <w:p w:rsidR="00F6226F" w:rsidRPr="00AE69FE" w:rsidRDefault="00F6226F" w:rsidP="00F6226F">
      <w:pPr>
        <w:widowControl w:val="0"/>
        <w:spacing w:line="360" w:lineRule="auto"/>
        <w:rPr>
          <w:b/>
        </w:rPr>
      </w:pPr>
    </w:p>
    <w:p w:rsidR="00F6226F" w:rsidRPr="00AE69FE" w:rsidRDefault="00F6226F" w:rsidP="00F6226F">
      <w:pPr>
        <w:widowControl w:val="0"/>
        <w:spacing w:line="360" w:lineRule="auto"/>
        <w:rPr>
          <w:b/>
        </w:rPr>
      </w:pPr>
    </w:p>
    <w:tbl>
      <w:tblPr>
        <w:tblW w:w="0" w:type="auto"/>
        <w:tblInd w:w="55" w:type="dxa"/>
        <w:tblCellMar>
          <w:left w:w="70" w:type="dxa"/>
          <w:right w:w="70" w:type="dxa"/>
        </w:tblCellMar>
        <w:tblLook w:val="04A0" w:firstRow="1" w:lastRow="0" w:firstColumn="1" w:lastColumn="0" w:noHBand="0" w:noVBand="1"/>
      </w:tblPr>
      <w:tblGrid>
        <w:gridCol w:w="3698"/>
        <w:gridCol w:w="683"/>
        <w:gridCol w:w="514"/>
        <w:gridCol w:w="1376"/>
        <w:gridCol w:w="1190"/>
        <w:gridCol w:w="594"/>
        <w:gridCol w:w="719"/>
      </w:tblGrid>
      <w:tr w:rsidR="00F6226F" w:rsidRPr="00AE69FE" w:rsidTr="00175626">
        <w:trPr>
          <w:trHeight w:val="525"/>
        </w:trPr>
        <w:tc>
          <w:tcPr>
            <w:tcW w:w="0" w:type="auto"/>
            <w:tcBorders>
              <w:top w:val="single" w:sz="8" w:space="0" w:color="auto"/>
              <w:left w:val="single" w:sz="4" w:space="0" w:color="auto"/>
              <w:bottom w:val="nil"/>
              <w:right w:val="nil"/>
            </w:tcBorders>
            <w:shd w:val="clear" w:color="auto" w:fill="BFBFBF" w:themeFill="background1" w:themeFillShade="BF"/>
            <w:hideMark/>
          </w:tcPr>
          <w:p w:rsidR="00F6226F" w:rsidRPr="00AE69FE" w:rsidRDefault="00F6226F" w:rsidP="00175626">
            <w:pPr>
              <w:rPr>
                <w:sz w:val="14"/>
                <w:szCs w:val="14"/>
              </w:rPr>
            </w:pPr>
            <w:r w:rsidRPr="00AE69FE">
              <w:rPr>
                <w:b/>
                <w:bCs/>
                <w:sz w:val="16"/>
                <w:szCs w:val="16"/>
              </w:rPr>
              <w:t>Omschrijving (bedragen x € 1.000)</w:t>
            </w:r>
          </w:p>
        </w:tc>
        <w:tc>
          <w:tcPr>
            <w:tcW w:w="0" w:type="auto"/>
            <w:tcBorders>
              <w:top w:val="single" w:sz="8" w:space="0" w:color="auto"/>
              <w:left w:val="single" w:sz="4" w:space="0" w:color="auto"/>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INZET</w:t>
            </w:r>
          </w:p>
        </w:tc>
        <w:tc>
          <w:tcPr>
            <w:tcW w:w="0" w:type="auto"/>
            <w:tcBorders>
              <w:top w:val="single" w:sz="8" w:space="0" w:color="auto"/>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FNIK</w:t>
            </w:r>
          </w:p>
        </w:tc>
        <w:tc>
          <w:tcPr>
            <w:tcW w:w="0" w:type="auto"/>
            <w:tcBorders>
              <w:top w:val="single" w:sz="8" w:space="0" w:color="auto"/>
              <w:left w:val="nil"/>
              <w:bottom w:val="single" w:sz="4" w:space="0" w:color="auto"/>
              <w:right w:val="nil"/>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OVERIGE INZET</w:t>
            </w:r>
          </w:p>
        </w:tc>
        <w:tc>
          <w:tcPr>
            <w:tcW w:w="0" w:type="auto"/>
            <w:tcBorders>
              <w:top w:val="single" w:sz="8" w:space="0" w:color="auto"/>
              <w:left w:val="single" w:sz="8" w:space="0" w:color="auto"/>
              <w:bottom w:val="single" w:sz="4" w:space="0" w:color="auto"/>
              <w:right w:val="single" w:sz="8"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TOTAAL 2015</w:t>
            </w:r>
          </w:p>
        </w:tc>
        <w:tc>
          <w:tcPr>
            <w:tcW w:w="0" w:type="auto"/>
            <w:tcBorders>
              <w:top w:val="single" w:sz="8" w:space="0" w:color="auto"/>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single" w:sz="8" w:space="0" w:color="auto"/>
              <w:left w:val="nil"/>
              <w:bottom w:val="single" w:sz="4" w:space="0" w:color="auto"/>
              <w:right w:val="single" w:sz="8"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2017 ev</w:t>
            </w:r>
          </w:p>
        </w:tc>
      </w:tr>
      <w:tr w:rsidR="00F6226F" w:rsidRPr="00AE69FE" w:rsidTr="00175626">
        <w:trPr>
          <w:trHeight w:val="270"/>
        </w:trPr>
        <w:tc>
          <w:tcPr>
            <w:tcW w:w="0" w:type="auto"/>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nil"/>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nil"/>
              <w:right w:val="nil"/>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single" w:sz="8" w:space="0" w:color="auto"/>
              <w:bottom w:val="nil"/>
              <w:right w:val="single" w:sz="8"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nil"/>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nil"/>
              <w:right w:val="single" w:sz="8"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r>
      <w:tr w:rsidR="00F6226F" w:rsidRPr="00AE69FE" w:rsidTr="00175626">
        <w:trPr>
          <w:trHeight w:val="270"/>
        </w:trPr>
        <w:tc>
          <w:tcPr>
            <w:tcW w:w="0" w:type="auto"/>
            <w:tcBorders>
              <w:top w:val="single" w:sz="8" w:space="0" w:color="auto"/>
              <w:left w:val="single" w:sz="4" w:space="0" w:color="auto"/>
              <w:bottom w:val="single" w:sz="8" w:space="0" w:color="auto"/>
              <w:right w:val="nil"/>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Totaal beleidsmatige mutaties</w:t>
            </w:r>
          </w:p>
        </w:tc>
        <w:tc>
          <w:tcPr>
            <w:tcW w:w="0" w:type="auto"/>
            <w:tcBorders>
              <w:top w:val="single" w:sz="8" w:space="0" w:color="auto"/>
              <w:left w:val="single" w:sz="4" w:space="0" w:color="auto"/>
              <w:bottom w:val="single" w:sz="8" w:space="0" w:color="auto"/>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single" w:sz="8" w:space="0" w:color="auto"/>
              <w:left w:val="nil"/>
              <w:bottom w:val="single" w:sz="8" w:space="0" w:color="auto"/>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single" w:sz="8" w:space="0" w:color="auto"/>
              <w:left w:val="nil"/>
              <w:bottom w:val="single" w:sz="8" w:space="0" w:color="auto"/>
              <w:right w:val="nil"/>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single" w:sz="8" w:space="0" w:color="auto"/>
              <w:left w:val="single" w:sz="8" w:space="0" w:color="auto"/>
              <w:bottom w:val="single" w:sz="8" w:space="0" w:color="auto"/>
              <w:right w:val="single" w:sz="8"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single" w:sz="8" w:space="0" w:color="auto"/>
              <w:left w:val="nil"/>
              <w:bottom w:val="single" w:sz="8" w:space="0" w:color="auto"/>
              <w:right w:val="single" w:sz="4"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single" w:sz="8" w:space="0" w:color="auto"/>
              <w:left w:val="nil"/>
              <w:bottom w:val="single" w:sz="8" w:space="0" w:color="auto"/>
              <w:right w:val="single" w:sz="8" w:space="0" w:color="auto"/>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Doorwerking eindejaarsmarge  2014</w:t>
            </w:r>
          </w:p>
        </w:tc>
        <w:tc>
          <w:tcPr>
            <w:tcW w:w="0" w:type="auto"/>
            <w:tcBorders>
              <w:top w:val="single" w:sz="4" w:space="0" w:color="auto"/>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21.601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single" w:sz="4" w:space="0" w:color="auto"/>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21.601</w:t>
            </w:r>
          </w:p>
        </w:tc>
        <w:tc>
          <w:tcPr>
            <w:tcW w:w="0" w:type="auto"/>
            <w:tcBorders>
              <w:top w:val="single" w:sz="4" w:space="0" w:color="auto"/>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5.433</w:t>
            </w:r>
          </w:p>
        </w:tc>
        <w:tc>
          <w:tcPr>
            <w:tcW w:w="0" w:type="auto"/>
            <w:tcBorders>
              <w:top w:val="single" w:sz="4" w:space="0" w:color="auto"/>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Eindejaarsmarge (kasschuif Minusma)</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10.000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10.000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Bijdrage vanuit het BIV naar defensieonderdelen</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-59.500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8.000</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-51.500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Bijdrage vanuit het BIV voor inzet BSB</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-15.257</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-15.257</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Overhevelingen tussen departementen &amp; mutaties</w:t>
            </w:r>
          </w:p>
          <w:p w:rsidR="00F6226F" w:rsidRPr="00AE69FE" w:rsidRDefault="00F6226F" w:rsidP="00175626">
            <w:pPr>
              <w:rPr>
                <w:sz w:val="16"/>
                <w:szCs w:val="16"/>
              </w:rPr>
            </w:pPr>
            <w:r w:rsidRPr="00AE69FE">
              <w:rPr>
                <w:sz w:val="16"/>
                <w:szCs w:val="16"/>
              </w:rPr>
              <w:t>generale middelen</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-60.000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750</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-59.250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750</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750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Financiering vanuit het  BIV</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15.257</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15.257</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Interne herschikking (VPD's naar Inzet)</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13.300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-13.300</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0</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Doorwerking ontvangsten 2016</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single" w:sz="8" w:space="0" w:color="auto"/>
              <w:bottom w:val="single" w:sz="4"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-5.433</w:t>
            </w:r>
          </w:p>
        </w:tc>
        <w:tc>
          <w:tcPr>
            <w:tcW w:w="0" w:type="auto"/>
            <w:tcBorders>
              <w:top w:val="nil"/>
              <w:left w:val="nil"/>
              <w:bottom w:val="single" w:sz="4" w:space="0" w:color="auto"/>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Spiegelen 2014</w:t>
            </w:r>
          </w:p>
        </w:tc>
        <w:tc>
          <w:tcPr>
            <w:tcW w:w="0" w:type="auto"/>
            <w:tcBorders>
              <w:top w:val="nil"/>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nil"/>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-900</w:t>
            </w:r>
          </w:p>
        </w:tc>
        <w:tc>
          <w:tcPr>
            <w:tcW w:w="0" w:type="auto"/>
            <w:tcBorders>
              <w:top w:val="nil"/>
              <w:left w:val="single" w:sz="8" w:space="0" w:color="auto"/>
              <w:bottom w:val="nil"/>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-900</w:t>
            </w:r>
          </w:p>
        </w:tc>
        <w:tc>
          <w:tcPr>
            <w:tcW w:w="0" w:type="auto"/>
            <w:tcBorders>
              <w:top w:val="nil"/>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nil"/>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Allocatie</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900</w:t>
            </w:r>
          </w:p>
        </w:tc>
        <w:tc>
          <w:tcPr>
            <w:tcW w:w="0" w:type="auto"/>
            <w:tcBorders>
              <w:top w:val="single" w:sz="4" w:space="0" w:color="auto"/>
              <w:left w:val="single" w:sz="8" w:space="0" w:color="auto"/>
              <w:bottom w:val="nil"/>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900</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7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color w:val="000000"/>
                <w:sz w:val="16"/>
                <w:szCs w:val="16"/>
              </w:rPr>
            </w:pPr>
            <w:r w:rsidRPr="00AE69FE">
              <w:rPr>
                <w:color w:val="000000"/>
                <w:sz w:val="16"/>
                <w:szCs w:val="16"/>
              </w:rPr>
              <w:t>Bijdrage MH 17</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nil"/>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3.100</w:t>
            </w:r>
          </w:p>
        </w:tc>
        <w:tc>
          <w:tcPr>
            <w:tcW w:w="0" w:type="auto"/>
            <w:tcBorders>
              <w:top w:val="single" w:sz="4" w:space="0" w:color="auto"/>
              <w:left w:val="single" w:sz="8" w:space="0" w:color="auto"/>
              <w:bottom w:val="nil"/>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3.100</w:t>
            </w:r>
          </w:p>
        </w:tc>
        <w:tc>
          <w:tcPr>
            <w:tcW w:w="0" w:type="auto"/>
            <w:tcBorders>
              <w:top w:val="single" w:sz="4" w:space="0" w:color="auto"/>
              <w:left w:val="nil"/>
              <w:bottom w:val="nil"/>
              <w:right w:val="single" w:sz="4"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single" w:sz="4" w:space="0" w:color="auto"/>
              <w:left w:val="nil"/>
              <w:bottom w:val="nil"/>
              <w:right w:val="single" w:sz="8" w:space="0" w:color="auto"/>
            </w:tcBorders>
            <w:shd w:val="clear" w:color="000000" w:fill="FFFFFF"/>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70"/>
        </w:trPr>
        <w:tc>
          <w:tcPr>
            <w:tcW w:w="0" w:type="auto"/>
            <w:tcBorders>
              <w:top w:val="nil"/>
              <w:left w:val="single" w:sz="4" w:space="0" w:color="auto"/>
              <w:bottom w:val="single" w:sz="8" w:space="0" w:color="auto"/>
              <w:right w:val="nil"/>
            </w:tcBorders>
            <w:shd w:val="clear" w:color="000000" w:fill="FFFFFF"/>
            <w:hideMark/>
          </w:tcPr>
          <w:p w:rsidR="00F6226F" w:rsidRPr="00AE69FE" w:rsidRDefault="00F6226F" w:rsidP="00175626">
            <w:pPr>
              <w:rPr>
                <w:b/>
                <w:bCs/>
                <w:color w:val="000000"/>
                <w:sz w:val="16"/>
                <w:szCs w:val="16"/>
              </w:rPr>
            </w:pPr>
            <w:r w:rsidRPr="00AE69FE">
              <w:rPr>
                <w:b/>
                <w:bCs/>
                <w:color w:val="000000"/>
                <w:sz w:val="16"/>
                <w:szCs w:val="16"/>
              </w:rPr>
              <w:t>Totaal beleidsmatige mutaties</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-74.599</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750</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-2.200</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-76.049</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750</w:t>
            </w:r>
          </w:p>
        </w:tc>
        <w:tc>
          <w:tcPr>
            <w:tcW w:w="0" w:type="auto"/>
            <w:tcBorders>
              <w:top w:val="single" w:sz="8" w:space="0" w:color="auto"/>
              <w:left w:val="single" w:sz="4" w:space="0" w:color="auto"/>
              <w:bottom w:val="single" w:sz="8" w:space="0" w:color="auto"/>
              <w:right w:val="single" w:sz="8" w:space="0" w:color="auto"/>
            </w:tcBorders>
            <w:shd w:val="clear" w:color="000000" w:fill="FFFFFF"/>
            <w:hideMark/>
          </w:tcPr>
          <w:p w:rsidR="00F6226F" w:rsidRPr="00AE69FE" w:rsidRDefault="00F6226F" w:rsidP="00175626">
            <w:pPr>
              <w:jc w:val="right"/>
              <w:rPr>
                <w:b/>
                <w:bCs/>
                <w:color w:val="000000"/>
                <w:sz w:val="16"/>
                <w:szCs w:val="16"/>
              </w:rPr>
            </w:pPr>
            <w:r w:rsidRPr="00AE69FE">
              <w:rPr>
                <w:b/>
                <w:bCs/>
                <w:color w:val="000000"/>
                <w:sz w:val="16"/>
                <w:szCs w:val="16"/>
              </w:rPr>
              <w:t>750</w:t>
            </w:r>
          </w:p>
        </w:tc>
      </w:tr>
    </w:tbl>
    <w:p w:rsidR="00F6226F" w:rsidRPr="00AE69FE" w:rsidRDefault="00F6226F" w:rsidP="00F6226F">
      <w:pPr>
        <w:widowControl w:val="0"/>
        <w:spacing w:line="360" w:lineRule="auto"/>
        <w:rPr>
          <w:b/>
        </w:rPr>
      </w:pPr>
    </w:p>
    <w:p w:rsidR="00F6226F" w:rsidRPr="00AE69FE" w:rsidRDefault="00F6226F" w:rsidP="00F6226F">
      <w:pPr>
        <w:spacing w:line="360" w:lineRule="auto"/>
        <w:rPr>
          <w:b/>
        </w:rPr>
      </w:pPr>
      <w:r w:rsidRPr="00AE69FE">
        <w:rPr>
          <w:b/>
        </w:rPr>
        <w:t>Toelichting op de mutaties (uitgaven)</w:t>
      </w:r>
    </w:p>
    <w:p w:rsidR="00F6226F" w:rsidRPr="00AE69FE" w:rsidRDefault="00F6226F" w:rsidP="00F6226F">
      <w:pPr>
        <w:spacing w:line="360" w:lineRule="auto"/>
        <w:rPr>
          <w:i/>
        </w:rPr>
      </w:pPr>
      <w:r w:rsidRPr="00AE69FE">
        <w:rPr>
          <w:i/>
        </w:rPr>
        <w:t>Doorwerking eindejaarsmarge 2014  / eindejaarsmarge (kasschuif MINUSMA)</w:t>
      </w:r>
    </w:p>
    <w:p w:rsidR="00F6226F" w:rsidRPr="00AE69FE" w:rsidRDefault="00F6226F" w:rsidP="00F6226F">
      <w:pPr>
        <w:spacing w:line="360" w:lineRule="auto"/>
        <w:rPr>
          <w:szCs w:val="20"/>
        </w:rPr>
      </w:pPr>
      <w:r w:rsidRPr="00AE69FE">
        <w:rPr>
          <w:szCs w:val="20"/>
        </w:rPr>
        <w:t xml:space="preserve">Vanwege de onderrealisatie van het uitgavenbudget in 2014 wordt het uitgavenbudget BIV in 2015 verhoogd met </w:t>
      </w:r>
    </w:p>
    <w:p w:rsidR="00F6226F" w:rsidRPr="00AE69FE" w:rsidRDefault="00F6226F" w:rsidP="00F6226F">
      <w:pPr>
        <w:spacing w:line="360" w:lineRule="auto"/>
      </w:pPr>
      <w:r w:rsidRPr="00AE69FE">
        <w:rPr>
          <w:szCs w:val="20"/>
        </w:rPr>
        <w:t xml:space="preserve">€ 31,6 miljoen en vanwege eerder dan geplande ontvangsten in 2016 met € 5,4 miljoen. </w:t>
      </w: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rPr>
          <w:i/>
        </w:rPr>
      </w:pPr>
      <w:r w:rsidRPr="00AE69FE">
        <w:rPr>
          <w:i/>
        </w:rPr>
        <w:lastRenderedPageBreak/>
        <w:t>Bijdrage vanuit het BIV / Overhevelingen tussen departementen &amp; mutaties generale middelen</w:t>
      </w:r>
    </w:p>
    <w:p w:rsidR="00F6226F" w:rsidRDefault="00F6226F" w:rsidP="00F6226F">
      <w:pPr>
        <w:tabs>
          <w:tab w:val="left" w:pos="-1440"/>
          <w:tab w:val="left" w:pos="-720"/>
        </w:tabs>
        <w:suppressAutoHyphens/>
        <w:spacing w:line="360" w:lineRule="auto"/>
        <w:rPr>
          <w:szCs w:val="20"/>
        </w:rPr>
      </w:pPr>
      <w:r w:rsidRPr="00AE69FE">
        <w:rPr>
          <w:szCs w:val="20"/>
        </w:rPr>
        <w:t xml:space="preserve">Na interdepartementale besluitvorming wordt er vanuit Artikel 1 € 59,5 miljoen toegedeeld aan de overige artikelen van de Defensiebegroting. Het </w:t>
      </w:r>
      <w:r w:rsidRPr="00AE69FE">
        <w:t>gaat hierbij om de ondersteuning van de inzet van de VPD</w:t>
      </w:r>
      <w:r>
        <w:t>,</w:t>
      </w:r>
      <w:r w:rsidRPr="00AE69FE">
        <w:t xml:space="preserve"> activiteiten ten behoeve van training en capaciteitsopbouw, civiel-militaire capaciteiten, luchttransport ten behoeve van missies en operaties, de uitzendbare KMar-pool en nazorg</w:t>
      </w:r>
      <w:r w:rsidRPr="00AE69FE">
        <w:rPr>
          <w:szCs w:val="20"/>
        </w:rPr>
        <w:t xml:space="preserve"> (zie overzichtstabel, nr. 1 t/m 6). Daarnaast wordt er </w:t>
      </w:r>
    </w:p>
    <w:p w:rsidR="00F6226F" w:rsidRPr="00AE69FE" w:rsidRDefault="00F6226F" w:rsidP="00F6226F">
      <w:pPr>
        <w:tabs>
          <w:tab w:val="left" w:pos="-1440"/>
          <w:tab w:val="left" w:pos="-720"/>
        </w:tabs>
        <w:suppressAutoHyphens/>
        <w:spacing w:line="360" w:lineRule="auto"/>
      </w:pPr>
      <w:r w:rsidRPr="00AE69FE">
        <w:rPr>
          <w:szCs w:val="20"/>
        </w:rPr>
        <w:t xml:space="preserve">€ 60 miljoen uit het BIV overgeheveld naar BZ en BH&amp;OS (zie overzichtstabel, nr. 7). </w:t>
      </w:r>
      <w:r w:rsidRPr="00AE69FE">
        <w:t>Vanuit dit bedrag worden activiteiten op het terrein van veiligheidssectorhervorming, bescherming van burgers in fragiele staten, rechtstaatontwikkeling en capaciteitsopbouw gefinancierd. Ten derde wordt € 15,3 miljoen gebruikt voor de inzet van de BSB (zie overzichtstabel, nr. 8).</w:t>
      </w:r>
    </w:p>
    <w:p w:rsidR="00F6226F" w:rsidRPr="00AE69FE" w:rsidRDefault="00F6226F" w:rsidP="00F6226F">
      <w:pPr>
        <w:widowControl w:val="0"/>
        <w:spacing w:line="360" w:lineRule="auto"/>
        <w:rPr>
          <w:i/>
        </w:rPr>
      </w:pPr>
    </w:p>
    <w:p w:rsidR="00F6226F" w:rsidRPr="00AE69FE" w:rsidRDefault="00F6226F" w:rsidP="00F6226F">
      <w:pPr>
        <w:widowControl w:val="0"/>
        <w:spacing w:line="360" w:lineRule="auto"/>
        <w:rPr>
          <w:noProof/>
        </w:rPr>
      </w:pPr>
      <w:r w:rsidRPr="00AE69FE">
        <w:rPr>
          <w:noProof/>
        </w:rPr>
        <w:drawing>
          <wp:inline distT="0" distB="0" distL="0" distR="0" wp14:anchorId="2A2AE687" wp14:editId="4ADA9E89">
            <wp:extent cx="6365875" cy="194024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1940241"/>
                    </a:xfrm>
                    <a:prstGeom prst="rect">
                      <a:avLst/>
                    </a:prstGeom>
                    <a:noFill/>
                    <a:ln>
                      <a:noFill/>
                    </a:ln>
                  </pic:spPr>
                </pic:pic>
              </a:graphicData>
            </a:graphic>
          </wp:inline>
        </w:drawing>
      </w:r>
    </w:p>
    <w:p w:rsidR="00F6226F" w:rsidRPr="00AE69FE" w:rsidRDefault="00F6226F" w:rsidP="00F6226F">
      <w:pPr>
        <w:widowControl w:val="0"/>
        <w:spacing w:line="360" w:lineRule="auto"/>
        <w:rPr>
          <w:sz w:val="16"/>
          <w:szCs w:val="16"/>
        </w:rPr>
      </w:pPr>
      <w:r w:rsidRPr="00AE69FE">
        <w:rPr>
          <w:sz w:val="16"/>
          <w:szCs w:val="16"/>
        </w:rPr>
        <w:t>Bedragen x € 1 miljoen</w:t>
      </w:r>
    </w:p>
    <w:p w:rsidR="00F6226F" w:rsidRPr="00AE69FE" w:rsidRDefault="00F6226F" w:rsidP="00F6226F">
      <w:pPr>
        <w:widowControl w:val="0"/>
        <w:spacing w:line="360" w:lineRule="auto"/>
        <w:rPr>
          <w:i/>
        </w:rPr>
      </w:pPr>
    </w:p>
    <w:p w:rsidR="00F6226F" w:rsidRPr="00AE69FE" w:rsidRDefault="00F6226F" w:rsidP="00F6226F">
      <w:pPr>
        <w:widowControl w:val="0"/>
        <w:spacing w:line="360" w:lineRule="auto"/>
        <w:rPr>
          <w:i/>
        </w:rPr>
      </w:pPr>
      <w:r w:rsidRPr="00AE69FE">
        <w:rPr>
          <w:i/>
        </w:rPr>
        <w:t>Interne herschikking inzet VPD’s</w:t>
      </w:r>
    </w:p>
    <w:p w:rsidR="00F6226F" w:rsidRPr="00AE69FE" w:rsidRDefault="00F6226F" w:rsidP="00F6226F">
      <w:pPr>
        <w:widowControl w:val="0"/>
        <w:spacing w:line="360" w:lineRule="auto"/>
      </w:pPr>
      <w:r w:rsidRPr="00AE69FE">
        <w:t>De inzet van VPD’s wordt deels gefinancierd vanuit het BIV. Om op Artikel 1.1 alle inzet samen te brengen die wordt gefinancierd vanuit het BIV was een interne herschikking nodig. Om die reden is de inzet van VPD’s van artikel 1.3 Overige inzet ondergebracht op artikel 1.1 Inzet.</w:t>
      </w:r>
    </w:p>
    <w:p w:rsidR="00F6226F" w:rsidRPr="00AE69FE" w:rsidRDefault="00F6226F" w:rsidP="00F6226F">
      <w:pPr>
        <w:widowControl w:val="0"/>
        <w:spacing w:line="360" w:lineRule="auto"/>
        <w:rPr>
          <w:b/>
        </w:rPr>
      </w:pPr>
    </w:p>
    <w:p w:rsidR="00F6226F" w:rsidRPr="00AE69FE" w:rsidRDefault="00F6226F" w:rsidP="00F6226F">
      <w:pPr>
        <w:widowControl w:val="0"/>
        <w:spacing w:line="360" w:lineRule="auto"/>
        <w:rPr>
          <w:i/>
        </w:rPr>
      </w:pPr>
      <w:r w:rsidRPr="00AE69FE">
        <w:rPr>
          <w:i/>
        </w:rPr>
        <w:t>Doorwerking ontvangsten 2016</w:t>
      </w:r>
    </w:p>
    <w:p w:rsidR="00F6226F" w:rsidRPr="00AE69FE" w:rsidRDefault="00F6226F" w:rsidP="00F6226F">
      <w:pPr>
        <w:widowControl w:val="0"/>
        <w:spacing w:line="360" w:lineRule="auto"/>
        <w:rPr>
          <w:b/>
        </w:rPr>
      </w:pPr>
      <w:r w:rsidRPr="00AE69FE">
        <w:t>De VN ontvangsten voor de missie MINUSMA waren geraamd voor de periode 2015 en 2016, maar de VN heeft in 2014 al € 5,4 miljoen aan Defensie overgemaakt. Dit heeft zijn doorwerking op het ontvangstenbudget van 2016.</w:t>
      </w:r>
    </w:p>
    <w:p w:rsidR="00F6226F" w:rsidRPr="00AE69FE" w:rsidRDefault="00F6226F" w:rsidP="00F6226F">
      <w:pPr>
        <w:widowControl w:val="0"/>
        <w:spacing w:line="360" w:lineRule="auto"/>
        <w:rPr>
          <w:b/>
        </w:rPr>
      </w:pPr>
    </w:p>
    <w:p w:rsidR="00F6226F" w:rsidRPr="00AE69FE" w:rsidRDefault="00F6226F" w:rsidP="00F6226F">
      <w:pPr>
        <w:widowControl w:val="0"/>
        <w:spacing w:line="360" w:lineRule="auto"/>
        <w:rPr>
          <w:i/>
        </w:rPr>
      </w:pPr>
      <w:r w:rsidRPr="00AE69FE">
        <w:rPr>
          <w:i/>
        </w:rPr>
        <w:t>Spiegelen en allocatie</w:t>
      </w:r>
    </w:p>
    <w:p w:rsidR="00F6226F" w:rsidRPr="00AE69FE" w:rsidRDefault="00F6226F" w:rsidP="00F6226F">
      <w:pPr>
        <w:widowControl w:val="0"/>
        <w:spacing w:line="360" w:lineRule="auto"/>
      </w:pPr>
      <w:r w:rsidRPr="00AE69FE">
        <w:t xml:space="preserve">Inzet heeft binnen de Defensiebegroting een overrealisatie laten zien van € 1,9 miljoen, waarvan € 0,9 miljoen veroorzaakt wordt door inzetbonussen die belast zijn op het artikel Inzet in plaats van op de betreffende Defensieonderdelen. Ter compensatie van deze onterechte belasting wordt het artikel 1 Inzet met € 0,9 miljoen verhoogd. </w:t>
      </w:r>
    </w:p>
    <w:p w:rsidR="00F6226F" w:rsidRPr="00AE69FE" w:rsidRDefault="00F6226F" w:rsidP="00F6226F">
      <w:pPr>
        <w:widowControl w:val="0"/>
        <w:spacing w:line="360" w:lineRule="auto"/>
        <w:rPr>
          <w:b/>
        </w:rPr>
      </w:pPr>
    </w:p>
    <w:p w:rsidR="00F6226F" w:rsidRPr="00AE69FE" w:rsidRDefault="00F6226F" w:rsidP="00F6226F">
      <w:pPr>
        <w:widowControl w:val="0"/>
        <w:spacing w:line="360" w:lineRule="auto"/>
        <w:rPr>
          <w:i/>
        </w:rPr>
      </w:pPr>
      <w:r w:rsidRPr="00AE69FE">
        <w:rPr>
          <w:i/>
        </w:rPr>
        <w:t>Bijdrage MH 17</w:t>
      </w:r>
    </w:p>
    <w:p w:rsidR="00F6226F" w:rsidRPr="00AE69FE" w:rsidRDefault="00F6226F" w:rsidP="00F6226F">
      <w:pPr>
        <w:widowControl w:val="0"/>
        <w:spacing w:line="360" w:lineRule="auto"/>
        <w:rPr>
          <w:b/>
        </w:rPr>
      </w:pPr>
      <w:r w:rsidRPr="00AE69FE">
        <w:t>Voor de activiteiten samenhangend met de MH 17 is € 3,1 miljoen toegewezen vanuit de generale middelen.</w:t>
      </w:r>
    </w:p>
    <w:p w:rsidR="00F6226F" w:rsidRPr="00AE69FE" w:rsidRDefault="00F6226F" w:rsidP="00F6226F">
      <w:pPr>
        <w:widowControl w:val="0"/>
        <w:spacing w:line="360" w:lineRule="auto"/>
        <w:rPr>
          <w:b/>
        </w:rPr>
      </w:pPr>
    </w:p>
    <w:p w:rsidR="00F6226F" w:rsidRDefault="00F6226F" w:rsidP="00F6226F">
      <w:pPr>
        <w:rPr>
          <w:b/>
        </w:rPr>
      </w:pPr>
      <w:r>
        <w:rPr>
          <w:b/>
        </w:rPr>
        <w:br w:type="page"/>
      </w:r>
    </w:p>
    <w:p w:rsidR="00F6226F" w:rsidRPr="00AE69FE" w:rsidRDefault="00F6226F" w:rsidP="00F6226F">
      <w:pPr>
        <w:rPr>
          <w:b/>
        </w:rPr>
      </w:pPr>
      <w:r w:rsidRPr="00AE69FE">
        <w:rPr>
          <w:b/>
        </w:rPr>
        <w:lastRenderedPageBreak/>
        <w:t xml:space="preserve">Beleidsartikel 2 Taakuitvoering zeestrijdkrachten </w:t>
      </w:r>
    </w:p>
    <w:p w:rsidR="00F6226F" w:rsidRPr="00AE69FE" w:rsidRDefault="00F6226F" w:rsidP="00F6226F">
      <w:pPr>
        <w:rPr>
          <w:b/>
          <w:szCs w:val="20"/>
        </w:rPr>
      </w:pPr>
    </w:p>
    <w:tbl>
      <w:tblPr>
        <w:tblW w:w="0" w:type="auto"/>
        <w:tblInd w:w="55" w:type="dxa"/>
        <w:tblCellMar>
          <w:left w:w="70" w:type="dxa"/>
          <w:right w:w="70" w:type="dxa"/>
        </w:tblCellMar>
        <w:tblLook w:val="04A0" w:firstRow="1" w:lastRow="0" w:firstColumn="1" w:lastColumn="0" w:noHBand="0" w:noVBand="1"/>
      </w:tblPr>
      <w:tblGrid>
        <w:gridCol w:w="3493"/>
        <w:gridCol w:w="1411"/>
        <w:gridCol w:w="1374"/>
        <w:gridCol w:w="1352"/>
        <w:gridCol w:w="496"/>
        <w:gridCol w:w="496"/>
        <w:gridCol w:w="496"/>
        <w:gridCol w:w="496"/>
        <w:gridCol w:w="496"/>
      </w:tblGrid>
      <w:tr w:rsidR="00F6226F" w:rsidRPr="00AE69FE" w:rsidTr="00175626">
        <w:trPr>
          <w:trHeight w:val="255"/>
        </w:trPr>
        <w:tc>
          <w:tcPr>
            <w:tcW w:w="0" w:type="auto"/>
            <w:gridSpan w:val="4"/>
            <w:tcBorders>
              <w:top w:val="single" w:sz="4" w:space="0" w:color="auto"/>
              <w:left w:val="single" w:sz="4" w:space="0" w:color="auto"/>
              <w:bottom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Artikel 2 Taakuitvoering Zeestrijdkrachten (bedragen x € 1.000)</w:t>
            </w:r>
          </w:p>
        </w:tc>
        <w:tc>
          <w:tcPr>
            <w:tcW w:w="0" w:type="auto"/>
            <w:gridSpan w:val="4"/>
            <w:tcBorders>
              <w:top w:val="single" w:sz="4" w:space="0" w:color="auto"/>
              <w:left w:val="nil"/>
              <w:bottom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682"/>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696.160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708.104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696.160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708.104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124.517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8.498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133.015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45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Gereedstelling en instandhouding Commando ZSK</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124.517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8.498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133.015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18.877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2.621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21.498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450"/>
        </w:trPr>
        <w:tc>
          <w:tcPr>
            <w:tcW w:w="0" w:type="auto"/>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(1) Correctie Gereedstelling i.v.m. nog te ontvangen bijdrage vanuit het BIV t.b.v. oefeningen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93.292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1.427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94.719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Bijdrage aan agentschap</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16.798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16.798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RWS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16.798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16.798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571.643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3.446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575.089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509.112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5.516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514.628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509.112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508.728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62.531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-2.070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60.461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ICT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3.214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3.165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55.989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-2.021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53.968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3.328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3.328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19.951</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19.951</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r>
    </w:tbl>
    <w:p w:rsidR="00F6226F" w:rsidRPr="00AE69FE" w:rsidRDefault="00F6226F" w:rsidP="00F6226F">
      <w:pPr>
        <w:rPr>
          <w:b/>
          <w:szCs w:val="20"/>
        </w:rPr>
      </w:pPr>
    </w:p>
    <w:p w:rsidR="00F6226F" w:rsidRPr="00AE69FE" w:rsidRDefault="00F6226F" w:rsidP="00F6226F">
      <w:pPr>
        <w:rPr>
          <w:b/>
          <w:szCs w:val="20"/>
        </w:rPr>
      </w:pPr>
    </w:p>
    <w:tbl>
      <w:tblPr>
        <w:tblW w:w="8020" w:type="dxa"/>
        <w:tblInd w:w="55" w:type="dxa"/>
        <w:tblCellMar>
          <w:left w:w="70" w:type="dxa"/>
          <w:right w:w="70" w:type="dxa"/>
        </w:tblCellMar>
        <w:tblLook w:val="04A0" w:firstRow="1" w:lastRow="0" w:firstColumn="1" w:lastColumn="0" w:noHBand="0" w:noVBand="1"/>
      </w:tblPr>
      <w:tblGrid>
        <w:gridCol w:w="4480"/>
        <w:gridCol w:w="1300"/>
        <w:gridCol w:w="1060"/>
        <w:gridCol w:w="1180"/>
      </w:tblGrid>
      <w:tr w:rsidR="00F6226F" w:rsidRPr="00AE69FE" w:rsidTr="00175626">
        <w:trPr>
          <w:trHeight w:val="450"/>
        </w:trPr>
        <w:tc>
          <w:tcPr>
            <w:tcW w:w="4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 xml:space="preserve">Omschrijving (bedragen x € 1.000) </w:t>
            </w:r>
          </w:p>
        </w:tc>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Programma uitgaven</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Apparaat uitgaven</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jc w:val="right"/>
              <w:rPr>
                <w:b/>
                <w:bCs/>
                <w:sz w:val="16"/>
                <w:szCs w:val="16"/>
              </w:rPr>
            </w:pPr>
            <w:r w:rsidRPr="00AE69FE">
              <w:rPr>
                <w:b/>
                <w:bCs/>
                <w:sz w:val="16"/>
                <w:szCs w:val="16"/>
              </w:rPr>
              <w:t>Totaal</w:t>
            </w:r>
          </w:p>
        </w:tc>
      </w:tr>
      <w:tr w:rsidR="00F6226F" w:rsidRPr="00AE69FE" w:rsidTr="00175626">
        <w:trPr>
          <w:trHeight w:val="255"/>
        </w:trPr>
        <w:tc>
          <w:tcPr>
            <w:tcW w:w="4480" w:type="dxa"/>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Autonome mutaties</w:t>
            </w:r>
          </w:p>
        </w:tc>
        <w:tc>
          <w:tcPr>
            <w:tcW w:w="1300" w:type="dxa"/>
            <w:tcBorders>
              <w:top w:val="single" w:sz="4" w:space="0" w:color="auto"/>
              <w:left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180" w:type="dxa"/>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448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300" w:type="dxa"/>
            <w:tcBorders>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80" w:type="dxa"/>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8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448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80" w:type="dxa"/>
            <w:tcBorders>
              <w:top w:val="single" w:sz="4" w:space="0" w:color="auto"/>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4450</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4.450</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500</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500</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Interne herschikking</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3681</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-3681</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-133</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-168</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-3518</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-3.518</w:t>
            </w:r>
          </w:p>
        </w:tc>
      </w:tr>
      <w:tr w:rsidR="00F6226F" w:rsidRPr="00AE69FE" w:rsidTr="00175626">
        <w:trPr>
          <w:trHeight w:val="31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7500</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7.500</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Afdracht eindheffing Werkkostenregeling  (WKR) 2015</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-6.500</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-6.500</w:t>
            </w:r>
          </w:p>
        </w:tc>
      </w:tr>
      <w:tr w:rsidR="00F6226F" w:rsidRPr="00AE69FE" w:rsidTr="00175626">
        <w:trPr>
          <w:trHeight w:val="255"/>
        </w:trPr>
        <w:tc>
          <w:tcPr>
            <w:tcW w:w="448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Bijstelling formatie (inhuur)</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5.900</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5.900</w:t>
            </w:r>
          </w:p>
        </w:tc>
      </w:tr>
      <w:tr w:rsidR="00F6226F" w:rsidRPr="00AE69FE" w:rsidTr="00175626">
        <w:trPr>
          <w:trHeight w:val="255"/>
        </w:trPr>
        <w:tc>
          <w:tcPr>
            <w:tcW w:w="4480" w:type="dxa"/>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3.780</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3.780</w:t>
            </w:r>
          </w:p>
        </w:tc>
      </w:tr>
      <w:tr w:rsidR="00F6226F" w:rsidRPr="00AE69FE" w:rsidTr="00175626">
        <w:trPr>
          <w:trHeight w:val="255"/>
        </w:trPr>
        <w:tc>
          <w:tcPr>
            <w:tcW w:w="4480" w:type="dxa"/>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8.498</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3.446</w:t>
            </w:r>
          </w:p>
        </w:tc>
        <w:tc>
          <w:tcPr>
            <w:tcW w:w="11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11.944</w:t>
            </w:r>
          </w:p>
        </w:tc>
      </w:tr>
    </w:tbl>
    <w:p w:rsidR="00F6226F" w:rsidRPr="00AE69FE" w:rsidRDefault="00F6226F" w:rsidP="00F6226F">
      <w:pPr>
        <w:rPr>
          <w:b/>
          <w:szCs w:val="20"/>
        </w:rPr>
      </w:pPr>
    </w:p>
    <w:p w:rsidR="00F6226F" w:rsidRPr="00AE69FE" w:rsidRDefault="00F6226F" w:rsidP="00F6226F">
      <w:pPr>
        <w:rPr>
          <w:b/>
          <w:szCs w:val="20"/>
        </w:rPr>
      </w:pPr>
    </w:p>
    <w:p w:rsidR="00F6226F" w:rsidRPr="00AE69FE" w:rsidRDefault="00F6226F" w:rsidP="00F6226F">
      <w:pPr>
        <w:rPr>
          <w:b/>
          <w:szCs w:val="20"/>
        </w:rPr>
      </w:pPr>
      <w:r w:rsidRPr="00AE69FE">
        <w:rPr>
          <w:b/>
          <w:szCs w:val="20"/>
        </w:rPr>
        <w:t>Toelichting</w:t>
      </w:r>
    </w:p>
    <w:p w:rsidR="00F6226F" w:rsidRPr="00AE69FE" w:rsidRDefault="00F6226F" w:rsidP="00F6226F">
      <w:pPr>
        <w:rPr>
          <w:szCs w:val="20"/>
        </w:rPr>
      </w:pPr>
    </w:p>
    <w:p w:rsidR="00F6226F" w:rsidRPr="00AE69FE" w:rsidRDefault="00F6226F" w:rsidP="00F6226F">
      <w:pPr>
        <w:spacing w:line="360" w:lineRule="auto"/>
        <w:rPr>
          <w:i/>
        </w:rPr>
      </w:pPr>
      <w:r w:rsidRPr="00AE69FE">
        <w:rPr>
          <w:i/>
        </w:rPr>
        <w:t xml:space="preserve">Financiering vanuit het BIV voor training en capaciteitsopbouw </w:t>
      </w:r>
    </w:p>
    <w:p w:rsidR="00F6226F" w:rsidRPr="00AE69FE" w:rsidRDefault="00F6226F" w:rsidP="00F6226F">
      <w:pPr>
        <w:tabs>
          <w:tab w:val="left" w:pos="-1440"/>
          <w:tab w:val="left" w:pos="-720"/>
        </w:tabs>
        <w:suppressAutoHyphens/>
        <w:spacing w:line="360" w:lineRule="auto"/>
      </w:pPr>
      <w:r w:rsidRPr="00AE69FE">
        <w:t xml:space="preserve">Vanuit het artikel inzet is € 4,5 miljoen toegevoegd aan dit artikel. Het budget is bestemd voor het uitvoeren van trainingen en capaciteitsopbouw. </w:t>
      </w:r>
    </w:p>
    <w:p w:rsidR="00F6226F" w:rsidRPr="00AE69FE" w:rsidRDefault="00F6226F" w:rsidP="00F6226F">
      <w:pPr>
        <w:spacing w:line="360" w:lineRule="auto"/>
        <w:rPr>
          <w:szCs w:val="20"/>
        </w:rPr>
      </w:pPr>
    </w:p>
    <w:p w:rsidR="00F6226F" w:rsidRPr="00AE69FE" w:rsidRDefault="00F6226F" w:rsidP="00F6226F">
      <w:pPr>
        <w:spacing w:line="360" w:lineRule="auto"/>
        <w:rPr>
          <w:i/>
          <w:szCs w:val="20"/>
        </w:rPr>
      </w:pPr>
    </w:p>
    <w:p w:rsidR="00F6226F" w:rsidRPr="00AE69FE" w:rsidRDefault="00F6226F" w:rsidP="00F6226F">
      <w:pPr>
        <w:spacing w:line="360" w:lineRule="auto"/>
        <w:rPr>
          <w:i/>
          <w:szCs w:val="20"/>
        </w:rPr>
      </w:pPr>
      <w:r w:rsidRPr="00AE69FE">
        <w:rPr>
          <w:i/>
          <w:szCs w:val="20"/>
        </w:rPr>
        <w:t>Spiegelen budgetten 2014</w:t>
      </w:r>
    </w:p>
    <w:p w:rsidR="00F6226F" w:rsidRPr="00AE69FE" w:rsidRDefault="00F6226F" w:rsidP="00F6226F">
      <w:pPr>
        <w:widowControl w:val="0"/>
        <w:spacing w:line="360" w:lineRule="auto"/>
        <w:rPr>
          <w:b/>
        </w:rPr>
      </w:pPr>
      <w:r w:rsidRPr="00AE69FE">
        <w:t xml:space="preserve">De onderrealisatie in 2014 wordt </w:t>
      </w:r>
      <w:r>
        <w:t>toegevoegd in</w:t>
      </w:r>
      <w:r w:rsidRPr="00AE69FE">
        <w:t xml:space="preserve"> het begrotingsjaar 2015. Om deze reden wordt dit artikel met € 0,5 miljoen verhoogd. </w:t>
      </w:r>
    </w:p>
    <w:p w:rsidR="00F6226F" w:rsidRPr="00AE69FE" w:rsidRDefault="00F6226F" w:rsidP="00F6226F">
      <w:pPr>
        <w:spacing w:line="360" w:lineRule="auto"/>
        <w:rPr>
          <w:szCs w:val="20"/>
        </w:rPr>
      </w:pPr>
    </w:p>
    <w:p w:rsidR="00F6226F" w:rsidRPr="00AE69FE" w:rsidRDefault="00F6226F" w:rsidP="00F6226F">
      <w:pPr>
        <w:spacing w:line="360" w:lineRule="auto"/>
        <w:rPr>
          <w:i/>
        </w:rPr>
      </w:pPr>
      <w:r w:rsidRPr="00AE69FE">
        <w:rPr>
          <w:i/>
        </w:rPr>
        <w:t xml:space="preserve">Interne herschikkingen CZSK </w:t>
      </w:r>
    </w:p>
    <w:p w:rsidR="00F6226F" w:rsidRPr="00AE69FE" w:rsidRDefault="00F6226F" w:rsidP="00F6226F">
      <w:pPr>
        <w:spacing w:line="360" w:lineRule="auto"/>
      </w:pPr>
      <w:r w:rsidRPr="00AE69FE">
        <w:t xml:space="preserve">Dit betreft een herschikking binnen de programma- en apparaat uitgavencategorieën van het CZSK om de budgetten te laten aansluiten op de artikelonderdelen en de hieraan gekoppelde activiteiten. </w:t>
      </w:r>
    </w:p>
    <w:p w:rsidR="00F6226F" w:rsidRPr="00AE69FE" w:rsidRDefault="00F6226F" w:rsidP="00F6226F"/>
    <w:p w:rsidR="00F6226F" w:rsidRPr="00AE69FE" w:rsidRDefault="00F6226F" w:rsidP="00F6226F">
      <w:pPr>
        <w:spacing w:line="360" w:lineRule="auto"/>
        <w:rPr>
          <w:i/>
        </w:rPr>
      </w:pPr>
      <w:r w:rsidRPr="00AE69FE">
        <w:rPr>
          <w:i/>
        </w:rPr>
        <w:t>Herschikkingen tussen de defensieonderdelen</w:t>
      </w:r>
    </w:p>
    <w:p w:rsidR="00F6226F" w:rsidRPr="00AE69FE" w:rsidRDefault="00F6226F" w:rsidP="00F6226F">
      <w:pPr>
        <w:spacing w:line="360" w:lineRule="auto"/>
      </w:pPr>
      <w:r w:rsidRPr="00AE69FE">
        <w:t xml:space="preserve">Dit betreft de budgetoverheveling van ICT artikelen naar de DMO en de bijdrage voor de opleidingen door het CDC. </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Herallocatie</w:t>
      </w:r>
    </w:p>
    <w:p w:rsidR="00F6226F" w:rsidRPr="00AE69FE" w:rsidRDefault="00F6226F" w:rsidP="00F6226F">
      <w:pPr>
        <w:spacing w:line="360" w:lineRule="auto"/>
      </w:pPr>
      <w:r w:rsidRPr="00AE69FE">
        <w:t xml:space="preserve">Voor de pilot reservisten wordt incidenteel € 1,7 miljoen toegevoegd aan het budget. Vanwege vertraging in de oprichting van de Defensie Gezondheidszorg Organisatie (DGO) wordt een bedrag van € 5,8 miljoen overgeheveld vanuit het CDC. </w:t>
      </w:r>
    </w:p>
    <w:p w:rsidR="00F6226F" w:rsidRPr="00AE69FE" w:rsidRDefault="00F6226F" w:rsidP="00F6226F">
      <w:pPr>
        <w:spacing w:line="360" w:lineRule="auto"/>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de afdracht sociale lasten in het kader van de werkkostenregeling. Van een periodieke inhouding gaat de Belastingdienst over naar een jaarlijkse inhouding.</w:t>
      </w: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r w:rsidRPr="00AE69FE">
        <w:rPr>
          <w:i/>
        </w:rPr>
        <w:t>Bijstelling formatie (inhuur)</w:t>
      </w:r>
      <w:r w:rsidRPr="00AE69FE">
        <w:rPr>
          <w:i/>
        </w:rPr>
        <w:br/>
      </w:r>
      <w:r w:rsidRPr="00AE69FE">
        <w:t>De verhoging van € 5,9 miljoen binnen formatie betreft de inhuur voor de implementatie van ERP in de organisatie.</w:t>
      </w: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pPr>
      <w:r w:rsidRPr="00AE69FE">
        <w:t>Vanwege de aanpassingen van het werkgeversdeel van de pensioenbijdragen valt er structureel circa € 3,5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rPr>
          <w:b/>
        </w:rPr>
      </w:pPr>
      <w:r w:rsidRPr="00AE69FE">
        <w:rPr>
          <w:b/>
        </w:rPr>
        <w:br w:type="page"/>
      </w:r>
    </w:p>
    <w:p w:rsidR="00F6226F" w:rsidRPr="00AE69FE" w:rsidRDefault="00F6226F" w:rsidP="00F6226F">
      <w:pPr>
        <w:spacing w:line="360" w:lineRule="auto"/>
        <w:rPr>
          <w:b/>
        </w:rPr>
      </w:pPr>
      <w:r w:rsidRPr="00AE69FE">
        <w:rPr>
          <w:b/>
        </w:rPr>
        <w:lastRenderedPageBreak/>
        <w:t xml:space="preserve">Beleidsartikel 3 Taakuitvoering landstrijdkrachten </w:t>
      </w:r>
    </w:p>
    <w:tbl>
      <w:tblPr>
        <w:tblW w:w="5000" w:type="pct"/>
        <w:tblCellMar>
          <w:left w:w="70" w:type="dxa"/>
          <w:right w:w="70" w:type="dxa"/>
        </w:tblCellMar>
        <w:tblLook w:val="04A0" w:firstRow="1" w:lastRow="0" w:firstColumn="1" w:lastColumn="0" w:noHBand="0" w:noVBand="1"/>
      </w:tblPr>
      <w:tblGrid>
        <w:gridCol w:w="3689"/>
        <w:gridCol w:w="1126"/>
        <w:gridCol w:w="1108"/>
        <w:gridCol w:w="1071"/>
        <w:gridCol w:w="783"/>
        <w:gridCol w:w="649"/>
        <w:gridCol w:w="581"/>
        <w:gridCol w:w="581"/>
        <w:gridCol w:w="577"/>
      </w:tblGrid>
      <w:tr w:rsidR="00F6226F" w:rsidRPr="00AE69FE" w:rsidTr="00175626">
        <w:trPr>
          <w:trHeight w:val="255"/>
        </w:trPr>
        <w:tc>
          <w:tcPr>
            <w:tcW w:w="3440" w:type="pct"/>
            <w:gridSpan w:val="4"/>
            <w:tcBorders>
              <w:top w:val="single" w:sz="4" w:space="0" w:color="auto"/>
              <w:left w:val="single" w:sz="4" w:space="0" w:color="auto"/>
              <w:bottom w:val="single" w:sz="4" w:space="0" w:color="auto"/>
              <w:right w:val="nil"/>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3 Taakuitvoering Landstrijdkrachten (bedragen x € 1.000)</w:t>
            </w:r>
          </w:p>
        </w:tc>
        <w:tc>
          <w:tcPr>
            <w:tcW w:w="1560" w:type="pct"/>
            <w:gridSpan w:val="5"/>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rPr>
                <w:rFonts w:ascii="Calibri" w:hAnsi="Calibri" w:cs="Calibri"/>
                <w:sz w:val="22"/>
                <w:szCs w:val="22"/>
              </w:rPr>
            </w:pPr>
            <w:r w:rsidRPr="00AE69FE">
              <w:rPr>
                <w:rFonts w:ascii="Calibri" w:hAnsi="Calibri" w:cs="Calibri"/>
                <w:sz w:val="22"/>
                <w:szCs w:val="22"/>
              </w:rPr>
              <w:t> </w:t>
            </w:r>
          </w:p>
        </w:tc>
      </w:tr>
      <w:tr w:rsidR="00F6226F" w:rsidRPr="00AE69FE" w:rsidTr="00175626">
        <w:trPr>
          <w:trHeight w:val="860"/>
        </w:trPr>
        <w:tc>
          <w:tcPr>
            <w:tcW w:w="1814"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554" w:type="pct"/>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545" w:type="pct"/>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Mutatie 1e suppletoire begroting 2015</w:t>
            </w:r>
          </w:p>
        </w:tc>
        <w:tc>
          <w:tcPr>
            <w:tcW w:w="526" w:type="pct"/>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Stand 1e suppletoire begroting 2015</w:t>
            </w:r>
          </w:p>
        </w:tc>
        <w:tc>
          <w:tcPr>
            <w:tcW w:w="385" w:type="pct"/>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2016</w:t>
            </w:r>
          </w:p>
        </w:tc>
        <w:tc>
          <w:tcPr>
            <w:tcW w:w="319" w:type="pct"/>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2017</w:t>
            </w:r>
          </w:p>
        </w:tc>
        <w:tc>
          <w:tcPr>
            <w:tcW w:w="286" w:type="pct"/>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2018</w:t>
            </w:r>
          </w:p>
        </w:tc>
        <w:tc>
          <w:tcPr>
            <w:tcW w:w="286" w:type="pct"/>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2019</w:t>
            </w:r>
          </w:p>
        </w:tc>
        <w:tc>
          <w:tcPr>
            <w:tcW w:w="286" w:type="pct"/>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1.121.002</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42.170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1.163.172</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26.873</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7.000</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1.121.002</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42.170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1.163.172</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151.062</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4.253</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155.315</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14.000</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7.000</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Gereedstelling en instandhouding Commando LAS</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151.062</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4.253</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155.315</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Gereedstelling</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51.003</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3.727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54.730</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(1) Correctie Gereedstelling i.v.m. nog te ontvangen bijdrage vanuit het BIV t.b.v. oefeningen</w:t>
            </w:r>
          </w:p>
        </w:tc>
        <w:tc>
          <w:tcPr>
            <w:tcW w:w="554"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-4.450</w:t>
            </w:r>
          </w:p>
        </w:tc>
        <w:tc>
          <w:tcPr>
            <w:tcW w:w="545"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4.450</w:t>
            </w:r>
          </w:p>
        </w:tc>
        <w:tc>
          <w:tcPr>
            <w:tcW w:w="52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instandhouding</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104.509</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-3.924</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100.585</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14.000</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7.000</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Cs w:val="20"/>
              </w:rPr>
            </w:pPr>
            <w:r w:rsidRPr="00AE69FE">
              <w:rPr>
                <w:szCs w:val="20"/>
              </w:rPr>
              <w:t> </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969.940</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37.917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1.007.857</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12.873</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901.595</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30.191</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931.786</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907.095</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16.606</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923.701</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814" w:type="pct"/>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(1) Correctie personele uitgaven i.v.m. nog te ontvangen bijdrage vanuit het BIV t.b.v. civiele militaire capaciteiten</w:t>
            </w:r>
          </w:p>
        </w:tc>
        <w:tc>
          <w:tcPr>
            <w:tcW w:w="554"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-6.000</w:t>
            </w:r>
          </w:p>
        </w:tc>
        <w:tc>
          <w:tcPr>
            <w:tcW w:w="545"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6.000</w:t>
            </w:r>
          </w:p>
        </w:tc>
        <w:tc>
          <w:tcPr>
            <w:tcW w:w="52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0</w:t>
            </w:r>
          </w:p>
        </w:tc>
        <w:tc>
          <w:tcPr>
            <w:tcW w:w="385"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500</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7.585</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8.085</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68.345</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7.726</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76.071</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overige exploitatie</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58.489</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7.726</w:t>
            </w:r>
          </w:p>
        </w:tc>
        <w:tc>
          <w:tcPr>
            <w:tcW w:w="526" w:type="pct"/>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jc w:val="right"/>
              <w:rPr>
                <w:i/>
                <w:iCs/>
                <w:sz w:val="16"/>
                <w:szCs w:val="16"/>
              </w:rPr>
            </w:pPr>
            <w:r w:rsidRPr="00AE69FE">
              <w:rPr>
                <w:i/>
                <w:iCs/>
                <w:sz w:val="16"/>
                <w:szCs w:val="16"/>
              </w:rPr>
              <w:t>66.215</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12.873</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xml:space="preserve">- waarvan bijdrage aan SSO Paresto </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9.856</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9.856</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5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8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1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554"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20.523</w:t>
            </w:r>
          </w:p>
        </w:tc>
        <w:tc>
          <w:tcPr>
            <w:tcW w:w="545"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0</w:t>
            </w:r>
          </w:p>
        </w:tc>
        <w:tc>
          <w:tcPr>
            <w:tcW w:w="526"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20.523</w:t>
            </w:r>
          </w:p>
        </w:tc>
        <w:tc>
          <w:tcPr>
            <w:tcW w:w="385"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319"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286" w:type="pct"/>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r>
    </w:tbl>
    <w:p w:rsidR="00F6226F" w:rsidRPr="00AE69FE" w:rsidRDefault="00F6226F" w:rsidP="00F6226F">
      <w:pPr>
        <w:pStyle w:val="Plattetekst3"/>
        <w:spacing w:line="360" w:lineRule="auto"/>
        <w:jc w:val="left"/>
        <w:rPr>
          <w:b/>
          <w:sz w:val="20"/>
        </w:rPr>
      </w:pPr>
    </w:p>
    <w:p w:rsidR="00F6226F" w:rsidRPr="00AE69FE" w:rsidRDefault="00F6226F" w:rsidP="00F6226F">
      <w:pPr>
        <w:pStyle w:val="Plattetekst3"/>
        <w:spacing w:line="360" w:lineRule="auto"/>
        <w:jc w:val="left"/>
        <w:rPr>
          <w:b/>
          <w:sz w:val="20"/>
        </w:rPr>
      </w:pPr>
    </w:p>
    <w:tbl>
      <w:tblPr>
        <w:tblW w:w="5000" w:type="pct"/>
        <w:tblCellMar>
          <w:left w:w="70" w:type="dxa"/>
          <w:right w:w="70" w:type="dxa"/>
        </w:tblCellMar>
        <w:tblLook w:val="04A0" w:firstRow="1" w:lastRow="0" w:firstColumn="1" w:lastColumn="0" w:noHBand="0" w:noVBand="1"/>
      </w:tblPr>
      <w:tblGrid>
        <w:gridCol w:w="3947"/>
        <w:gridCol w:w="1095"/>
        <w:gridCol w:w="1075"/>
        <w:gridCol w:w="1037"/>
        <w:gridCol w:w="675"/>
        <w:gridCol w:w="580"/>
        <w:gridCol w:w="598"/>
        <w:gridCol w:w="580"/>
        <w:gridCol w:w="578"/>
      </w:tblGrid>
      <w:tr w:rsidR="00F6226F" w:rsidRPr="00AE69FE" w:rsidTr="00175626">
        <w:trPr>
          <w:trHeight w:val="495"/>
        </w:trPr>
        <w:tc>
          <w:tcPr>
            <w:tcW w:w="181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bCs/>
                <w:sz w:val="16"/>
                <w:szCs w:val="16"/>
              </w:rPr>
            </w:pPr>
            <w:r w:rsidRPr="00AE69FE">
              <w:rPr>
                <w:b/>
                <w:bCs/>
                <w:sz w:val="16"/>
                <w:szCs w:val="16"/>
              </w:rPr>
              <w:t>Omschrijving (bedragen x € 1.000)</w:t>
            </w:r>
          </w:p>
        </w:tc>
        <w:tc>
          <w:tcPr>
            <w:tcW w:w="555"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Programma uitgaven</w:t>
            </w:r>
          </w:p>
        </w:tc>
        <w:tc>
          <w:tcPr>
            <w:tcW w:w="545"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rPr>
                <w:b/>
                <w:bCs/>
                <w:sz w:val="16"/>
                <w:szCs w:val="16"/>
              </w:rPr>
            </w:pPr>
            <w:r w:rsidRPr="00AE69FE">
              <w:rPr>
                <w:b/>
                <w:bCs/>
                <w:sz w:val="16"/>
                <w:szCs w:val="16"/>
              </w:rPr>
              <w:t>Apparaat uitgaven</w:t>
            </w:r>
          </w:p>
        </w:tc>
        <w:tc>
          <w:tcPr>
            <w:tcW w:w="5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bCs/>
                <w:sz w:val="16"/>
                <w:szCs w:val="16"/>
              </w:rPr>
            </w:pPr>
            <w:r w:rsidRPr="00AE69FE">
              <w:rPr>
                <w:b/>
                <w:bCs/>
                <w:sz w:val="16"/>
                <w:szCs w:val="16"/>
              </w:rPr>
              <w:t>Totaal</w:t>
            </w:r>
          </w:p>
        </w:tc>
        <w:tc>
          <w:tcPr>
            <w:tcW w:w="34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2016</w:t>
            </w:r>
          </w:p>
        </w:tc>
        <w:tc>
          <w:tcPr>
            <w:tcW w:w="30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2017</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2018</w:t>
            </w:r>
          </w:p>
        </w:tc>
        <w:tc>
          <w:tcPr>
            <w:tcW w:w="30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2019</w:t>
            </w:r>
          </w:p>
        </w:tc>
        <w:tc>
          <w:tcPr>
            <w:tcW w:w="30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181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Autonome mutaties</w:t>
            </w:r>
          </w:p>
        </w:tc>
        <w:tc>
          <w:tcPr>
            <w:tcW w:w="555" w:type="pct"/>
            <w:tcBorders>
              <w:top w:val="single" w:sz="4" w:space="0" w:color="auto"/>
              <w:left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48"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55" w:type="pct"/>
            <w:tcBorders>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5"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6"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48"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0"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181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Interne herschikking</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-10.197</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10.197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4.450</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10.450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465"/>
        </w:trPr>
        <w:tc>
          <w:tcPr>
            <w:tcW w:w="1814"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instandhouding, IV/ICT, infra tlv investeringen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10.000</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14.000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7.000</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465"/>
        </w:trPr>
        <w:tc>
          <w:tcPr>
            <w:tcW w:w="1814"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personele exploitatie t.l.v. investeringen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17.000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17.000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12.873</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21.900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21.900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1.824</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1.824</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nil"/>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-6.138</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-6.138</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Bijstelling formatie (inhuur)</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5.600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6.734</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6.734</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814" w:type="pct"/>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4.253</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37.917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42.170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26.873</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7.000</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181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814" w:type="pct"/>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55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4.253</w:t>
            </w:r>
          </w:p>
        </w:tc>
        <w:tc>
          <w:tcPr>
            <w:tcW w:w="54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37.917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42.170</w:t>
            </w:r>
          </w:p>
        </w:tc>
        <w:tc>
          <w:tcPr>
            <w:tcW w:w="34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1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bl>
    <w:p w:rsidR="00F6226F" w:rsidRPr="00AE69FE" w:rsidRDefault="00F6226F" w:rsidP="00F6226F">
      <w:pPr>
        <w:pStyle w:val="Plattetekst3"/>
        <w:spacing w:line="360" w:lineRule="auto"/>
        <w:jc w:val="left"/>
        <w:rPr>
          <w:b/>
          <w:sz w:val="20"/>
        </w:rPr>
      </w:pPr>
    </w:p>
    <w:p w:rsidR="00F6226F" w:rsidRPr="00AE69FE" w:rsidRDefault="00F6226F" w:rsidP="00F6226F">
      <w:pPr>
        <w:pStyle w:val="Plattetekst3"/>
        <w:spacing w:line="360" w:lineRule="auto"/>
        <w:jc w:val="left"/>
        <w:rPr>
          <w:b/>
          <w:sz w:val="20"/>
        </w:rPr>
      </w:pPr>
    </w:p>
    <w:p w:rsidR="00F6226F" w:rsidRPr="00AE69FE" w:rsidRDefault="00F6226F" w:rsidP="00F6226F">
      <w:pPr>
        <w:pStyle w:val="Plattetekst3"/>
        <w:spacing w:line="360" w:lineRule="auto"/>
        <w:jc w:val="left"/>
        <w:rPr>
          <w:b/>
          <w:sz w:val="20"/>
        </w:rPr>
      </w:pPr>
      <w:r w:rsidRPr="00AE69FE">
        <w:rPr>
          <w:b/>
          <w:sz w:val="20"/>
        </w:rPr>
        <w:lastRenderedPageBreak/>
        <w:t>Toelichting</w:t>
      </w:r>
    </w:p>
    <w:p w:rsidR="00F6226F" w:rsidRPr="00AE69FE" w:rsidRDefault="00F6226F" w:rsidP="00F6226F">
      <w:pPr>
        <w:pStyle w:val="Plattetekst3"/>
        <w:spacing w:line="360" w:lineRule="auto"/>
        <w:jc w:val="left"/>
        <w:rPr>
          <w:b/>
          <w:sz w:val="20"/>
        </w:rPr>
      </w:pPr>
    </w:p>
    <w:p w:rsidR="00F6226F" w:rsidRPr="00AE69FE" w:rsidRDefault="00F6226F" w:rsidP="00F6226F">
      <w:pPr>
        <w:spacing w:line="360" w:lineRule="auto"/>
        <w:rPr>
          <w:i/>
        </w:rPr>
      </w:pPr>
      <w:r w:rsidRPr="00AE69FE">
        <w:rPr>
          <w:i/>
        </w:rPr>
        <w:t xml:space="preserve">Interne herschikkingen CLAS </w:t>
      </w:r>
    </w:p>
    <w:p w:rsidR="00F6226F" w:rsidRPr="00AE69FE" w:rsidRDefault="00F6226F" w:rsidP="00F6226F">
      <w:pPr>
        <w:spacing w:line="360" w:lineRule="auto"/>
      </w:pPr>
      <w:r w:rsidRPr="00AE69FE">
        <w:t xml:space="preserve">Dit betreft een herschikking binnen de uitgavencategorieën van het CLAS om de budgetten te laten aansluiten op de artikelonderdelen en de hieraan gekoppelde activiteiten. </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Financiering vanuit het BIV</w:t>
      </w:r>
    </w:p>
    <w:p w:rsidR="00F6226F" w:rsidRPr="00AE69FE" w:rsidRDefault="00F6226F" w:rsidP="00F6226F">
      <w:pPr>
        <w:spacing w:line="360" w:lineRule="auto"/>
      </w:pPr>
      <w:r w:rsidRPr="00AE69FE">
        <w:t xml:space="preserve">Met deze post wordt de defensiebegroting met € 10,5 miljoen gecorrigeerd voor de activiteiten in het kader van training en capaciteitsopbouw en voor het leveren van civiele militaire capaciteit. </w:t>
      </w:r>
    </w:p>
    <w:p w:rsidR="00F6226F" w:rsidRPr="00AE69FE" w:rsidRDefault="00F6226F" w:rsidP="00F6226F">
      <w:pPr>
        <w:spacing w:line="360" w:lineRule="auto"/>
      </w:pPr>
    </w:p>
    <w:p w:rsidR="00F6226F" w:rsidRPr="00AE69FE" w:rsidRDefault="00F6226F" w:rsidP="00F6226F">
      <w:pPr>
        <w:spacing w:line="360" w:lineRule="auto"/>
        <w:rPr>
          <w:i/>
          <w:szCs w:val="20"/>
        </w:rPr>
      </w:pPr>
      <w:r w:rsidRPr="00AE69FE">
        <w:rPr>
          <w:i/>
          <w:szCs w:val="20"/>
        </w:rPr>
        <w:t>Herschikkingen instandhouding tlv investeringen</w:t>
      </w:r>
    </w:p>
    <w:p w:rsidR="00F6226F" w:rsidRPr="00AE69FE" w:rsidRDefault="00F6226F" w:rsidP="00F6226F">
      <w:pPr>
        <w:spacing w:line="360" w:lineRule="auto"/>
        <w:rPr>
          <w:rFonts w:cs="Verdana"/>
          <w:szCs w:val="18"/>
          <w:lang w:eastAsia="en-US"/>
        </w:rPr>
      </w:pPr>
      <w:r w:rsidRPr="00AE69FE">
        <w:rPr>
          <w:szCs w:val="20"/>
        </w:rPr>
        <w:t>Met de herschikking van het bu</w:t>
      </w:r>
      <w:r w:rsidRPr="00AE69FE">
        <w:rPr>
          <w:rFonts w:cs="Verdana"/>
          <w:szCs w:val="18"/>
          <w:lang w:eastAsia="en-US"/>
        </w:rPr>
        <w:t xml:space="preserve">dget uit investeringen voor instandhouding van het CLAS (€ 10 miljoen) kunnen noodzakelijke verplichtingen worden aangegaan. </w:t>
      </w:r>
    </w:p>
    <w:p w:rsidR="00F6226F" w:rsidRPr="00AE69FE" w:rsidRDefault="00F6226F" w:rsidP="00F6226F">
      <w:pPr>
        <w:spacing w:line="360" w:lineRule="auto"/>
        <w:rPr>
          <w:rFonts w:cs="Verdana"/>
          <w:szCs w:val="18"/>
          <w:lang w:eastAsia="en-US"/>
        </w:rPr>
      </w:pPr>
    </w:p>
    <w:p w:rsidR="00F6226F" w:rsidRPr="00AE69FE" w:rsidRDefault="00F6226F" w:rsidP="00F6226F">
      <w:pPr>
        <w:spacing w:line="360" w:lineRule="auto"/>
        <w:rPr>
          <w:i/>
          <w:szCs w:val="20"/>
        </w:rPr>
      </w:pPr>
      <w:r w:rsidRPr="00AE69FE">
        <w:rPr>
          <w:i/>
          <w:szCs w:val="20"/>
        </w:rPr>
        <w:t>Herschikkingen personele exploitatie t.l.v. investeringen</w:t>
      </w:r>
    </w:p>
    <w:p w:rsidR="00F6226F" w:rsidRPr="00AE69FE" w:rsidRDefault="00F6226F" w:rsidP="00F6226F">
      <w:pPr>
        <w:spacing w:line="360" w:lineRule="auto"/>
      </w:pPr>
      <w:r w:rsidRPr="00AE69FE">
        <w:t xml:space="preserve">De middensommen voor het CLAS zijn met € 11,2 miljoen verhoogd als gevolg van de effecten van het instromen van nieuw personeel met een hogere leeftijd en een hoger opleidingsniveau (de zogenaamde veiligheid en vakmanschap leerlingen). Daarnaast is het budget op formatie verhoogd op basis van het formatieplan (€ 2,7 miljoen). Verder is het budget verhoogd vanwege de oprichting van de Defensie Cyber Commando (€ 1,6 miljoen) en voor personeelszorg (€ 0,7 miljoen) en overige personele exploitatie (€ 0,8 miljoen). </w:t>
      </w:r>
    </w:p>
    <w:p w:rsidR="00F6226F" w:rsidRPr="00AE69FE" w:rsidRDefault="00F6226F" w:rsidP="00F6226F">
      <w:pPr>
        <w:autoSpaceDE w:val="0"/>
        <w:autoSpaceDN w:val="0"/>
        <w:adjustRightInd w:val="0"/>
        <w:spacing w:line="360" w:lineRule="auto"/>
      </w:pPr>
    </w:p>
    <w:p w:rsidR="00F6226F" w:rsidRPr="00AE69FE" w:rsidRDefault="00F6226F" w:rsidP="00F6226F">
      <w:pPr>
        <w:spacing w:line="360" w:lineRule="auto"/>
        <w:rPr>
          <w:i/>
          <w:szCs w:val="20"/>
        </w:rPr>
      </w:pPr>
      <w:r w:rsidRPr="00AE69FE">
        <w:rPr>
          <w:i/>
          <w:szCs w:val="20"/>
        </w:rPr>
        <w:t xml:space="preserve">Spiegelen budgetten 2014 </w:t>
      </w:r>
    </w:p>
    <w:p w:rsidR="00F6226F" w:rsidRPr="00AE69FE" w:rsidRDefault="00F6226F" w:rsidP="00F6226F">
      <w:pPr>
        <w:widowControl w:val="0"/>
        <w:spacing w:line="360" w:lineRule="auto"/>
      </w:pPr>
      <w:r w:rsidRPr="00AE69FE">
        <w:t xml:space="preserve">De overrealisatie (exploitatie) 2014 wordt </w:t>
      </w:r>
      <w:r>
        <w:t xml:space="preserve">in mindering gebracht </w:t>
      </w:r>
      <w:r w:rsidRPr="00AE69FE">
        <w:t>op het begrotingsjaar 2015. Dit artikel wordt € 11,2 miljoen neerwaarts bijgesteld als gevolg van de overschrijding in 2014.</w:t>
      </w:r>
    </w:p>
    <w:p w:rsidR="00F6226F" w:rsidRPr="00AE69FE" w:rsidRDefault="00F6226F" w:rsidP="00F6226F">
      <w:pPr>
        <w:widowControl w:val="0"/>
        <w:spacing w:line="360" w:lineRule="auto"/>
      </w:pPr>
    </w:p>
    <w:p w:rsidR="00F6226F" w:rsidRPr="00AE69FE" w:rsidRDefault="00F6226F" w:rsidP="00F6226F">
      <w:pPr>
        <w:widowControl w:val="0"/>
        <w:spacing w:line="360" w:lineRule="auto"/>
        <w:rPr>
          <w:i/>
        </w:rPr>
      </w:pPr>
      <w:r w:rsidRPr="00AE69FE">
        <w:rPr>
          <w:i/>
          <w:szCs w:val="20"/>
        </w:rPr>
        <w:t>Herallocatie budgetten</w:t>
      </w:r>
    </w:p>
    <w:p w:rsidR="00F6226F" w:rsidRPr="00AE69FE" w:rsidRDefault="00F6226F" w:rsidP="00F6226F">
      <w:pPr>
        <w:spacing w:line="360" w:lineRule="auto"/>
        <w:rPr>
          <w:szCs w:val="20"/>
        </w:rPr>
      </w:pPr>
      <w:r w:rsidRPr="00AE69FE">
        <w:rPr>
          <w:szCs w:val="20"/>
        </w:rPr>
        <w:t xml:space="preserve">Met een herallocatie van € 4 miljoen </w:t>
      </w:r>
      <w:r w:rsidRPr="00AE69FE">
        <w:t xml:space="preserve">is een deel van de spiegeling uit 2014 gecompenseerd. </w:t>
      </w:r>
      <w:r w:rsidRPr="00AE69FE">
        <w:rPr>
          <w:szCs w:val="20"/>
        </w:rPr>
        <w:t>Daarnaast wordt voor de pilot reservisten incidenteel € 3 miljoen toegevoegd aan het budget. Voor inhuur ten behoeve van het Nationaal Training Centrum (NTC) CBRN krijgt het CLAS € 1 miljoen aan het budget toegevoegd. Tenslotte wordt vanuit het CDC € 13,9 miljoen overgeheveld naar het CLAS ter dekking voor de vertraagde oprichting van DGO.</w:t>
      </w:r>
    </w:p>
    <w:p w:rsidR="00F6226F" w:rsidRPr="00AE69FE" w:rsidRDefault="00F6226F" w:rsidP="00F6226F"/>
    <w:p w:rsidR="00F6226F" w:rsidRPr="00AE69FE" w:rsidRDefault="00F6226F" w:rsidP="00F6226F">
      <w:pPr>
        <w:spacing w:line="360" w:lineRule="auto"/>
        <w:rPr>
          <w:i/>
        </w:rPr>
      </w:pPr>
      <w:r w:rsidRPr="00AE69FE">
        <w:rPr>
          <w:i/>
        </w:rPr>
        <w:t>Herschikking tussen de defensieonderdelen</w:t>
      </w:r>
    </w:p>
    <w:p w:rsidR="00F6226F" w:rsidRPr="00AE69FE" w:rsidRDefault="00F6226F" w:rsidP="00F6226F">
      <w:pPr>
        <w:widowControl w:val="0"/>
        <w:spacing w:line="360" w:lineRule="auto"/>
        <w:jc w:val="both"/>
      </w:pPr>
      <w:r w:rsidRPr="00AE69FE">
        <w:t xml:space="preserve">Dit betreft de budgetoverheveling voor de instandhouding van het brandweervoertuig van het CSLK naar het CLAS. </w:t>
      </w:r>
      <w:r w:rsidRPr="00AE69FE">
        <w:tab/>
      </w:r>
    </w:p>
    <w:p w:rsidR="00F6226F" w:rsidRPr="00AE69FE" w:rsidRDefault="00F6226F" w:rsidP="00F6226F">
      <w:pPr>
        <w:spacing w:line="360" w:lineRule="auto"/>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de afdracht sociale lasten in het kader van de werkkostenregeling. Van een periodieke inhouding gaat de Belastingdienst over naar een jaarlijkse inhouding.</w:t>
      </w:r>
    </w:p>
    <w:p w:rsidR="00F6226F" w:rsidRDefault="00F6226F" w:rsidP="00F6226F">
      <w:pPr>
        <w:tabs>
          <w:tab w:val="left" w:pos="-1440"/>
          <w:tab w:val="left" w:pos="-720"/>
        </w:tabs>
        <w:suppressAutoHyphens/>
        <w:spacing w:line="360" w:lineRule="auto"/>
      </w:pPr>
    </w:p>
    <w:p w:rsidR="00F6226F"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rPr>
          <w:i/>
        </w:rPr>
      </w:pPr>
      <w:r w:rsidRPr="00AE69FE">
        <w:rPr>
          <w:i/>
        </w:rPr>
        <w:lastRenderedPageBreak/>
        <w:t>Premiedaling sociale lasten / Loonbijstelling 0,8% n.a.v. AV</w:t>
      </w:r>
    </w:p>
    <w:p w:rsidR="00F6226F" w:rsidRPr="00AE69FE" w:rsidRDefault="00F6226F" w:rsidP="00F6226F">
      <w:pPr>
        <w:spacing w:line="360" w:lineRule="auto"/>
      </w:pPr>
      <w:r w:rsidRPr="00AE69FE">
        <w:t>Vanwege de aanpassingen van het werkgeversdeel van de pensioenbijdragen valt er structureel circa € 6,1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spacing w:line="360" w:lineRule="auto"/>
      </w:pPr>
    </w:p>
    <w:p w:rsidR="00F6226F" w:rsidRPr="00AE69FE" w:rsidRDefault="00F6226F" w:rsidP="00F6226F">
      <w:pPr>
        <w:tabs>
          <w:tab w:val="left" w:pos="-1440"/>
          <w:tab w:val="left" w:pos="-720"/>
        </w:tabs>
        <w:suppressAutoHyphens/>
        <w:spacing w:line="360" w:lineRule="auto"/>
      </w:pPr>
      <w:r w:rsidRPr="00AE69FE">
        <w:rPr>
          <w:i/>
        </w:rPr>
        <w:t>Bijstelling formatie (inhuur)</w:t>
      </w:r>
      <w:r w:rsidRPr="00AE69FE">
        <w:rPr>
          <w:i/>
        </w:rPr>
        <w:br/>
      </w:r>
      <w:r w:rsidRPr="00AE69FE">
        <w:t>De verhoging met € 5,6</w:t>
      </w:r>
      <w:r w:rsidRPr="00AE69FE">
        <w:tab/>
        <w:t>miljoen van de formatie betreft de inhuur voor de implementatie van ERP.</w:t>
      </w:r>
    </w:p>
    <w:p w:rsidR="00F6226F" w:rsidRPr="00AE69FE" w:rsidRDefault="00F6226F" w:rsidP="00F6226F">
      <w:pPr>
        <w:spacing w:line="360" w:lineRule="auto"/>
      </w:pPr>
    </w:p>
    <w:p w:rsidR="00F6226F" w:rsidRPr="00AE69FE" w:rsidRDefault="00F6226F" w:rsidP="00F6226F">
      <w:pPr>
        <w:rPr>
          <w:b/>
        </w:rPr>
      </w:pPr>
      <w:r w:rsidRPr="00AE69FE">
        <w:rPr>
          <w:b/>
        </w:rPr>
        <w:br w:type="page"/>
      </w:r>
    </w:p>
    <w:p w:rsidR="00F6226F" w:rsidRPr="00AE69FE" w:rsidRDefault="00F6226F" w:rsidP="00F6226F">
      <w:pPr>
        <w:widowControl w:val="0"/>
        <w:spacing w:line="360" w:lineRule="auto"/>
        <w:jc w:val="both"/>
        <w:rPr>
          <w:b/>
        </w:rPr>
      </w:pPr>
      <w:r w:rsidRPr="00AE69FE">
        <w:rPr>
          <w:b/>
        </w:rPr>
        <w:lastRenderedPageBreak/>
        <w:t xml:space="preserve">Beleidsartikel 4 Taakuitvoering luchtstrijdkrachten </w:t>
      </w:r>
    </w:p>
    <w:tbl>
      <w:tblPr>
        <w:tblW w:w="0" w:type="auto"/>
        <w:tblInd w:w="55" w:type="dxa"/>
        <w:tblCellMar>
          <w:left w:w="70" w:type="dxa"/>
          <w:right w:w="70" w:type="dxa"/>
        </w:tblCellMar>
        <w:tblLook w:val="04A0" w:firstRow="1" w:lastRow="0" w:firstColumn="1" w:lastColumn="0" w:noHBand="0" w:noVBand="1"/>
      </w:tblPr>
      <w:tblGrid>
        <w:gridCol w:w="3360"/>
        <w:gridCol w:w="1301"/>
        <w:gridCol w:w="1297"/>
        <w:gridCol w:w="1280"/>
        <w:gridCol w:w="594"/>
        <w:gridCol w:w="594"/>
        <w:gridCol w:w="594"/>
        <w:gridCol w:w="594"/>
        <w:gridCol w:w="496"/>
      </w:tblGrid>
      <w:tr w:rsidR="00F6226F" w:rsidRPr="00AE69FE" w:rsidTr="00175626">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F6226F" w:rsidRPr="00AE69FE" w:rsidRDefault="00F6226F" w:rsidP="00175626">
            <w:pPr>
              <w:rPr>
                <w:b/>
                <w:bCs/>
                <w:sz w:val="16"/>
                <w:szCs w:val="16"/>
              </w:rPr>
            </w:pPr>
            <w:r w:rsidRPr="00AE69FE">
              <w:rPr>
                <w:b/>
                <w:bCs/>
                <w:sz w:val="16"/>
                <w:szCs w:val="16"/>
              </w:rPr>
              <w:t>Artikel 4 Taakuitvoering Luchtstrijdkrachten (bedragen x € 1.000)</w:t>
            </w:r>
          </w:p>
        </w:tc>
      </w:tr>
      <w:tr w:rsidR="00F6226F" w:rsidRPr="00AE69FE" w:rsidTr="00175626">
        <w:trPr>
          <w:trHeight w:val="610"/>
        </w:trPr>
        <w:tc>
          <w:tcPr>
            <w:tcW w:w="0" w:type="auto"/>
            <w:tcBorders>
              <w:top w:val="nil"/>
              <w:left w:val="single" w:sz="4" w:space="0" w:color="auto"/>
              <w:bottom w:val="single" w:sz="4" w:space="0" w:color="auto"/>
              <w:right w:val="single" w:sz="4" w:space="0" w:color="auto"/>
            </w:tcBorders>
            <w:shd w:val="clear" w:color="000000" w:fill="BFBF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right"/>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right"/>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right"/>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644.308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47.517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691.825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644.308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47.517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691.825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149.533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29.402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178.935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45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Gereedstelling en instandhouding Commando LSK</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149.533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29.402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178.935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13.252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13.570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158.281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7.084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165.365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675"/>
        </w:trPr>
        <w:tc>
          <w:tcPr>
            <w:tcW w:w="0" w:type="auto"/>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(1) Correctie Instandhouding i.v.m. nog te ontvangen bijdrage vanuit het BIV t.b.v. luchttransport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-22.000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22.000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494.775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18.115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512.890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388.274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3.419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391.693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-570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387.274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-3.081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384.193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6.500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7.500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106.501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14.696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121.197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105.477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14.696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120.173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1.024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1.024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15.227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15.759</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r>
    </w:tbl>
    <w:p w:rsidR="00F6226F" w:rsidRPr="00AE69FE" w:rsidRDefault="00F6226F" w:rsidP="00F6226F">
      <w:pPr>
        <w:widowControl w:val="0"/>
        <w:spacing w:line="360" w:lineRule="auto"/>
        <w:jc w:val="both"/>
        <w:rPr>
          <w:b/>
        </w:rPr>
      </w:pPr>
    </w:p>
    <w:tbl>
      <w:tblPr>
        <w:tblW w:w="0" w:type="auto"/>
        <w:tblInd w:w="55" w:type="dxa"/>
        <w:tblCellMar>
          <w:left w:w="70" w:type="dxa"/>
          <w:right w:w="70" w:type="dxa"/>
        </w:tblCellMar>
        <w:tblLook w:val="04A0" w:firstRow="1" w:lastRow="0" w:firstColumn="1" w:lastColumn="0" w:noHBand="0" w:noVBand="1"/>
      </w:tblPr>
      <w:tblGrid>
        <w:gridCol w:w="4297"/>
        <w:gridCol w:w="1231"/>
        <w:gridCol w:w="1035"/>
        <w:gridCol w:w="630"/>
        <w:gridCol w:w="594"/>
        <w:gridCol w:w="594"/>
        <w:gridCol w:w="594"/>
        <w:gridCol w:w="594"/>
        <w:gridCol w:w="541"/>
      </w:tblGrid>
      <w:tr w:rsidR="00F6226F" w:rsidRPr="00526E97" w:rsidTr="00175626">
        <w:trPr>
          <w:trHeight w:val="45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 xml:space="preserve">Omschrijving </w:t>
            </w:r>
            <w:r w:rsidRPr="00526E97">
              <w:rPr>
                <w:b/>
                <w:bCs/>
                <w:color w:val="000000" w:themeColor="text1"/>
                <w:sz w:val="16"/>
                <w:szCs w:val="16"/>
              </w:rPr>
              <w:t>(bedragen x € 1.000)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Programma uitgaven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Apparaat uitgaven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2.016</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2.017</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2.018</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2.019</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2.020</w:t>
            </w:r>
          </w:p>
        </w:tc>
      </w:tr>
      <w:tr w:rsidR="00F6226F" w:rsidRPr="00AE69FE" w:rsidTr="00175626">
        <w:trPr>
          <w:trHeight w:val="255"/>
        </w:trPr>
        <w:tc>
          <w:tcPr>
            <w:tcW w:w="0" w:type="auto"/>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Autonome mutaties</w:t>
            </w:r>
          </w:p>
        </w:tc>
        <w:tc>
          <w:tcPr>
            <w:tcW w:w="0" w:type="auto"/>
            <w:tcBorders>
              <w:top w:val="single" w:sz="4" w:space="0" w:color="auto"/>
              <w:left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-2.280</w:t>
            </w:r>
          </w:p>
        </w:tc>
        <w:tc>
          <w:tcPr>
            <w:tcW w:w="0" w:type="auto"/>
            <w:tcBorders>
              <w:top w:val="nil"/>
              <w:left w:val="nil"/>
              <w:bottom w:val="single" w:sz="4" w:space="0" w:color="auto"/>
              <w:right w:val="nil"/>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-2.280</w:t>
            </w:r>
          </w:p>
        </w:tc>
        <w:tc>
          <w:tcPr>
            <w:tcW w:w="0" w:type="auto"/>
            <w:tcBorders>
              <w:top w:val="nil"/>
              <w:left w:val="single" w:sz="4" w:space="0" w:color="auto"/>
              <w:bottom w:val="single" w:sz="4" w:space="0" w:color="auto"/>
              <w:right w:val="nil"/>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-1.140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-1.140</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-1.140</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-1.140</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-570</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0" w:type="auto"/>
            <w:tcBorders>
              <w:top w:val="nil"/>
              <w:left w:val="single" w:sz="4" w:space="0" w:color="auto"/>
              <w:bottom w:val="single" w:sz="4" w:space="0" w:color="auto"/>
              <w:right w:val="nil"/>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7.084</w:t>
            </w:r>
          </w:p>
        </w:tc>
        <w:tc>
          <w:tcPr>
            <w:tcW w:w="0" w:type="auto"/>
            <w:tcBorders>
              <w:top w:val="nil"/>
              <w:left w:val="single" w:sz="4" w:space="0" w:color="auto"/>
              <w:bottom w:val="single" w:sz="4" w:space="0" w:color="auto"/>
              <w:right w:val="nil"/>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-1.685</w:t>
            </w:r>
          </w:p>
        </w:tc>
        <w:tc>
          <w:tcPr>
            <w:tcW w:w="0" w:type="auto"/>
            <w:tcBorders>
              <w:top w:val="nil"/>
              <w:left w:val="single" w:sz="4" w:space="0" w:color="auto"/>
              <w:bottom w:val="single" w:sz="4" w:space="0" w:color="auto"/>
              <w:right w:val="nil"/>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5.399</w:t>
            </w:r>
          </w:p>
        </w:tc>
        <w:tc>
          <w:tcPr>
            <w:tcW w:w="0" w:type="auto"/>
            <w:tcBorders>
              <w:top w:val="nil"/>
              <w:left w:val="single" w:sz="4" w:space="0" w:color="auto"/>
              <w:bottom w:val="single" w:sz="4" w:space="0" w:color="auto"/>
              <w:right w:val="nil"/>
            </w:tcBorders>
            <w:shd w:val="clear" w:color="auto" w:fill="auto"/>
            <w:vAlign w:val="bottom"/>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22.000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22.000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4.600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4.600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16.500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16.500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85"/>
        </w:trPr>
        <w:tc>
          <w:tcPr>
            <w:tcW w:w="0" w:type="auto"/>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Interne herschikking</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-4.282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4.282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nil"/>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-2.609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-2.609</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nil"/>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Doorwerking ontvangsten</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532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532</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Bijstelling formatie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6.500</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2.875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2.875</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29.402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18.115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47.517</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29.402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18.115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47.517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-570</w:t>
            </w:r>
          </w:p>
        </w:tc>
      </w:tr>
    </w:tbl>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lastRenderedPageBreak/>
        <w:t>Toelichting</w:t>
      </w:r>
    </w:p>
    <w:p w:rsidR="00F6226F" w:rsidRPr="00AE69FE" w:rsidRDefault="00F6226F" w:rsidP="00F6226F">
      <w:pPr>
        <w:spacing w:line="360" w:lineRule="auto"/>
        <w:rPr>
          <w:i/>
        </w:rPr>
      </w:pPr>
      <w:r w:rsidRPr="00AE69FE">
        <w:rPr>
          <w:i/>
        </w:rPr>
        <w:t>Overhevelingen tussen de departementen &amp; mutaties generale middelen</w:t>
      </w:r>
    </w:p>
    <w:p w:rsidR="00F6226F" w:rsidRPr="00AE69FE" w:rsidRDefault="00F6226F" w:rsidP="00F6226F">
      <w:pPr>
        <w:spacing w:line="360" w:lineRule="auto"/>
      </w:pPr>
      <w:r w:rsidRPr="00AE69FE">
        <w:t xml:space="preserve">Dit betreft het restitueren van het budget van </w:t>
      </w:r>
      <w:r w:rsidRPr="00AE69FE">
        <w:rPr>
          <w:i/>
        </w:rPr>
        <w:t>SAR</w:t>
      </w:r>
      <w:r w:rsidRPr="00AE69FE">
        <w:t xml:space="preserve"> naar het ministerie van Infrastructuur en Milieu (€ 2,3 miljoen voor 2015, vervolgens € 1,14 miljoen tot 2019 en € 0,6 miljoen voor 2020) vanwege de afspraak dat Defensie de SAR-taken voorlopig niet zelf uitvoert, omdat de NH-90 helikopter pas op een later moment inzetbaar is.</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Herschikking tussen defensieonderdelen</w:t>
      </w:r>
    </w:p>
    <w:p w:rsidR="00F6226F" w:rsidRPr="00AE69FE" w:rsidRDefault="00F6226F" w:rsidP="00F6226F">
      <w:pPr>
        <w:spacing w:line="360" w:lineRule="auto"/>
        <w:rPr>
          <w:i/>
        </w:rPr>
      </w:pPr>
      <w:r w:rsidRPr="00AE69FE">
        <w:t>Dit betreft onder meer de herschikking van het budget instandhouding van de Gulfstream van de DMO naar het CLSK (€ 2,1 miljoen) en de verdeling van de instandhoudingsbudgetten (€ 5,2 miljoen). Daar tegenover staat de budgetoverheveling naar het CLAS voor de instandhouding van het brandweervoertuig (-€ 1,7 miljoen) en enkele budgetoverhevelingen vanwege specifieke opleidingen (-€ 0,2 miljoen).</w:t>
      </w:r>
    </w:p>
    <w:p w:rsidR="00F6226F" w:rsidRPr="00AE69FE" w:rsidRDefault="00F6226F" w:rsidP="00F6226F">
      <w:pPr>
        <w:spacing w:line="276" w:lineRule="auto"/>
        <w:rPr>
          <w:i/>
        </w:rPr>
      </w:pPr>
    </w:p>
    <w:p w:rsidR="00F6226F" w:rsidRPr="00AE69FE" w:rsidRDefault="00F6226F" w:rsidP="00F6226F">
      <w:pPr>
        <w:spacing w:line="360" w:lineRule="auto"/>
        <w:rPr>
          <w:i/>
        </w:rPr>
      </w:pPr>
      <w:r w:rsidRPr="00AE69FE">
        <w:rPr>
          <w:i/>
        </w:rPr>
        <w:t>Financiering vanuit het BIV</w:t>
      </w:r>
    </w:p>
    <w:p w:rsidR="00F6226F" w:rsidRPr="00AE69FE" w:rsidRDefault="00F6226F" w:rsidP="00F6226F">
      <w:pPr>
        <w:tabs>
          <w:tab w:val="left" w:pos="-1440"/>
          <w:tab w:val="left" w:pos="-720"/>
        </w:tabs>
        <w:suppressAutoHyphens/>
        <w:spacing w:line="360" w:lineRule="auto"/>
      </w:pPr>
      <w:r w:rsidRPr="00AE69FE">
        <w:t>Vanuit het artikel inzet € 22 miljoen toegevoegd aan dit artikel. Het budget is bestemd voor het uitvoeren van luchttransport.</w:t>
      </w:r>
    </w:p>
    <w:p w:rsidR="00F6226F" w:rsidRPr="00AE69FE" w:rsidRDefault="00F6226F" w:rsidP="00F6226F">
      <w:pPr>
        <w:spacing w:line="276" w:lineRule="auto"/>
      </w:pPr>
    </w:p>
    <w:p w:rsidR="00F6226F" w:rsidRPr="00AE69FE" w:rsidRDefault="00F6226F" w:rsidP="00F6226F">
      <w:pPr>
        <w:spacing w:line="360" w:lineRule="auto"/>
        <w:rPr>
          <w:i/>
        </w:rPr>
      </w:pPr>
      <w:r w:rsidRPr="00AE69FE">
        <w:rPr>
          <w:i/>
        </w:rPr>
        <w:t xml:space="preserve">Interne herschikkingen CLSK </w:t>
      </w:r>
    </w:p>
    <w:p w:rsidR="00F6226F" w:rsidRPr="00AE69FE" w:rsidRDefault="00F6226F" w:rsidP="00F6226F">
      <w:pPr>
        <w:spacing w:line="360" w:lineRule="auto"/>
      </w:pPr>
      <w:r w:rsidRPr="00AE69FE">
        <w:t xml:space="preserve">Dit betreft een herschikking binnen de uitgavencategorieën van het CLSK om de budgetten te laten aansluiten op de artikelonderdelen en de hieraan gekoppelde activiteiten. </w:t>
      </w:r>
    </w:p>
    <w:p w:rsidR="00F6226F" w:rsidRPr="00AE69FE" w:rsidRDefault="00F6226F" w:rsidP="00F6226F">
      <w:pPr>
        <w:spacing w:line="276" w:lineRule="auto"/>
        <w:rPr>
          <w:rFonts w:cs="Verdana"/>
          <w:szCs w:val="18"/>
          <w:lang w:eastAsia="en-US"/>
        </w:rPr>
      </w:pPr>
    </w:p>
    <w:p w:rsidR="00F6226F" w:rsidRPr="00AE69FE" w:rsidRDefault="00F6226F" w:rsidP="00F6226F">
      <w:pPr>
        <w:spacing w:line="360" w:lineRule="auto"/>
        <w:rPr>
          <w:i/>
          <w:szCs w:val="20"/>
        </w:rPr>
      </w:pPr>
      <w:r w:rsidRPr="00AE69FE">
        <w:rPr>
          <w:i/>
          <w:szCs w:val="20"/>
        </w:rPr>
        <w:t xml:space="preserve">Spiegelen budgetten 2014 / Herallocatie budgetten </w:t>
      </w:r>
    </w:p>
    <w:p w:rsidR="00F6226F" w:rsidRPr="00AE69FE" w:rsidRDefault="00F6226F" w:rsidP="00F6226F">
      <w:pPr>
        <w:spacing w:line="360" w:lineRule="auto"/>
      </w:pPr>
      <w:r w:rsidRPr="00AE69FE">
        <w:t xml:space="preserve">Dit artikel wordt met € 4,6 miljoen verhoogd als gevolg van de onderrealisatie in 2014. Dit budget wordt ingezet voor het oplossen van budgettaire aandachtspunten. Voor het CLSK betreft dit een toevoeging aan het budget van € 11,7 miljoen voor opleidingen waarvan het verwervingstraject loopt via </w:t>
      </w:r>
      <w:r w:rsidRPr="00AE69FE">
        <w:rPr>
          <w:i/>
        </w:rPr>
        <w:t xml:space="preserve">Foreign Military Sales </w:t>
      </w:r>
      <w:r w:rsidRPr="00AE69FE">
        <w:t>(FMS). Verder wordt in verband met de vertraagde oprichting van DGO € 4,3 miljoen overgeheveld vanuit CDC. Voor de pilot reservisten wordt incidenteel € 0,5 miljoen toegevoegd aan het budget.</w:t>
      </w:r>
    </w:p>
    <w:p w:rsidR="00F6226F" w:rsidRPr="00AE69FE" w:rsidRDefault="00F6226F" w:rsidP="00F6226F">
      <w:pPr>
        <w:tabs>
          <w:tab w:val="left" w:pos="-1440"/>
          <w:tab w:val="left" w:pos="-720"/>
        </w:tabs>
        <w:suppressAutoHyphens/>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de afdracht sociale lasten in het kader van de werkkostenregeling. Van een periodieke inhouding gaat de Belastingdienst over naar een jaarlijkse inhouding.</w:t>
      </w:r>
    </w:p>
    <w:p w:rsidR="00F6226F" w:rsidRPr="00AE69FE" w:rsidRDefault="00F6226F" w:rsidP="00F6226F">
      <w:pPr>
        <w:rPr>
          <w:i/>
        </w:rPr>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pPr>
      <w:r w:rsidRPr="00AE69FE">
        <w:t>Vanwege de aanpassingen van het werkgeversdeel van de pensioenbijdragen valt er structureel circa € 2,6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 w:rsidR="00F6226F" w:rsidRPr="00AE69FE" w:rsidRDefault="00F6226F" w:rsidP="00F6226F">
      <w:pPr>
        <w:tabs>
          <w:tab w:val="left" w:pos="-1440"/>
          <w:tab w:val="left" w:pos="-720"/>
        </w:tabs>
        <w:suppressAutoHyphens/>
        <w:spacing w:line="360" w:lineRule="auto"/>
      </w:pPr>
      <w:r w:rsidRPr="00AE69FE">
        <w:rPr>
          <w:i/>
        </w:rPr>
        <w:t>Bijstelling formatie (inhuur)</w:t>
      </w:r>
      <w:r w:rsidRPr="00AE69FE">
        <w:rPr>
          <w:i/>
        </w:rPr>
        <w:br/>
      </w:r>
      <w:r w:rsidRPr="00AE69FE">
        <w:t>De verhoging van € 6,5 miljoen binnen formatie betreft de inhuur van personeel voor de implementatie van ERP.</w:t>
      </w:r>
    </w:p>
    <w:p w:rsidR="00F6226F" w:rsidRPr="00AE69FE" w:rsidRDefault="00F6226F" w:rsidP="00F6226F">
      <w:pPr>
        <w:rPr>
          <w:i/>
        </w:rPr>
      </w:pPr>
    </w:p>
    <w:p w:rsidR="00F6226F" w:rsidRPr="00AE69FE" w:rsidRDefault="00F6226F" w:rsidP="00F6226F">
      <w:pPr>
        <w:spacing w:line="360" w:lineRule="auto"/>
        <w:rPr>
          <w:i/>
        </w:rPr>
      </w:pPr>
      <w:r w:rsidRPr="00AE69FE">
        <w:rPr>
          <w:i/>
        </w:rPr>
        <w:t>Doorwerking ontvangsten</w:t>
      </w:r>
    </w:p>
    <w:p w:rsidR="00F6226F" w:rsidRPr="00AE69FE" w:rsidRDefault="00F6226F" w:rsidP="00F6226F">
      <w:pPr>
        <w:spacing w:line="360" w:lineRule="auto"/>
        <w:rPr>
          <w:b/>
          <w:noProof/>
          <w:szCs w:val="20"/>
        </w:rPr>
      </w:pPr>
      <w:r w:rsidRPr="00AE69FE">
        <w:t xml:space="preserve">De hogere personele ontvangsten van € 0,5 miljoen werken door op het uitgavenkader. </w:t>
      </w:r>
      <w:r w:rsidRPr="00AE69FE">
        <w:br w:type="page"/>
      </w:r>
      <w:r w:rsidRPr="00AE69FE">
        <w:rPr>
          <w:b/>
        </w:rPr>
        <w:lastRenderedPageBreak/>
        <w:t xml:space="preserve">Beleidsartikel 5 Taakuitvoering Koninklijke marechaussee </w:t>
      </w:r>
    </w:p>
    <w:tbl>
      <w:tblPr>
        <w:tblW w:w="5000" w:type="pct"/>
        <w:tblCellMar>
          <w:left w:w="70" w:type="dxa"/>
          <w:right w:w="70" w:type="dxa"/>
        </w:tblCellMar>
        <w:tblLook w:val="04A0" w:firstRow="1" w:lastRow="0" w:firstColumn="1" w:lastColumn="0" w:noHBand="0" w:noVBand="1"/>
      </w:tblPr>
      <w:tblGrid>
        <w:gridCol w:w="3554"/>
        <w:gridCol w:w="1128"/>
        <w:gridCol w:w="1069"/>
        <w:gridCol w:w="1128"/>
        <w:gridCol w:w="803"/>
        <w:gridCol w:w="651"/>
        <w:gridCol w:w="612"/>
        <w:gridCol w:w="612"/>
        <w:gridCol w:w="608"/>
      </w:tblGrid>
      <w:tr w:rsidR="00F6226F" w:rsidRPr="00AE69FE" w:rsidTr="00175626">
        <w:trPr>
          <w:trHeight w:val="300"/>
        </w:trPr>
        <w:tc>
          <w:tcPr>
            <w:tcW w:w="3383" w:type="pct"/>
            <w:gridSpan w:val="4"/>
            <w:tcBorders>
              <w:top w:val="single" w:sz="4" w:space="0" w:color="auto"/>
              <w:left w:val="single" w:sz="4" w:space="0" w:color="auto"/>
              <w:bottom w:val="single" w:sz="4" w:space="0" w:color="auto"/>
              <w:right w:val="nil"/>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5 Taakuitvoering Koninklijke Marechaussee (bedragen x € 1.000)</w:t>
            </w:r>
          </w:p>
        </w:tc>
        <w:tc>
          <w:tcPr>
            <w:tcW w:w="395" w:type="pct"/>
            <w:tcBorders>
              <w:top w:val="single" w:sz="4" w:space="0" w:color="auto"/>
              <w:left w:val="nil"/>
              <w:bottom w:val="single" w:sz="4" w:space="0" w:color="auto"/>
              <w:right w:val="nil"/>
            </w:tcBorders>
            <w:shd w:val="clear" w:color="000000" w:fill="BFBFBF"/>
            <w:noWrap/>
            <w:vAlign w:val="center"/>
            <w:hideMark/>
          </w:tcPr>
          <w:p w:rsidR="00F6226F" w:rsidRPr="00AE69FE" w:rsidRDefault="00F6226F" w:rsidP="00175626">
            <w:pPr>
              <w:rPr>
                <w:rFonts w:ascii="Calibri" w:hAnsi="Calibri" w:cs="Calibri"/>
                <w:sz w:val="22"/>
                <w:szCs w:val="22"/>
              </w:rPr>
            </w:pPr>
            <w:r w:rsidRPr="00AE69FE">
              <w:rPr>
                <w:rFonts w:ascii="Calibri" w:hAnsi="Calibri" w:cs="Calibri"/>
                <w:sz w:val="22"/>
                <w:szCs w:val="22"/>
              </w:rPr>
              <w:t> </w:t>
            </w:r>
          </w:p>
        </w:tc>
        <w:tc>
          <w:tcPr>
            <w:tcW w:w="320" w:type="pct"/>
            <w:tcBorders>
              <w:top w:val="single" w:sz="4" w:space="0" w:color="auto"/>
              <w:left w:val="nil"/>
              <w:bottom w:val="single" w:sz="4" w:space="0" w:color="auto"/>
              <w:right w:val="nil"/>
            </w:tcBorders>
            <w:shd w:val="clear" w:color="000000" w:fill="BFBFBF"/>
            <w:noWrap/>
            <w:vAlign w:val="center"/>
            <w:hideMark/>
          </w:tcPr>
          <w:p w:rsidR="00F6226F" w:rsidRPr="00AE69FE" w:rsidRDefault="00F6226F" w:rsidP="00175626">
            <w:pPr>
              <w:rPr>
                <w:rFonts w:ascii="Calibri" w:hAnsi="Calibri" w:cs="Calibri"/>
                <w:sz w:val="22"/>
                <w:szCs w:val="22"/>
              </w:rPr>
            </w:pPr>
            <w:r w:rsidRPr="00AE69FE">
              <w:rPr>
                <w:rFonts w:ascii="Calibri" w:hAnsi="Calibri" w:cs="Calibri"/>
                <w:sz w:val="22"/>
                <w:szCs w:val="22"/>
              </w:rPr>
              <w:t> </w:t>
            </w:r>
          </w:p>
        </w:tc>
        <w:tc>
          <w:tcPr>
            <w:tcW w:w="301" w:type="pct"/>
            <w:tcBorders>
              <w:top w:val="single" w:sz="4" w:space="0" w:color="auto"/>
              <w:left w:val="nil"/>
              <w:bottom w:val="single" w:sz="4" w:space="0" w:color="auto"/>
              <w:right w:val="nil"/>
            </w:tcBorders>
            <w:shd w:val="clear" w:color="000000" w:fill="BFBFBF"/>
            <w:noWrap/>
            <w:vAlign w:val="center"/>
            <w:hideMark/>
          </w:tcPr>
          <w:p w:rsidR="00F6226F" w:rsidRPr="00AE69FE" w:rsidRDefault="00F6226F" w:rsidP="00175626">
            <w:pPr>
              <w:rPr>
                <w:rFonts w:ascii="Calibri" w:hAnsi="Calibri" w:cs="Calibri"/>
                <w:sz w:val="22"/>
                <w:szCs w:val="22"/>
              </w:rPr>
            </w:pPr>
            <w:r w:rsidRPr="00AE69FE">
              <w:rPr>
                <w:rFonts w:ascii="Calibri" w:hAnsi="Calibri" w:cs="Calibri"/>
                <w:sz w:val="22"/>
                <w:szCs w:val="22"/>
              </w:rPr>
              <w:t> </w:t>
            </w:r>
          </w:p>
        </w:tc>
        <w:tc>
          <w:tcPr>
            <w:tcW w:w="301" w:type="pct"/>
            <w:tcBorders>
              <w:top w:val="single" w:sz="4" w:space="0" w:color="auto"/>
              <w:left w:val="nil"/>
              <w:bottom w:val="single" w:sz="4" w:space="0" w:color="auto"/>
              <w:right w:val="nil"/>
            </w:tcBorders>
            <w:shd w:val="clear" w:color="000000" w:fill="BFBFBF"/>
            <w:noWrap/>
            <w:vAlign w:val="center"/>
            <w:hideMark/>
          </w:tcPr>
          <w:p w:rsidR="00F6226F" w:rsidRPr="00AE69FE" w:rsidRDefault="00F6226F" w:rsidP="00175626">
            <w:pPr>
              <w:rPr>
                <w:rFonts w:ascii="Calibri" w:hAnsi="Calibri" w:cs="Calibri"/>
                <w:sz w:val="22"/>
                <w:szCs w:val="22"/>
              </w:rPr>
            </w:pPr>
            <w:r w:rsidRPr="00AE69FE">
              <w:rPr>
                <w:rFonts w:ascii="Calibri" w:hAnsi="Calibri" w:cs="Calibri"/>
                <w:sz w:val="22"/>
                <w:szCs w:val="22"/>
              </w:rPr>
              <w:t> </w:t>
            </w:r>
          </w:p>
        </w:tc>
        <w:tc>
          <w:tcPr>
            <w:tcW w:w="301" w:type="pct"/>
            <w:tcBorders>
              <w:top w:val="single" w:sz="4" w:space="0" w:color="auto"/>
              <w:left w:val="nil"/>
              <w:bottom w:val="single" w:sz="4" w:space="0" w:color="auto"/>
              <w:right w:val="single" w:sz="4" w:space="0" w:color="auto"/>
            </w:tcBorders>
            <w:shd w:val="clear" w:color="000000" w:fill="BFBFBF"/>
            <w:noWrap/>
            <w:vAlign w:val="bottom"/>
            <w:hideMark/>
          </w:tcPr>
          <w:p w:rsidR="00F6226F" w:rsidRPr="00AE69FE" w:rsidRDefault="00F6226F" w:rsidP="00175626">
            <w:pPr>
              <w:rPr>
                <w:szCs w:val="20"/>
              </w:rPr>
            </w:pPr>
            <w:r w:rsidRPr="00AE69FE">
              <w:rPr>
                <w:szCs w:val="20"/>
              </w:rPr>
              <w:t> </w:t>
            </w:r>
          </w:p>
        </w:tc>
      </w:tr>
      <w:tr w:rsidR="00F6226F" w:rsidRPr="00AE69FE" w:rsidTr="00175626">
        <w:trPr>
          <w:trHeight w:val="894"/>
        </w:trPr>
        <w:tc>
          <w:tcPr>
            <w:tcW w:w="1748"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555" w:type="pct"/>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526" w:type="pct"/>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Mutatie 1e suppletoire begroting 2015</w:t>
            </w:r>
          </w:p>
        </w:tc>
        <w:tc>
          <w:tcPr>
            <w:tcW w:w="555" w:type="pct"/>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Stand 1e suppletoire begroting 2015</w:t>
            </w:r>
          </w:p>
        </w:tc>
        <w:tc>
          <w:tcPr>
            <w:tcW w:w="395" w:type="pct"/>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2016</w:t>
            </w:r>
          </w:p>
        </w:tc>
        <w:tc>
          <w:tcPr>
            <w:tcW w:w="320" w:type="pct"/>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2017</w:t>
            </w:r>
          </w:p>
        </w:tc>
        <w:tc>
          <w:tcPr>
            <w:tcW w:w="301" w:type="pct"/>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2018</w:t>
            </w:r>
          </w:p>
        </w:tc>
        <w:tc>
          <w:tcPr>
            <w:tcW w:w="301" w:type="pct"/>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2019</w:t>
            </w:r>
          </w:p>
        </w:tc>
        <w:tc>
          <w:tcPr>
            <w:tcW w:w="301" w:type="pct"/>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311.472</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10.419</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321.891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311.472</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10.419</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321.891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97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1.574</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1.671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Opdracht Inzet KMAR</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1.574</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1.671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Gereedstelling</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97</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1.574</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1.671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311.375</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8.845</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320.220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-1.931</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281.575</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3.255</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284.830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-2.185</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-2.185</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-2.185</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-2.185</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-2.185</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281.575</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1.995</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283.570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1.260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1.260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29.800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5.590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35.390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overige exploitatie</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34.011</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990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35.001</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xml:space="preserve">- waarvan bijdrage aan SSO Paresto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389</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389</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450"/>
        </w:trPr>
        <w:tc>
          <w:tcPr>
            <w:tcW w:w="1748" w:type="pct"/>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(1) Correctie exploitatie i.v.m. nog te ontvangen bijdrage vanuit het BIV t.b.v. Kmar-Pool</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-4.600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4.600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1748" w:type="pct"/>
            <w:tcBorders>
              <w:top w:val="single" w:sz="4" w:space="0" w:color="auto"/>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1748" w:type="pct"/>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4.590</w:t>
            </w:r>
          </w:p>
        </w:tc>
        <w:tc>
          <w:tcPr>
            <w:tcW w:w="52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55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4.590</w:t>
            </w:r>
          </w:p>
        </w:tc>
        <w:tc>
          <w:tcPr>
            <w:tcW w:w="395"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30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bl>
    <w:p w:rsidR="00F6226F" w:rsidRPr="00AE69FE" w:rsidRDefault="00F6226F" w:rsidP="00F6226F">
      <w:pPr>
        <w:spacing w:line="360" w:lineRule="auto"/>
        <w:rPr>
          <w:b/>
          <w:szCs w:val="20"/>
        </w:rPr>
      </w:pPr>
    </w:p>
    <w:tbl>
      <w:tblPr>
        <w:tblW w:w="8720" w:type="dxa"/>
        <w:tblInd w:w="55" w:type="dxa"/>
        <w:tblCellMar>
          <w:left w:w="70" w:type="dxa"/>
          <w:right w:w="70" w:type="dxa"/>
        </w:tblCellMar>
        <w:tblLook w:val="04A0" w:firstRow="1" w:lastRow="0" w:firstColumn="1" w:lastColumn="0" w:noHBand="0" w:noVBand="1"/>
      </w:tblPr>
      <w:tblGrid>
        <w:gridCol w:w="3720"/>
        <w:gridCol w:w="1180"/>
        <w:gridCol w:w="1120"/>
        <w:gridCol w:w="1180"/>
        <w:gridCol w:w="840"/>
        <w:gridCol w:w="680"/>
      </w:tblGrid>
      <w:tr w:rsidR="00F6226F" w:rsidRPr="00526E97" w:rsidTr="00175626">
        <w:trPr>
          <w:trHeight w:val="450"/>
        </w:trPr>
        <w:tc>
          <w:tcPr>
            <w:tcW w:w="3720" w:type="dxa"/>
            <w:tcBorders>
              <w:top w:val="single" w:sz="4" w:space="0" w:color="auto"/>
              <w:left w:val="single" w:sz="4" w:space="0" w:color="auto"/>
              <w:bottom w:val="nil"/>
              <w:right w:val="nil"/>
            </w:tcBorders>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 xml:space="preserve">Omschrijving </w:t>
            </w:r>
            <w:r w:rsidRPr="00526E97">
              <w:rPr>
                <w:b/>
                <w:bCs/>
                <w:color w:val="000000" w:themeColor="text1"/>
                <w:sz w:val="16"/>
                <w:szCs w:val="16"/>
              </w:rPr>
              <w:t>(bedragen x € 1.000)</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Programma uitgaven</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Apparaat uitgaven</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c>
          <w:tcPr>
            <w:tcW w:w="84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2.016</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2017 ev</w:t>
            </w:r>
          </w:p>
        </w:tc>
      </w:tr>
      <w:tr w:rsidR="00F6226F" w:rsidRPr="00AE69FE" w:rsidTr="00175626">
        <w:trPr>
          <w:trHeight w:val="255"/>
        </w:trPr>
        <w:tc>
          <w:tcPr>
            <w:tcW w:w="372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0</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4"/>
                <w:szCs w:val="14"/>
              </w:rPr>
            </w:pPr>
            <w:r w:rsidRPr="00AE69FE">
              <w:rPr>
                <w:sz w:val="14"/>
                <w:szCs w:val="14"/>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37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4"/>
                <w:szCs w:val="14"/>
              </w:rPr>
            </w:pPr>
            <w:r w:rsidRPr="00AE69FE">
              <w:rPr>
                <w:sz w:val="14"/>
                <w:szCs w:val="14"/>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4"/>
                <w:szCs w:val="14"/>
              </w:rPr>
            </w:pPr>
            <w:r w:rsidRPr="00AE69FE">
              <w:rPr>
                <w:sz w:val="14"/>
                <w:szCs w:val="14"/>
              </w:rPr>
              <w:t> </w:t>
            </w:r>
          </w:p>
        </w:tc>
      </w:tr>
      <w:tr w:rsidR="00F6226F" w:rsidRPr="00AE69FE" w:rsidTr="00175626">
        <w:trPr>
          <w:trHeight w:val="255"/>
        </w:trPr>
        <w:tc>
          <w:tcPr>
            <w:tcW w:w="3720" w:type="dxa"/>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Interne herschikking</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1.574</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-1.574</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-1.931</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-1.931</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-2.185</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-2.185</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200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200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-1.901</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-1.901</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15.700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15.700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161</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161</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single" w:sz="4" w:space="0" w:color="auto"/>
              <w:left w:val="single" w:sz="4" w:space="0" w:color="auto"/>
              <w:bottom w:val="single" w:sz="4" w:space="0" w:color="auto"/>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-5.000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-5.000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Bijstelling formatie (inhuur)</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1.000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1.000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2.090</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2.090</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1.574</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8.845</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10.419</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72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180" w:type="dxa"/>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1.574</w:t>
            </w:r>
          </w:p>
        </w:tc>
        <w:tc>
          <w:tcPr>
            <w:tcW w:w="112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8.845</w:t>
            </w:r>
          </w:p>
        </w:tc>
        <w:tc>
          <w:tcPr>
            <w:tcW w:w="11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b/>
                <w:bCs/>
                <w:sz w:val="16"/>
                <w:szCs w:val="16"/>
              </w:rPr>
            </w:pPr>
            <w:r w:rsidRPr="00AE69FE">
              <w:rPr>
                <w:b/>
                <w:bCs/>
                <w:sz w:val="16"/>
                <w:szCs w:val="16"/>
              </w:rPr>
              <w:t>10.419</w:t>
            </w:r>
          </w:p>
        </w:tc>
        <w:tc>
          <w:tcPr>
            <w:tcW w:w="84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-1.931</w:t>
            </w:r>
          </w:p>
        </w:tc>
        <w:tc>
          <w:tcPr>
            <w:tcW w:w="680" w:type="dxa"/>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-1.931</w:t>
            </w:r>
          </w:p>
        </w:tc>
      </w:tr>
    </w:tbl>
    <w:p w:rsidR="00F6226F" w:rsidRPr="00AE69FE" w:rsidRDefault="00F6226F" w:rsidP="00F6226F">
      <w:pPr>
        <w:spacing w:line="360" w:lineRule="auto"/>
        <w:rPr>
          <w:b/>
          <w:szCs w:val="20"/>
        </w:rPr>
      </w:pPr>
    </w:p>
    <w:p w:rsidR="00F6226F" w:rsidRPr="00AE69FE" w:rsidRDefault="00F6226F" w:rsidP="00F6226F">
      <w:pPr>
        <w:spacing w:line="360" w:lineRule="auto"/>
        <w:rPr>
          <w:b/>
          <w:szCs w:val="20"/>
        </w:rPr>
      </w:pPr>
      <w:r w:rsidRPr="00AE69FE">
        <w:rPr>
          <w:b/>
          <w:szCs w:val="20"/>
        </w:rPr>
        <w:t>Toelichting</w:t>
      </w:r>
    </w:p>
    <w:p w:rsidR="00F6226F" w:rsidRPr="00AE69FE" w:rsidRDefault="00F6226F" w:rsidP="00F6226F">
      <w:pPr>
        <w:spacing w:line="360" w:lineRule="auto"/>
        <w:rPr>
          <w:i/>
          <w:szCs w:val="20"/>
        </w:rPr>
      </w:pPr>
    </w:p>
    <w:p w:rsidR="00F6226F" w:rsidRPr="00AE69FE" w:rsidRDefault="00F6226F" w:rsidP="00F6226F">
      <w:pPr>
        <w:spacing w:line="360" w:lineRule="auto"/>
        <w:rPr>
          <w:i/>
        </w:rPr>
      </w:pPr>
      <w:r w:rsidRPr="00AE69FE">
        <w:rPr>
          <w:i/>
        </w:rPr>
        <w:t xml:space="preserve">Interne herschikkingen KMar </w:t>
      </w:r>
    </w:p>
    <w:p w:rsidR="00F6226F" w:rsidRPr="00AE69FE" w:rsidRDefault="00F6226F" w:rsidP="00F6226F">
      <w:pPr>
        <w:spacing w:line="360" w:lineRule="auto"/>
      </w:pPr>
      <w:r w:rsidRPr="00AE69FE">
        <w:t xml:space="preserve">Dit betreft een herschikking binnen de uitgavencategorieën van de KMar om de budgetten te laten aansluiten op de artikelonderdelen en de hieraan gekoppelde activiteiten. </w:t>
      </w:r>
    </w:p>
    <w:p w:rsidR="00F6226F" w:rsidRPr="00AE69FE" w:rsidRDefault="00F6226F" w:rsidP="00F6226F">
      <w:pPr>
        <w:spacing w:line="360" w:lineRule="auto"/>
        <w:rPr>
          <w:szCs w:val="20"/>
        </w:rPr>
      </w:pPr>
    </w:p>
    <w:p w:rsidR="00F6226F" w:rsidRPr="00AE69FE" w:rsidRDefault="00F6226F" w:rsidP="00F6226F">
      <w:pPr>
        <w:spacing w:line="360" w:lineRule="auto"/>
        <w:rPr>
          <w:i/>
        </w:rPr>
      </w:pPr>
    </w:p>
    <w:p w:rsidR="00F6226F" w:rsidRPr="00AE69FE" w:rsidRDefault="00F6226F" w:rsidP="00F6226F">
      <w:pPr>
        <w:spacing w:line="360" w:lineRule="auto"/>
        <w:rPr>
          <w:i/>
        </w:rPr>
      </w:pP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 xml:space="preserve">Overhevelingen tussen departementen &amp; mutaties generale middelen </w:t>
      </w:r>
    </w:p>
    <w:p w:rsidR="00F6226F" w:rsidRPr="00AE69FE" w:rsidRDefault="00F6226F" w:rsidP="00F6226F">
      <w:pPr>
        <w:spacing w:line="360" w:lineRule="auto"/>
      </w:pPr>
      <w:r w:rsidRPr="00AE69FE">
        <w:t>De KMar draagt € 2,2 miljoen (structureel) bij aan de financiering van formatieplaatsen bij de Dienst Terugkeer &amp; Vertrek (DT&amp;V) van het ministerie van Veiligheid en Justitie. Daar tegenover staat een vergoeding van € 0,3 miljoen (structureel) van DT&amp;V voor het escorteren van uitgeprocedeerde asielzoekers. Per saldo wordt structureel € 1,9 miljoen overgeheveld. Op 10 december 2014 is besloten de governance van Caribisch Nederland te hervormen en de budgetten voor de Rijksdienst Caribisch Nederland (RCN/C), op dit moment geraamd op de begrotingen van de afnemers, vanaf 2016 bij Voorjaarsnota 2015 over te hevelen naar het begrotingshoofdstuk Koninkrijksrelaties (IV). Van dit artikel wordt € 0,3 miljoen daaraan bijgedragen.</w:t>
      </w:r>
    </w:p>
    <w:p w:rsidR="00F6226F" w:rsidRPr="00AE69FE" w:rsidRDefault="00F6226F" w:rsidP="00F6226F">
      <w:pPr>
        <w:spacing w:line="360" w:lineRule="auto"/>
        <w:rPr>
          <w:szCs w:val="20"/>
        </w:rPr>
      </w:pPr>
    </w:p>
    <w:p w:rsidR="00F6226F" w:rsidRPr="00AE69FE" w:rsidRDefault="00F6226F" w:rsidP="00F6226F">
      <w:pPr>
        <w:spacing w:line="360" w:lineRule="auto"/>
        <w:rPr>
          <w:i/>
          <w:szCs w:val="20"/>
        </w:rPr>
      </w:pPr>
      <w:r w:rsidRPr="00AE69FE">
        <w:rPr>
          <w:i/>
          <w:szCs w:val="20"/>
        </w:rPr>
        <w:t xml:space="preserve">Spiegelen budgetten 2014 / Herallocatie budgetten </w:t>
      </w:r>
    </w:p>
    <w:p w:rsidR="00F6226F" w:rsidRPr="00AE69FE" w:rsidRDefault="00F6226F" w:rsidP="00F6226F">
      <w:pPr>
        <w:spacing w:line="360" w:lineRule="auto"/>
        <w:rPr>
          <w:szCs w:val="20"/>
        </w:rPr>
      </w:pPr>
      <w:r w:rsidRPr="00AE69FE">
        <w:t>Dit artikel wordt € 0,2 miljoen bijgesteld als gevolg van de onderrealisatie in 2014 en onder meer toegewezen aan het budget voor de pilot reservisten (€ 0,1 miljoen).</w:t>
      </w:r>
      <w:r w:rsidRPr="00AE69FE">
        <w:rPr>
          <w:szCs w:val="20"/>
        </w:rPr>
        <w:t xml:space="preserve"> </w:t>
      </w:r>
    </w:p>
    <w:p w:rsidR="00F6226F" w:rsidRPr="00AE69FE" w:rsidRDefault="00F6226F" w:rsidP="00F6226F">
      <w:pPr>
        <w:spacing w:line="360" w:lineRule="auto"/>
        <w:rPr>
          <w:szCs w:val="20"/>
        </w:rPr>
      </w:pPr>
    </w:p>
    <w:p w:rsidR="00F6226F" w:rsidRPr="00AE69FE" w:rsidRDefault="00F6226F" w:rsidP="00F6226F">
      <w:pPr>
        <w:spacing w:line="360" w:lineRule="auto"/>
        <w:rPr>
          <w:i/>
        </w:rPr>
      </w:pPr>
      <w:r w:rsidRPr="00AE69FE">
        <w:rPr>
          <w:i/>
        </w:rPr>
        <w:t>Financiering vanuit het BIV</w:t>
      </w:r>
    </w:p>
    <w:p w:rsidR="00F6226F" w:rsidRPr="00AE69FE" w:rsidRDefault="00F6226F" w:rsidP="00F6226F">
      <w:pPr>
        <w:tabs>
          <w:tab w:val="left" w:pos="-1440"/>
          <w:tab w:val="left" w:pos="-720"/>
        </w:tabs>
        <w:suppressAutoHyphens/>
        <w:spacing w:line="360" w:lineRule="auto"/>
        <w:rPr>
          <w:b/>
          <w:szCs w:val="20"/>
        </w:rPr>
      </w:pPr>
      <w:r w:rsidRPr="00AE69FE">
        <w:t>Vanuit het artikel inzet wordt € 4,6 miljoen toegevoegd aan dit artikel. Het budget is bestemd voor de inzet van KMar-personeel uit de KMar-</w:t>
      </w:r>
      <w:r w:rsidRPr="00AE69FE">
        <w:rPr>
          <w:i/>
        </w:rPr>
        <w:t>pool</w:t>
      </w:r>
      <w:r w:rsidRPr="00AE69FE">
        <w:t xml:space="preserve"> ten behoeve van missies.</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Herschikking tussen defensie onderdelen</w:t>
      </w:r>
    </w:p>
    <w:p w:rsidR="00F6226F" w:rsidRPr="00AE69FE" w:rsidRDefault="00F6226F" w:rsidP="00F6226F">
      <w:pPr>
        <w:spacing w:line="360" w:lineRule="auto"/>
      </w:pPr>
      <w:r w:rsidRPr="00AE69FE">
        <w:t>Dit betreft een budgetoverheveling vanuit de Bestuursstaf voor het Landelijk Tactisch Commando (LTC).</w:t>
      </w:r>
    </w:p>
    <w:p w:rsidR="00F6226F" w:rsidRPr="00AE69FE" w:rsidRDefault="00F6226F" w:rsidP="00F6226F">
      <w:pPr>
        <w:spacing w:line="360" w:lineRule="auto"/>
        <w:rPr>
          <w:i/>
        </w:rPr>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heffing van de afdracht in het kader van de werkkostenregeling. Van een periodieke inhouding gaat de Belastingdienst over naar een jaarlijkse inhouding.</w:t>
      </w:r>
    </w:p>
    <w:p w:rsidR="00F6226F" w:rsidRPr="00AE69FE" w:rsidRDefault="00F6226F" w:rsidP="00F6226F">
      <w:pPr>
        <w:tabs>
          <w:tab w:val="left" w:pos="-1440"/>
          <w:tab w:val="left" w:pos="-720"/>
        </w:tabs>
        <w:suppressAutoHyphens/>
        <w:spacing w:line="360" w:lineRule="auto"/>
        <w:rPr>
          <w:i/>
        </w:rPr>
      </w:pPr>
    </w:p>
    <w:p w:rsidR="00F6226F" w:rsidRPr="00AE69FE" w:rsidRDefault="00F6226F" w:rsidP="00F6226F">
      <w:pPr>
        <w:tabs>
          <w:tab w:val="left" w:pos="-1440"/>
          <w:tab w:val="left" w:pos="-720"/>
        </w:tabs>
        <w:suppressAutoHyphens/>
        <w:spacing w:line="360" w:lineRule="auto"/>
      </w:pPr>
      <w:r w:rsidRPr="00AE69FE">
        <w:rPr>
          <w:i/>
        </w:rPr>
        <w:t>Bijstelling formatie (inhuur)</w:t>
      </w:r>
      <w:r w:rsidRPr="00AE69FE">
        <w:rPr>
          <w:i/>
        </w:rPr>
        <w:br/>
      </w:r>
      <w:r w:rsidRPr="00AE69FE">
        <w:t>De verhoging van € 1,0 miljoen van het formatiebudget betreft de inhuur voor de implementatie van ERP in de organisatie.</w:t>
      </w: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pPr>
      <w:r w:rsidRPr="00AE69FE">
        <w:t>Vanwege de aanpassingen van het werkgeversdeel van de pensioenbijdragen valt er structureel circa € 1,9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tabs>
          <w:tab w:val="left" w:pos="-1440"/>
          <w:tab w:val="left" w:pos="-720"/>
        </w:tabs>
        <w:suppressAutoHyphens/>
        <w:spacing w:line="360" w:lineRule="auto"/>
        <w:rPr>
          <w:b/>
        </w:rPr>
      </w:pPr>
    </w:p>
    <w:p w:rsidR="00F6226F" w:rsidRPr="00AE69FE" w:rsidRDefault="00F6226F" w:rsidP="00F6226F">
      <w:pPr>
        <w:pStyle w:val="Plattetekst3"/>
        <w:spacing w:line="360" w:lineRule="auto"/>
        <w:rPr>
          <w:b/>
          <w:sz w:val="20"/>
        </w:rPr>
      </w:pPr>
    </w:p>
    <w:p w:rsidR="00F6226F" w:rsidRPr="00AE69FE" w:rsidRDefault="00F6226F" w:rsidP="00F6226F">
      <w:pPr>
        <w:rPr>
          <w:b/>
        </w:rPr>
      </w:pPr>
      <w:r w:rsidRPr="00AE69FE">
        <w:rPr>
          <w:b/>
        </w:rPr>
        <w:br w:type="page"/>
      </w:r>
    </w:p>
    <w:p w:rsidR="00F6226F" w:rsidRPr="00AE69FE" w:rsidRDefault="00F6226F" w:rsidP="00F6226F">
      <w:pPr>
        <w:pStyle w:val="Plattetekst3"/>
        <w:spacing w:line="360" w:lineRule="auto"/>
        <w:rPr>
          <w:b/>
          <w:sz w:val="20"/>
        </w:rPr>
      </w:pPr>
      <w:r w:rsidRPr="00AE69FE">
        <w:rPr>
          <w:b/>
          <w:sz w:val="20"/>
        </w:rPr>
        <w:lastRenderedPageBreak/>
        <w:t>Beleidsartikel 6 Investeringen krijgsmacht</w:t>
      </w:r>
    </w:p>
    <w:p w:rsidR="00F6226F" w:rsidRPr="00AE69FE" w:rsidRDefault="00F6226F" w:rsidP="00F6226F">
      <w:pPr>
        <w:pStyle w:val="Plattetekst3"/>
        <w:spacing w:line="360" w:lineRule="auto"/>
        <w:rPr>
          <w:b/>
          <w:sz w:val="20"/>
        </w:rPr>
      </w:pPr>
    </w:p>
    <w:tbl>
      <w:tblPr>
        <w:tblW w:w="0" w:type="auto"/>
        <w:tblInd w:w="55" w:type="dxa"/>
        <w:tblCellMar>
          <w:left w:w="70" w:type="dxa"/>
          <w:right w:w="70" w:type="dxa"/>
        </w:tblCellMar>
        <w:tblLook w:val="04A0" w:firstRow="1" w:lastRow="0" w:firstColumn="1" w:lastColumn="0" w:noHBand="0" w:noVBand="1"/>
      </w:tblPr>
      <w:tblGrid>
        <w:gridCol w:w="1966"/>
        <w:gridCol w:w="2046"/>
        <w:gridCol w:w="1479"/>
        <w:gridCol w:w="1452"/>
        <w:gridCol w:w="683"/>
        <w:gridCol w:w="630"/>
        <w:gridCol w:w="630"/>
        <w:gridCol w:w="630"/>
        <w:gridCol w:w="594"/>
      </w:tblGrid>
      <w:tr w:rsidR="00F6226F" w:rsidRPr="00AE69FE" w:rsidTr="00175626">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6 Investeringen Krijgsmacht (bedragen x € 1.000)</w:t>
            </w:r>
          </w:p>
        </w:tc>
      </w:tr>
      <w:tr w:rsidR="00F6226F" w:rsidRPr="00AE69FE" w:rsidTr="00175626">
        <w:trPr>
          <w:trHeight w:val="600"/>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000000" w:fill="BFBFBF"/>
            <w:noWrap/>
            <w:vAlign w:val="bottom"/>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center"/>
              <w:rPr>
                <w:b/>
                <w:bCs/>
                <w:sz w:val="16"/>
                <w:szCs w:val="16"/>
              </w:rPr>
            </w:pPr>
            <w:r w:rsidRPr="00AE69FE">
              <w:rPr>
                <w:b/>
                <w:b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1.456.041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-177.657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1.278.384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31.700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25.900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47.900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3.600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nieuw materieel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1.097.713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-206.363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891.350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47.900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infrastructuur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194.194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-12.404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181.790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ICT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75.297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28.387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103.684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Bekostiging Wetenschappelijk onderzoek</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59.445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60.005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Bijdrage aan de NAVO</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29.392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41.555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1.308.438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-103.457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1.204.981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-44.978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29.747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24.191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46.525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2.225</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1.308.438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-103.457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1.204.981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-44.978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29.747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24.191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46.525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2.225</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nieuw materieel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915.200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-132.163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783.037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47.900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infrastructuur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191.483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-12.404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179.079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Voorzien in ICT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112.918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28.387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141.305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-2.078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-1.709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-1.375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-1.375</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Bekostiging Wetenschappelijk onderzoek</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59.445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60.005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Bijdrage aan de NAVO</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29.392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41.555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b/>
                <w:bCs/>
                <w:sz w:val="16"/>
                <w:szCs w:val="16"/>
              </w:rPr>
            </w:pPr>
            <w:r w:rsidRPr="00AE69FE">
              <w:rPr>
                <w:b/>
                <w:bCs/>
                <w:sz w:val="16"/>
                <w:szCs w:val="16"/>
              </w:rPr>
              <w:t>Programma 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152.556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189.719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 Verkoopopbrengsten groot materieel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117.386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153.586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 Verkoopopbrengsten infrastructuur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33.300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22.100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 Overige 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14.033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bl>
    <w:p w:rsidR="00F6226F" w:rsidRPr="00AE69FE" w:rsidRDefault="00F6226F" w:rsidP="00F6226F">
      <w:pPr>
        <w:pStyle w:val="Plattetekst3"/>
        <w:spacing w:line="360" w:lineRule="auto"/>
        <w:rPr>
          <w:b/>
          <w:sz w:val="20"/>
        </w:rPr>
      </w:pPr>
    </w:p>
    <w:tbl>
      <w:tblPr>
        <w:tblW w:w="5000" w:type="pct"/>
        <w:tblCellMar>
          <w:left w:w="70" w:type="dxa"/>
          <w:right w:w="70" w:type="dxa"/>
        </w:tblCellMar>
        <w:tblLook w:val="04A0" w:firstRow="1" w:lastRow="0" w:firstColumn="1" w:lastColumn="0" w:noHBand="0" w:noVBand="1"/>
      </w:tblPr>
      <w:tblGrid>
        <w:gridCol w:w="3959"/>
        <w:gridCol w:w="1136"/>
        <w:gridCol w:w="1097"/>
        <w:gridCol w:w="1058"/>
        <w:gridCol w:w="982"/>
        <w:gridCol w:w="903"/>
        <w:gridCol w:w="1030"/>
      </w:tblGrid>
      <w:tr w:rsidR="00F6226F" w:rsidRPr="00AE69FE" w:rsidTr="00175626">
        <w:trPr>
          <w:trHeight w:val="750"/>
        </w:trPr>
        <w:tc>
          <w:tcPr>
            <w:tcW w:w="1954"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Omschrijving (bedragen x € 1.000)</w:t>
            </w:r>
          </w:p>
        </w:tc>
        <w:tc>
          <w:tcPr>
            <w:tcW w:w="565"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art 6.1 nieuw materiaal</w:t>
            </w:r>
          </w:p>
        </w:tc>
        <w:tc>
          <w:tcPr>
            <w:tcW w:w="546"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art 6.2 infra-structuur</w:t>
            </w:r>
          </w:p>
        </w:tc>
        <w:tc>
          <w:tcPr>
            <w:tcW w:w="527"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art 6.3 ICT</w:t>
            </w:r>
          </w:p>
        </w:tc>
        <w:tc>
          <w:tcPr>
            <w:tcW w:w="489"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art 6.4 WOO</w:t>
            </w:r>
          </w:p>
        </w:tc>
        <w:tc>
          <w:tcPr>
            <w:tcW w:w="450"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art 6.5 NAVO</w:t>
            </w:r>
          </w:p>
        </w:tc>
        <w:tc>
          <w:tcPr>
            <w:tcW w:w="469" w:type="pct"/>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Totaal Programma uitgaven</w:t>
            </w:r>
          </w:p>
        </w:tc>
      </w:tr>
      <w:tr w:rsidR="00F6226F" w:rsidRPr="00AE69FE" w:rsidTr="00175626">
        <w:trPr>
          <w:trHeight w:val="255"/>
        </w:trPr>
        <w:tc>
          <w:tcPr>
            <w:tcW w:w="1954" w:type="pct"/>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5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546"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527"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489"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450"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469"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195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565"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6"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50"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954" w:type="pct"/>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-9.635</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-1.613</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110</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-11.138</w:t>
            </w:r>
          </w:p>
        </w:tc>
      </w:tr>
      <w:tr w:rsidR="00F6226F" w:rsidRPr="00AE69FE" w:rsidTr="00175626">
        <w:trPr>
          <w:trHeight w:val="255"/>
        </w:trPr>
        <w:tc>
          <w:tcPr>
            <w:tcW w:w="1954"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personele exploitatie tlv investeringen</w:t>
            </w:r>
          </w:p>
        </w:tc>
        <w:tc>
          <w:tcPr>
            <w:tcW w:w="565"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-39.000</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-39.000</w:t>
            </w:r>
          </w:p>
        </w:tc>
      </w:tr>
      <w:tr w:rsidR="00F6226F" w:rsidRPr="00AE69FE" w:rsidTr="00175626">
        <w:trPr>
          <w:trHeight w:val="255"/>
        </w:trPr>
        <w:tc>
          <w:tcPr>
            <w:tcW w:w="1954"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instandhouding, IV/ICT, infra tlv investeringen</w:t>
            </w:r>
          </w:p>
        </w:tc>
        <w:tc>
          <w:tcPr>
            <w:tcW w:w="565"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-27.700</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-27.700</w:t>
            </w:r>
          </w:p>
        </w:tc>
      </w:tr>
      <w:tr w:rsidR="00F6226F" w:rsidRPr="00AE69FE" w:rsidTr="00175626">
        <w:trPr>
          <w:trHeight w:val="255"/>
        </w:trPr>
        <w:tc>
          <w:tcPr>
            <w:tcW w:w="195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Kasschuif herijking investeringen</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-96.600</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-96.600</w:t>
            </w:r>
          </w:p>
        </w:tc>
      </w:tr>
      <w:tr w:rsidR="00F6226F" w:rsidRPr="00AE69FE" w:rsidTr="00175626">
        <w:trPr>
          <w:trHeight w:val="255"/>
        </w:trPr>
        <w:tc>
          <w:tcPr>
            <w:tcW w:w="195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-5.248</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450</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-4.798</w:t>
            </w:r>
          </w:p>
        </w:tc>
      </w:tr>
      <w:tr w:rsidR="00F6226F" w:rsidRPr="00AE69FE" w:rsidTr="00175626">
        <w:trPr>
          <w:trHeight w:val="255"/>
        </w:trPr>
        <w:tc>
          <w:tcPr>
            <w:tcW w:w="195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EJM investeringen</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7.759</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30.000</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37.759</w:t>
            </w:r>
          </w:p>
        </w:tc>
      </w:tr>
      <w:tr w:rsidR="00F6226F" w:rsidRPr="00AE69FE" w:rsidTr="00175626">
        <w:trPr>
          <w:trHeight w:val="255"/>
        </w:trPr>
        <w:tc>
          <w:tcPr>
            <w:tcW w:w="195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Financiering vanuit BIV</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2.061</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700</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2.761</w:t>
            </w:r>
          </w:p>
        </w:tc>
      </w:tr>
      <w:tr w:rsidR="00F6226F" w:rsidRPr="00AE69FE" w:rsidTr="00175626">
        <w:trPr>
          <w:trHeight w:val="255"/>
        </w:trPr>
        <w:tc>
          <w:tcPr>
            <w:tcW w:w="1954"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Doorwerking ontvangsten</w:t>
            </w:r>
          </w:p>
        </w:tc>
        <w:tc>
          <w:tcPr>
            <w:tcW w:w="565" w:type="pct"/>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36.200</w:t>
            </w:r>
          </w:p>
        </w:tc>
        <w:tc>
          <w:tcPr>
            <w:tcW w:w="546"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-13.104</w:t>
            </w:r>
          </w:p>
        </w:tc>
        <w:tc>
          <w:tcPr>
            <w:tcW w:w="527"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89" w:type="pct"/>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450"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12.163</w:t>
            </w:r>
          </w:p>
        </w:tc>
        <w:tc>
          <w:tcPr>
            <w:tcW w:w="469" w:type="pct"/>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35.259</w:t>
            </w:r>
          </w:p>
        </w:tc>
      </w:tr>
      <w:tr w:rsidR="00F6226F" w:rsidRPr="00AE69FE" w:rsidTr="00175626">
        <w:trPr>
          <w:trHeight w:val="255"/>
        </w:trPr>
        <w:tc>
          <w:tcPr>
            <w:tcW w:w="1954" w:type="pct"/>
            <w:tcBorders>
              <w:top w:val="single" w:sz="8" w:space="0" w:color="auto"/>
              <w:left w:val="single" w:sz="4" w:space="0" w:color="auto"/>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565"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-132.163</w:t>
            </w:r>
          </w:p>
        </w:tc>
        <w:tc>
          <w:tcPr>
            <w:tcW w:w="546"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-12.404</w:t>
            </w:r>
          </w:p>
        </w:tc>
        <w:tc>
          <w:tcPr>
            <w:tcW w:w="527"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28.387</w:t>
            </w:r>
          </w:p>
        </w:tc>
        <w:tc>
          <w:tcPr>
            <w:tcW w:w="489"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560</w:t>
            </w:r>
          </w:p>
        </w:tc>
        <w:tc>
          <w:tcPr>
            <w:tcW w:w="450"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12.163</w:t>
            </w:r>
          </w:p>
        </w:tc>
        <w:tc>
          <w:tcPr>
            <w:tcW w:w="469"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-103.457</w:t>
            </w:r>
          </w:p>
        </w:tc>
      </w:tr>
      <w:tr w:rsidR="00F6226F" w:rsidRPr="00AE69FE" w:rsidTr="00175626">
        <w:trPr>
          <w:trHeight w:val="255"/>
        </w:trPr>
        <w:tc>
          <w:tcPr>
            <w:tcW w:w="1954"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565" w:type="pct"/>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46" w:type="pct"/>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527" w:type="pct"/>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89" w:type="pct"/>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50" w:type="pct"/>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469" w:type="pct"/>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1954" w:type="pct"/>
            <w:tcBorders>
              <w:top w:val="single" w:sz="8" w:space="0" w:color="auto"/>
              <w:left w:val="single" w:sz="4" w:space="0" w:color="auto"/>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565"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-132.163</w:t>
            </w:r>
          </w:p>
        </w:tc>
        <w:tc>
          <w:tcPr>
            <w:tcW w:w="546"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-12.404</w:t>
            </w:r>
          </w:p>
        </w:tc>
        <w:tc>
          <w:tcPr>
            <w:tcW w:w="527"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28.387</w:t>
            </w:r>
          </w:p>
        </w:tc>
        <w:tc>
          <w:tcPr>
            <w:tcW w:w="489"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560</w:t>
            </w:r>
          </w:p>
        </w:tc>
        <w:tc>
          <w:tcPr>
            <w:tcW w:w="450"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12.163</w:t>
            </w:r>
          </w:p>
        </w:tc>
        <w:tc>
          <w:tcPr>
            <w:tcW w:w="469" w:type="pct"/>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-103.457</w:t>
            </w:r>
          </w:p>
        </w:tc>
      </w:tr>
    </w:tbl>
    <w:p w:rsidR="00F6226F" w:rsidRPr="00AE69FE" w:rsidRDefault="00F6226F" w:rsidP="00F6226F">
      <w:pPr>
        <w:keepNext/>
        <w:spacing w:line="360" w:lineRule="auto"/>
        <w:rPr>
          <w:b/>
          <w:szCs w:val="20"/>
        </w:rPr>
      </w:pPr>
    </w:p>
    <w:p w:rsidR="00F6226F" w:rsidRPr="00AE69FE" w:rsidRDefault="00F6226F" w:rsidP="00F6226F">
      <w:pPr>
        <w:keepNext/>
        <w:spacing w:line="360" w:lineRule="auto"/>
        <w:rPr>
          <w:b/>
          <w:szCs w:val="20"/>
        </w:rPr>
      </w:pPr>
    </w:p>
    <w:p w:rsidR="00F6226F" w:rsidRPr="00AE69FE" w:rsidRDefault="00F6226F" w:rsidP="00F6226F">
      <w:pPr>
        <w:rPr>
          <w:b/>
          <w:szCs w:val="20"/>
        </w:rPr>
      </w:pPr>
      <w:r w:rsidRPr="00AE69FE">
        <w:rPr>
          <w:b/>
          <w:szCs w:val="20"/>
        </w:rPr>
        <w:br w:type="page"/>
      </w:r>
    </w:p>
    <w:p w:rsidR="00F6226F" w:rsidRPr="00AE69FE" w:rsidRDefault="00F6226F" w:rsidP="00F6226F">
      <w:pPr>
        <w:keepNext/>
        <w:spacing w:line="360" w:lineRule="auto"/>
        <w:rPr>
          <w:b/>
          <w:szCs w:val="20"/>
        </w:rPr>
      </w:pPr>
      <w:r w:rsidRPr="00AE69FE">
        <w:rPr>
          <w:b/>
          <w:szCs w:val="20"/>
        </w:rPr>
        <w:lastRenderedPageBreak/>
        <w:t>Toelichting</w:t>
      </w:r>
    </w:p>
    <w:p w:rsidR="00F6226F" w:rsidRPr="00AE69FE" w:rsidRDefault="00F6226F" w:rsidP="00F6226F">
      <w:pPr>
        <w:keepNext/>
        <w:spacing w:line="360" w:lineRule="auto"/>
        <w:rPr>
          <w:b/>
          <w:szCs w:val="20"/>
        </w:rPr>
      </w:pPr>
    </w:p>
    <w:p w:rsidR="00F6226F" w:rsidRPr="00AE69FE" w:rsidRDefault="00F6226F" w:rsidP="00F6226F">
      <w:pPr>
        <w:spacing w:line="360" w:lineRule="auto"/>
        <w:rPr>
          <w:i/>
        </w:rPr>
      </w:pPr>
      <w:r w:rsidRPr="00AE69FE">
        <w:rPr>
          <w:i/>
        </w:rPr>
        <w:t>Bijstellen verplichtingenbudget</w:t>
      </w:r>
    </w:p>
    <w:p w:rsidR="00F6226F" w:rsidRPr="00AE69FE" w:rsidRDefault="00F6226F" w:rsidP="00F6226F">
      <w:pPr>
        <w:spacing w:line="360" w:lineRule="auto"/>
        <w:rPr>
          <w:szCs w:val="20"/>
        </w:rPr>
      </w:pPr>
      <w:r w:rsidRPr="00AE69FE">
        <w:rPr>
          <w:szCs w:val="20"/>
        </w:rPr>
        <w:t>Met de verwachting over de in 2015 aangegane verplichtingen en de uitgavenmutaties, zoals deze hieronder worden toegelicht, wordt het verplichtingenbudget bijgesteld. De doorwerking van de ontvangsten van € 36,2 miljoen is een bijstelling, die geen invloed heeft op de stand van de aan te gane verplichtingen.</w:t>
      </w:r>
    </w:p>
    <w:p w:rsidR="00F6226F" w:rsidRPr="00AE69FE" w:rsidRDefault="00F6226F" w:rsidP="00F6226F">
      <w:pPr>
        <w:spacing w:line="360" w:lineRule="auto"/>
        <w:rPr>
          <w:szCs w:val="20"/>
        </w:rPr>
      </w:pPr>
      <w:r w:rsidRPr="00AE69FE">
        <w:rPr>
          <w:szCs w:val="20"/>
        </w:rPr>
        <w:t xml:space="preserve">  </w:t>
      </w:r>
    </w:p>
    <w:p w:rsidR="00F6226F" w:rsidRPr="00AE69FE" w:rsidRDefault="00F6226F" w:rsidP="00F6226F">
      <w:pPr>
        <w:spacing w:line="360" w:lineRule="auto"/>
        <w:rPr>
          <w:i/>
          <w:szCs w:val="20"/>
        </w:rPr>
      </w:pPr>
      <w:r w:rsidRPr="00AE69FE">
        <w:rPr>
          <w:i/>
          <w:szCs w:val="20"/>
        </w:rPr>
        <w:t xml:space="preserve">Overhevelingen tussen departementen &amp; mutaties generale middelen </w:t>
      </w:r>
    </w:p>
    <w:p w:rsidR="00F6226F" w:rsidRPr="00AE69FE" w:rsidRDefault="00F6226F" w:rsidP="00F6226F">
      <w:pPr>
        <w:spacing w:line="360" w:lineRule="auto"/>
      </w:pPr>
      <w:r w:rsidRPr="00AE69FE">
        <w:t>Dit betreft onder meer de bijdrage in commerciële inhuur van SAR-capaciteit aan het ministerie van Infrastructuur en Milieu (€ 10 miljoen) en de bijdrage voor de financiering van de Generieke Digitale Infrastructuur (GDI) van het ministerie van Binnenlandse Zaken en Koninkrijksrelaties (€ 1,6 miljoen voor 2015). BH&amp;OS draagt bij aan de repatriëringscapaciteit Ebola van € 0,4 miljoen. Het ministerie van Veiligheid en Justitie draagt € 0,11 miljoen bij aan de Veiligheids- en innovatiecompetitie.</w:t>
      </w:r>
      <w:r w:rsidRPr="00AE69FE">
        <w:br/>
      </w:r>
    </w:p>
    <w:p w:rsidR="00F6226F" w:rsidRPr="00AE69FE" w:rsidRDefault="00F6226F" w:rsidP="00F6226F">
      <w:pPr>
        <w:spacing w:line="360" w:lineRule="auto"/>
      </w:pPr>
      <w:r w:rsidRPr="00AE69FE">
        <w:rPr>
          <w:i/>
        </w:rPr>
        <w:t>Kasschuif herijking defensie investeringsplan / Herschikkingen tlv investeringen</w:t>
      </w:r>
      <w:r w:rsidRPr="00AE69FE">
        <w:rPr>
          <w:i/>
        </w:rPr>
        <w:br/>
      </w:r>
      <w:r w:rsidRPr="00AE69FE">
        <w:t>Vanwege de vertraging van een aantal projecten in de herijking van een aantal behoeftestellingen, is een andere fasering van de investeringsuitgaven noodzakelijk. Het betreft onder meer de projecten VF-16, DVOW, Chinook vervanging en modernisering, vervangende capaciteit M-fregatten en vervanging van de onderzeeboten.</w:t>
      </w:r>
    </w:p>
    <w:p w:rsidR="00F6226F" w:rsidRPr="00AE69FE" w:rsidRDefault="00F6226F" w:rsidP="00F6226F">
      <w:pPr>
        <w:spacing w:line="360" w:lineRule="auto"/>
      </w:pPr>
    </w:p>
    <w:p w:rsidR="00F6226F" w:rsidRPr="00AE69FE" w:rsidRDefault="00F6226F" w:rsidP="00F6226F">
      <w:pPr>
        <w:spacing w:line="360" w:lineRule="auto"/>
      </w:pPr>
      <w:r w:rsidRPr="00AE69FE">
        <w:t xml:space="preserve">Met de overheveling van budget van het investeringsartikel wordt tijdelijk dekking geboden voor de  knelpunten in de exploitatie. Dit betreft formatie en de budgetten voor instandhouding van de wapensystemen, exploitatie informatievoorziening en exploitatie van infrastructuur. </w:t>
      </w:r>
    </w:p>
    <w:tbl>
      <w:tblPr>
        <w:tblW w:w="5000" w:type="pct"/>
        <w:tblCellMar>
          <w:left w:w="70" w:type="dxa"/>
          <w:right w:w="70" w:type="dxa"/>
        </w:tblCellMar>
        <w:tblLook w:val="04A0" w:firstRow="1" w:lastRow="0" w:firstColumn="1" w:lastColumn="0" w:noHBand="0" w:noVBand="1"/>
      </w:tblPr>
      <w:tblGrid>
        <w:gridCol w:w="4999"/>
        <w:gridCol w:w="1202"/>
        <w:gridCol w:w="862"/>
        <w:gridCol w:w="862"/>
        <w:gridCol w:w="746"/>
        <w:gridCol w:w="746"/>
        <w:gridCol w:w="748"/>
      </w:tblGrid>
      <w:tr w:rsidR="00F6226F" w:rsidRPr="00AE69FE" w:rsidTr="00175626">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6 Investeringen Krijgsmacht (bedragen x € 1.000); meerjarige mutaties</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591" w:type="pct"/>
            <w:tcBorders>
              <w:top w:val="nil"/>
              <w:left w:val="nil"/>
              <w:bottom w:val="single" w:sz="4" w:space="0" w:color="auto"/>
              <w:right w:val="single" w:sz="4" w:space="0" w:color="auto"/>
            </w:tcBorders>
            <w:shd w:val="clear" w:color="000000" w:fill="BFBFBF"/>
            <w:vAlign w:val="bottom"/>
            <w:hideMark/>
          </w:tcPr>
          <w:p w:rsidR="00F6226F" w:rsidRPr="00AE69FE" w:rsidRDefault="00F6226F" w:rsidP="00175626">
            <w:pPr>
              <w:jc w:val="right"/>
              <w:rPr>
                <w:b/>
                <w:bCs/>
                <w:sz w:val="16"/>
                <w:szCs w:val="16"/>
              </w:rPr>
            </w:pPr>
            <w:r w:rsidRPr="00AE69FE">
              <w:rPr>
                <w:b/>
                <w:bCs/>
                <w:sz w:val="16"/>
                <w:szCs w:val="16"/>
              </w:rPr>
              <w:t>2015</w:t>
            </w:r>
          </w:p>
        </w:tc>
        <w:tc>
          <w:tcPr>
            <w:tcW w:w="424"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2016</w:t>
            </w:r>
          </w:p>
        </w:tc>
        <w:tc>
          <w:tcPr>
            <w:tcW w:w="424"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2017</w:t>
            </w:r>
          </w:p>
        </w:tc>
        <w:tc>
          <w:tcPr>
            <w:tcW w:w="367"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2018</w:t>
            </w:r>
          </w:p>
        </w:tc>
        <w:tc>
          <w:tcPr>
            <w:tcW w:w="367"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2019</w:t>
            </w:r>
          </w:p>
        </w:tc>
        <w:tc>
          <w:tcPr>
            <w:tcW w:w="368" w:type="pct"/>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Kasschuif herijking defensie investeringsplan</w:t>
            </w:r>
          </w:p>
        </w:tc>
        <w:tc>
          <w:tcPr>
            <w:tcW w:w="59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-96.600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88.300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-13.800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22.100</w:t>
            </w:r>
          </w:p>
        </w:tc>
        <w:tc>
          <w:tcPr>
            <w:tcW w:w="36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2459"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personele exploitatie tlv investeringen</w:t>
            </w:r>
          </w:p>
        </w:tc>
        <w:tc>
          <w:tcPr>
            <w:tcW w:w="59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-39.000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-83.000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6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525"/>
        </w:trPr>
        <w:tc>
          <w:tcPr>
            <w:tcW w:w="2459"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instandhouding, IV/ICT, infra tlv investeringen</w:t>
            </w:r>
          </w:p>
        </w:tc>
        <w:tc>
          <w:tcPr>
            <w:tcW w:w="591"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-27.700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-25.200</w:t>
            </w:r>
          </w:p>
        </w:tc>
        <w:tc>
          <w:tcPr>
            <w:tcW w:w="42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-18.500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-11.100</w:t>
            </w:r>
          </w:p>
        </w:tc>
        <w:tc>
          <w:tcPr>
            <w:tcW w:w="36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-3.800</w:t>
            </w:r>
          </w:p>
        </w:tc>
        <w:tc>
          <w:tcPr>
            <w:tcW w:w="36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-3.600</w:t>
            </w:r>
          </w:p>
        </w:tc>
      </w:tr>
    </w:tbl>
    <w:p w:rsidR="00F6226F" w:rsidRPr="00AE69FE" w:rsidRDefault="00F6226F" w:rsidP="00F6226F">
      <w:pPr>
        <w:tabs>
          <w:tab w:val="left" w:pos="-1440"/>
          <w:tab w:val="left" w:pos="-720"/>
        </w:tabs>
        <w:suppressAutoHyphens/>
        <w:spacing w:line="360" w:lineRule="auto"/>
        <w:rPr>
          <w:b/>
          <w:bCs/>
          <w:sz w:val="16"/>
          <w:szCs w:val="16"/>
        </w:rPr>
      </w:pPr>
      <w:r w:rsidRPr="00AE69FE">
        <w:rPr>
          <w:b/>
          <w:bCs/>
          <w:sz w:val="16"/>
          <w:szCs w:val="16"/>
        </w:rPr>
        <w:t>Bedragen x € 1.000</w:t>
      </w:r>
    </w:p>
    <w:p w:rsidR="00F6226F" w:rsidRPr="00AE69FE" w:rsidRDefault="00F6226F" w:rsidP="00F6226F">
      <w:pPr>
        <w:tabs>
          <w:tab w:val="left" w:pos="-1440"/>
          <w:tab w:val="left" w:pos="-720"/>
        </w:tabs>
        <w:suppressAutoHyphens/>
        <w:spacing w:line="360" w:lineRule="auto"/>
        <w:rPr>
          <w:i/>
        </w:rPr>
      </w:pPr>
    </w:p>
    <w:p w:rsidR="00F6226F" w:rsidRPr="00AE69FE" w:rsidRDefault="00F6226F" w:rsidP="00F6226F">
      <w:pPr>
        <w:spacing w:line="360" w:lineRule="auto"/>
        <w:rPr>
          <w:i/>
        </w:rPr>
      </w:pPr>
      <w:r w:rsidRPr="00AE69FE">
        <w:rPr>
          <w:i/>
        </w:rPr>
        <w:t>Herschikking tussen defensieonderdelen</w:t>
      </w:r>
    </w:p>
    <w:p w:rsidR="00F6226F" w:rsidRPr="00AE69FE" w:rsidRDefault="00F6226F" w:rsidP="00F6226F">
      <w:pPr>
        <w:spacing w:line="360" w:lineRule="auto"/>
      </w:pPr>
      <w:r w:rsidRPr="00AE69FE">
        <w:t xml:space="preserve">In het DIP zijn voor nieuwe systemen exploitatiereeksen opgenomen. Bij invoering van deze systemen worden deze reeksen vanuit de investeringsbegroting overgeheveld naar de instandhouding. Vanuit “voorzien in infrastructuur” is budget overgeheveld naar huisvesting en infrastructuur in artikel 8 om knelpunten op te lossen. </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EJM investeringen</w:t>
      </w:r>
    </w:p>
    <w:p w:rsidR="00F6226F" w:rsidRPr="00AE69FE" w:rsidRDefault="00F6226F" w:rsidP="00F6226F">
      <w:pPr>
        <w:widowControl w:val="0"/>
        <w:spacing w:line="360" w:lineRule="auto"/>
        <w:rPr>
          <w:i/>
        </w:rPr>
      </w:pPr>
      <w:r w:rsidRPr="00AE69FE">
        <w:t>In 2014 is € 37,8 minder gerealiseerd dan gepland. Het saldo van € 37,8 miljoen wordt via de eindejaarsmarge toegevoegd aan de investeringsbegroting 2015.</w:t>
      </w:r>
    </w:p>
    <w:p w:rsidR="00F6226F" w:rsidRPr="00AE69FE" w:rsidRDefault="00F6226F" w:rsidP="00F6226F">
      <w:pPr>
        <w:spacing w:line="360" w:lineRule="auto"/>
      </w:pPr>
    </w:p>
    <w:p w:rsidR="00F6226F" w:rsidRPr="00AE69FE" w:rsidRDefault="00F6226F" w:rsidP="00F6226F">
      <w:pPr>
        <w:rPr>
          <w:i/>
        </w:rPr>
      </w:pPr>
      <w:r w:rsidRPr="00AE69FE">
        <w:rPr>
          <w:i/>
        </w:rPr>
        <w:br w:type="page"/>
      </w:r>
    </w:p>
    <w:p w:rsidR="00F6226F" w:rsidRPr="00AE69FE" w:rsidRDefault="00F6226F" w:rsidP="00F6226F">
      <w:pPr>
        <w:spacing w:line="360" w:lineRule="auto"/>
        <w:rPr>
          <w:i/>
        </w:rPr>
      </w:pPr>
      <w:r w:rsidRPr="00AE69FE">
        <w:rPr>
          <w:i/>
        </w:rPr>
        <w:lastRenderedPageBreak/>
        <w:t xml:space="preserve">Financiering vanuit het BIV  </w:t>
      </w:r>
    </w:p>
    <w:p w:rsidR="00F6226F" w:rsidRPr="00AE69FE" w:rsidRDefault="00F6226F" w:rsidP="00F6226F">
      <w:pPr>
        <w:spacing w:line="360" w:lineRule="auto"/>
      </w:pPr>
      <w:r w:rsidRPr="00AE69FE">
        <w:t>Vanuit het BIV is € 2,8 miljoen toegevoegd aan dit artikel. Het budget is bestemd voor de aanschaf van materieel voor inzet van BSB personeel ter beveiliging van Nederlandse ambassades in het buitenland en voor het leveren van repatriëringscapaciteit in het kader van de bestrijding van Ebola.</w:t>
      </w:r>
    </w:p>
    <w:p w:rsidR="00F6226F" w:rsidRPr="00AE69FE" w:rsidRDefault="00F6226F" w:rsidP="00F6226F">
      <w:pPr>
        <w:spacing w:line="360" w:lineRule="auto"/>
        <w:rPr>
          <w:i/>
          <w:szCs w:val="20"/>
        </w:rPr>
      </w:pPr>
    </w:p>
    <w:p w:rsidR="00F6226F" w:rsidRPr="00AE69FE" w:rsidRDefault="00F6226F" w:rsidP="00F6226F">
      <w:pPr>
        <w:spacing w:line="360" w:lineRule="auto"/>
        <w:rPr>
          <w:i/>
          <w:szCs w:val="20"/>
        </w:rPr>
      </w:pPr>
      <w:r w:rsidRPr="00AE69FE">
        <w:rPr>
          <w:i/>
          <w:szCs w:val="20"/>
        </w:rPr>
        <w:t>Doorwerking van de ontvangsten</w:t>
      </w:r>
    </w:p>
    <w:p w:rsidR="00F6226F" w:rsidRPr="00AE69FE" w:rsidRDefault="00F6226F" w:rsidP="00F6226F">
      <w:pPr>
        <w:spacing w:line="360" w:lineRule="auto"/>
        <w:rPr>
          <w:szCs w:val="20"/>
        </w:rPr>
      </w:pPr>
      <w:r w:rsidRPr="00AE69FE">
        <w:rPr>
          <w:szCs w:val="20"/>
        </w:rPr>
        <w:t xml:space="preserve">De ontvangsten op het investeringsartikel, die hieronder nader worden toegelicht, zijn met € 37,2 miljoen verhoogd. Op artikel 8 is de bijdrage van de stichting </w:t>
      </w:r>
      <w:r w:rsidRPr="00AE69FE">
        <w:t xml:space="preserve">ziektekostenverzekering krijgsmacht met € 1,9 miljoen verlaagd. Deze bijdrage werkt door </w:t>
      </w:r>
      <w:r w:rsidRPr="00AE69FE">
        <w:rPr>
          <w:szCs w:val="20"/>
        </w:rPr>
        <w:t xml:space="preserve">op het uitgavenkader van de investeringen. De totale doorwerking op het uitgavenkader bedraagt hierdoor </w:t>
      </w:r>
      <w:r w:rsidRPr="00AE69FE">
        <w:t>€ 35,3 miljoen.</w:t>
      </w:r>
    </w:p>
    <w:p w:rsidR="00F6226F" w:rsidRPr="00AE69FE" w:rsidRDefault="00F6226F" w:rsidP="00F6226F">
      <w:pPr>
        <w:spacing w:line="360" w:lineRule="auto"/>
        <w:rPr>
          <w:szCs w:val="20"/>
        </w:rPr>
      </w:pPr>
    </w:p>
    <w:p w:rsidR="00F6226F" w:rsidRPr="00AE69FE" w:rsidRDefault="00F6226F" w:rsidP="00F6226F">
      <w:pPr>
        <w:spacing w:line="360" w:lineRule="auto"/>
        <w:rPr>
          <w:b/>
          <w:szCs w:val="20"/>
        </w:rPr>
      </w:pPr>
      <w:r w:rsidRPr="00AE69FE">
        <w:rPr>
          <w:b/>
          <w:szCs w:val="20"/>
        </w:rPr>
        <w:t>Ontvangsten</w:t>
      </w:r>
    </w:p>
    <w:tbl>
      <w:tblPr>
        <w:tblW w:w="6400" w:type="dxa"/>
        <w:tblInd w:w="55" w:type="dxa"/>
        <w:tblCellMar>
          <w:left w:w="70" w:type="dxa"/>
          <w:right w:w="70" w:type="dxa"/>
        </w:tblCellMar>
        <w:tblLook w:val="04A0" w:firstRow="1" w:lastRow="0" w:firstColumn="1" w:lastColumn="0" w:noHBand="0" w:noVBand="1"/>
      </w:tblPr>
      <w:tblGrid>
        <w:gridCol w:w="4080"/>
        <w:gridCol w:w="1180"/>
        <w:gridCol w:w="1140"/>
      </w:tblGrid>
      <w:tr w:rsidR="00F6226F" w:rsidRPr="00526E97" w:rsidTr="00175626">
        <w:trPr>
          <w:trHeight w:val="480"/>
        </w:trPr>
        <w:tc>
          <w:tcPr>
            <w:tcW w:w="4080" w:type="dxa"/>
            <w:tcBorders>
              <w:top w:val="single" w:sz="4" w:space="0" w:color="auto"/>
              <w:left w:val="single" w:sz="4" w:space="0" w:color="auto"/>
              <w:bottom w:val="nil"/>
              <w:right w:val="nil"/>
            </w:tcBorders>
            <w:shd w:val="clear" w:color="000000" w:fill="BFBFBF"/>
            <w:hideMark/>
          </w:tcPr>
          <w:p w:rsidR="00F6226F" w:rsidRPr="00526E97" w:rsidRDefault="00F6226F" w:rsidP="00175626">
            <w:pPr>
              <w:rPr>
                <w:b/>
                <w:sz w:val="16"/>
                <w:szCs w:val="16"/>
              </w:rPr>
            </w:pPr>
            <w:r w:rsidRPr="00526E97">
              <w:rPr>
                <w:b/>
                <w:sz w:val="16"/>
                <w:szCs w:val="16"/>
              </w:rPr>
              <w:t>Omschrijving</w:t>
            </w:r>
          </w:p>
        </w:tc>
        <w:tc>
          <w:tcPr>
            <w:tcW w:w="11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Programma ontvangsten</w:t>
            </w:r>
          </w:p>
        </w:tc>
        <w:tc>
          <w:tcPr>
            <w:tcW w:w="1140" w:type="dxa"/>
            <w:tcBorders>
              <w:top w:val="single" w:sz="4" w:space="0" w:color="auto"/>
              <w:left w:val="nil"/>
              <w:bottom w:val="single" w:sz="4" w:space="0" w:color="auto"/>
              <w:right w:val="single" w:sz="4" w:space="0" w:color="auto"/>
            </w:tcBorders>
            <w:shd w:val="clear" w:color="000000" w:fill="BFBFBF"/>
            <w:hideMark/>
          </w:tcPr>
          <w:p w:rsidR="00F6226F" w:rsidRPr="00526E97" w:rsidRDefault="00F6226F" w:rsidP="00175626">
            <w:pPr>
              <w:jc w:val="right"/>
              <w:rPr>
                <w:b/>
                <w:sz w:val="16"/>
                <w:szCs w:val="16"/>
              </w:rPr>
            </w:pPr>
            <w:r w:rsidRPr="00526E97">
              <w:rPr>
                <w:b/>
                <w:sz w:val="16"/>
                <w:szCs w:val="16"/>
              </w:rPr>
              <w:t>Totaal</w:t>
            </w:r>
          </w:p>
        </w:tc>
      </w:tr>
      <w:tr w:rsidR="00F6226F" w:rsidRPr="00AE69FE" w:rsidTr="00175626">
        <w:trPr>
          <w:trHeight w:val="255"/>
        </w:trPr>
        <w:tc>
          <w:tcPr>
            <w:tcW w:w="408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408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080" w:type="dxa"/>
            <w:tcBorders>
              <w:top w:val="single" w:sz="4" w:space="0" w:color="auto"/>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Bijstelling verkoopopbrengsten nieuw materieel</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25.700</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25.700</w:t>
            </w:r>
          </w:p>
        </w:tc>
      </w:tr>
      <w:tr w:rsidR="00F6226F" w:rsidRPr="00AE69FE" w:rsidTr="00175626">
        <w:trPr>
          <w:trHeight w:val="255"/>
        </w:trPr>
        <w:tc>
          <w:tcPr>
            <w:tcW w:w="4080" w:type="dxa"/>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Ontvangsten uit CODEMO</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10.500</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10.500</w:t>
            </w:r>
          </w:p>
        </w:tc>
      </w:tr>
      <w:tr w:rsidR="00F6226F" w:rsidRPr="00AE69FE" w:rsidTr="00175626">
        <w:trPr>
          <w:trHeight w:val="255"/>
        </w:trPr>
        <w:tc>
          <w:tcPr>
            <w:tcW w:w="4080" w:type="dxa"/>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Bijstelling verkoopopbrengsten vastgoed</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r>
      <w:tr w:rsidR="00F6226F" w:rsidRPr="00AE69FE" w:rsidTr="00175626">
        <w:trPr>
          <w:trHeight w:val="255"/>
        </w:trPr>
        <w:tc>
          <w:tcPr>
            <w:tcW w:w="4080" w:type="dxa"/>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Hogere verrekening met Navo/NVIP</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12.163</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12.163</w:t>
            </w:r>
          </w:p>
        </w:tc>
      </w:tr>
      <w:tr w:rsidR="00F6226F" w:rsidRPr="00AE69FE" w:rsidTr="00175626">
        <w:trPr>
          <w:trHeight w:val="255"/>
        </w:trPr>
        <w:tc>
          <w:tcPr>
            <w:tcW w:w="4080" w:type="dxa"/>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37.163</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37.163</w:t>
            </w:r>
          </w:p>
        </w:tc>
      </w:tr>
      <w:tr w:rsidR="00F6226F" w:rsidRPr="00AE69FE" w:rsidTr="00175626">
        <w:trPr>
          <w:trHeight w:val="255"/>
        </w:trPr>
        <w:tc>
          <w:tcPr>
            <w:tcW w:w="408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08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37.163</w:t>
            </w:r>
          </w:p>
        </w:tc>
        <w:tc>
          <w:tcPr>
            <w:tcW w:w="11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37.163</w:t>
            </w:r>
          </w:p>
        </w:tc>
      </w:tr>
    </w:tbl>
    <w:p w:rsidR="00F6226F" w:rsidRPr="00AE69FE" w:rsidRDefault="00F6226F" w:rsidP="00F6226F">
      <w:pPr>
        <w:keepNext/>
        <w:spacing w:line="360" w:lineRule="auto"/>
        <w:rPr>
          <w:b/>
          <w:szCs w:val="20"/>
        </w:rPr>
      </w:pPr>
      <w:r w:rsidRPr="00AE69FE">
        <w:rPr>
          <w:b/>
          <w:bCs/>
          <w:sz w:val="16"/>
          <w:szCs w:val="16"/>
        </w:rPr>
        <w:t>Bedragen x € 1.000</w:t>
      </w:r>
    </w:p>
    <w:p w:rsidR="00F6226F" w:rsidRPr="00AE69FE" w:rsidRDefault="00F6226F" w:rsidP="00F6226F">
      <w:pPr>
        <w:keepNext/>
        <w:spacing w:line="360" w:lineRule="auto"/>
        <w:rPr>
          <w:b/>
          <w:szCs w:val="20"/>
        </w:rPr>
      </w:pPr>
    </w:p>
    <w:p w:rsidR="00F6226F" w:rsidRPr="00AE69FE" w:rsidRDefault="00F6226F" w:rsidP="00F6226F">
      <w:pPr>
        <w:keepNext/>
        <w:spacing w:line="360" w:lineRule="auto"/>
        <w:rPr>
          <w:b/>
          <w:szCs w:val="20"/>
        </w:rPr>
      </w:pPr>
      <w:r w:rsidRPr="00AE69FE">
        <w:rPr>
          <w:b/>
          <w:szCs w:val="20"/>
        </w:rPr>
        <w:t>Toelichting ontvangsten</w:t>
      </w:r>
    </w:p>
    <w:p w:rsidR="00F6226F" w:rsidRPr="00AE69FE" w:rsidRDefault="00F6226F" w:rsidP="00F6226F">
      <w:pPr>
        <w:keepNext/>
        <w:spacing w:line="360" w:lineRule="auto"/>
        <w:rPr>
          <w:i/>
          <w:szCs w:val="20"/>
        </w:rPr>
      </w:pPr>
    </w:p>
    <w:p w:rsidR="00F6226F" w:rsidRPr="00AE69FE" w:rsidRDefault="00F6226F" w:rsidP="00F6226F">
      <w:pPr>
        <w:keepNext/>
        <w:spacing w:line="360" w:lineRule="auto"/>
        <w:rPr>
          <w:i/>
          <w:szCs w:val="20"/>
        </w:rPr>
      </w:pPr>
      <w:r w:rsidRPr="00AE69FE">
        <w:rPr>
          <w:i/>
          <w:szCs w:val="20"/>
        </w:rPr>
        <w:t>Verkoopopbrengsten nieuw materieel en ontvangsten uit CODEMO</w:t>
      </w:r>
    </w:p>
    <w:p w:rsidR="00F6226F" w:rsidRPr="00AE69FE" w:rsidRDefault="00F6226F" w:rsidP="00F6226F">
      <w:pPr>
        <w:keepNext/>
        <w:spacing w:line="360" w:lineRule="auto"/>
        <w:rPr>
          <w:szCs w:val="20"/>
        </w:rPr>
      </w:pPr>
      <w:r w:rsidRPr="00AE69FE">
        <w:rPr>
          <w:szCs w:val="20"/>
        </w:rPr>
        <w:t xml:space="preserve">De ontvangsten zijn met € 36,2 miljoen verhoogd vanwege de hogere verkoopopbrengsten van overtollig materieel (€ 25,7 miljoen) en hogere ontvangsten uit CODEMO (€ 10,5 miljoen). </w:t>
      </w:r>
    </w:p>
    <w:p w:rsidR="00F6226F" w:rsidRPr="00AE69FE" w:rsidRDefault="00F6226F" w:rsidP="00F6226F">
      <w:pPr>
        <w:keepNext/>
        <w:spacing w:line="360" w:lineRule="auto"/>
        <w:rPr>
          <w:szCs w:val="20"/>
        </w:rPr>
      </w:pPr>
      <w:r w:rsidRPr="00AE69FE">
        <w:rPr>
          <w:i/>
          <w:szCs w:val="20"/>
        </w:rPr>
        <w:br/>
        <w:t>Verkoopopbrengsten vastgoed</w:t>
      </w:r>
      <w:r w:rsidRPr="00AE69FE">
        <w:rPr>
          <w:i/>
          <w:szCs w:val="20"/>
        </w:rPr>
        <w:br/>
      </w:r>
      <w:r w:rsidRPr="00AE69FE">
        <w:rPr>
          <w:szCs w:val="20"/>
        </w:rPr>
        <w:t>De verkoopontvangsten zijn met € 11,2 miljoen verlaagd vanwege de lagere opbrengsten vastgoed.</w:t>
      </w:r>
    </w:p>
    <w:p w:rsidR="00F6226F" w:rsidRPr="00AE69FE" w:rsidRDefault="00F6226F" w:rsidP="00F6226F">
      <w:pPr>
        <w:keepNext/>
        <w:spacing w:line="360" w:lineRule="auto"/>
        <w:rPr>
          <w:i/>
          <w:szCs w:val="20"/>
        </w:rPr>
      </w:pPr>
      <w:r w:rsidRPr="00AE69FE">
        <w:rPr>
          <w:i/>
          <w:szCs w:val="20"/>
        </w:rPr>
        <w:br/>
        <w:t>Overige ontvangsten</w:t>
      </w:r>
    </w:p>
    <w:p w:rsidR="00F6226F" w:rsidRPr="00AE69FE" w:rsidRDefault="00F6226F" w:rsidP="00F6226F">
      <w:pPr>
        <w:keepNext/>
        <w:spacing w:line="360" w:lineRule="auto"/>
        <w:rPr>
          <w:szCs w:val="20"/>
        </w:rPr>
      </w:pPr>
      <w:r w:rsidRPr="00AE69FE">
        <w:rPr>
          <w:szCs w:val="20"/>
        </w:rPr>
        <w:t>Naar verwachting nemen de ontvangsten uit de Navo-investeringsprogramma’s toe met € 12,2 miljoen voor de door Nederland uitgevoerde werkzaamheden.</w:t>
      </w: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spacing w:line="360" w:lineRule="auto"/>
        <w:rPr>
          <w:b/>
        </w:rPr>
      </w:pPr>
    </w:p>
    <w:p w:rsidR="00F6226F" w:rsidRPr="00AE69FE" w:rsidRDefault="00F6226F" w:rsidP="00F6226F">
      <w:pPr>
        <w:rPr>
          <w:b/>
        </w:rPr>
      </w:pPr>
      <w:r w:rsidRPr="00AE69FE">
        <w:rPr>
          <w:b/>
        </w:rPr>
        <w:br w:type="page"/>
      </w:r>
    </w:p>
    <w:p w:rsidR="00F6226F" w:rsidRPr="00AE69FE" w:rsidRDefault="00F6226F" w:rsidP="00F6226F">
      <w:pPr>
        <w:spacing w:line="360" w:lineRule="auto"/>
        <w:rPr>
          <w:b/>
        </w:rPr>
      </w:pPr>
      <w:r w:rsidRPr="00AE69FE">
        <w:rPr>
          <w:b/>
        </w:rPr>
        <w:lastRenderedPageBreak/>
        <w:t>Beleidsartikel 7 Ondersteuning krijgsmacht door Defensie Materieel Organisatie</w:t>
      </w:r>
    </w:p>
    <w:tbl>
      <w:tblPr>
        <w:tblW w:w="0" w:type="auto"/>
        <w:tblInd w:w="55" w:type="dxa"/>
        <w:tblCellMar>
          <w:left w:w="70" w:type="dxa"/>
          <w:right w:w="70" w:type="dxa"/>
        </w:tblCellMar>
        <w:tblLook w:val="04A0" w:firstRow="1" w:lastRow="0" w:firstColumn="1" w:lastColumn="0" w:noHBand="0" w:noVBand="1"/>
      </w:tblPr>
      <w:tblGrid>
        <w:gridCol w:w="3411"/>
        <w:gridCol w:w="1279"/>
        <w:gridCol w:w="1282"/>
        <w:gridCol w:w="1266"/>
        <w:gridCol w:w="594"/>
        <w:gridCol w:w="594"/>
        <w:gridCol w:w="594"/>
        <w:gridCol w:w="594"/>
        <w:gridCol w:w="496"/>
      </w:tblGrid>
      <w:tr w:rsidR="00F6226F" w:rsidRPr="00AE69FE" w:rsidTr="00175626">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F6226F" w:rsidRPr="00AE69FE" w:rsidRDefault="00F6226F" w:rsidP="00175626">
            <w:pPr>
              <w:rPr>
                <w:b/>
                <w:bCs/>
                <w:sz w:val="16"/>
                <w:szCs w:val="16"/>
              </w:rPr>
            </w:pPr>
            <w:r w:rsidRPr="00AE69FE">
              <w:rPr>
                <w:b/>
                <w:bCs/>
                <w:sz w:val="16"/>
                <w:szCs w:val="16"/>
              </w:rPr>
              <w:t>Artikel 7 Ondersteuning krijgsmacht door Defensie Materieel Organisatie (bedragen x € 1.000)</w:t>
            </w:r>
          </w:p>
        </w:tc>
      </w:tr>
      <w:tr w:rsidR="00F6226F" w:rsidRPr="00AE69FE" w:rsidTr="00175626">
        <w:trPr>
          <w:trHeight w:val="794"/>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center"/>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center"/>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center"/>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center"/>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742.400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-16.394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726.006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-200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742.400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-16.394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726.006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-200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307.572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-14.662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292.910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xml:space="preserve">Opdracht Logistieke ondersteuning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307.572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-14.662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292.910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-130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218.070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89.372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-14.532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74.840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434.828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-1.732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433.096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-200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180.881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4.201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185.082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172.521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-12.646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159.875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8.360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16.847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25.207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253.947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248.014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ICT</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20.678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-20.678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ICT; bijdrage aan SSO DMO OPS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172.099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12.842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184.941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-1.412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-1.195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-200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60.837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1.824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62.661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450"/>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overige exploitatie; bijdrage aan SSO Paresto</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42.933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42.933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bl>
    <w:p w:rsidR="00F6226F" w:rsidRPr="00AE69FE" w:rsidRDefault="00F6226F" w:rsidP="00F6226F">
      <w:pPr>
        <w:spacing w:line="360" w:lineRule="auto"/>
        <w:rPr>
          <w:b/>
        </w:rPr>
      </w:pPr>
    </w:p>
    <w:tbl>
      <w:tblPr>
        <w:tblW w:w="0" w:type="auto"/>
        <w:tblInd w:w="55" w:type="dxa"/>
        <w:tblCellMar>
          <w:left w:w="70" w:type="dxa"/>
          <w:right w:w="70" w:type="dxa"/>
        </w:tblCellMar>
        <w:tblLook w:val="04A0" w:firstRow="1" w:lastRow="0" w:firstColumn="1" w:lastColumn="0" w:noHBand="0" w:noVBand="1"/>
      </w:tblPr>
      <w:tblGrid>
        <w:gridCol w:w="4293"/>
        <w:gridCol w:w="1229"/>
        <w:gridCol w:w="1033"/>
        <w:gridCol w:w="683"/>
        <w:gridCol w:w="594"/>
        <w:gridCol w:w="594"/>
        <w:gridCol w:w="594"/>
        <w:gridCol w:w="594"/>
        <w:gridCol w:w="496"/>
      </w:tblGrid>
      <w:tr w:rsidR="00F6226F" w:rsidRPr="00AE69FE" w:rsidTr="00175626">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rsidR="00F6226F" w:rsidRPr="00AE69FE" w:rsidRDefault="00F6226F" w:rsidP="00175626">
            <w:pPr>
              <w:rPr>
                <w:b/>
                <w:bCs/>
                <w:sz w:val="16"/>
                <w:szCs w:val="16"/>
              </w:rPr>
            </w:pPr>
            <w:r w:rsidRPr="00AE69FE">
              <w:rPr>
                <w:b/>
                <w:bCs/>
                <w:sz w:val="16"/>
                <w:szCs w:val="16"/>
              </w:rPr>
              <w:t>Omschrijving (bedragen x € 1.000)</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F6226F" w:rsidRPr="00AE69FE" w:rsidRDefault="00F6226F" w:rsidP="00175626">
            <w:pPr>
              <w:rPr>
                <w:b/>
                <w:bCs/>
                <w:sz w:val="16"/>
                <w:szCs w:val="16"/>
              </w:rPr>
            </w:pPr>
            <w:r w:rsidRPr="00AE69FE">
              <w:rPr>
                <w:b/>
                <w:bCs/>
                <w:sz w:val="16"/>
                <w:szCs w:val="16"/>
              </w:rPr>
              <w:t>Apparaat uitgaven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F6226F" w:rsidRPr="00AE69FE" w:rsidRDefault="00F6226F" w:rsidP="00175626">
            <w:pPr>
              <w:rPr>
                <w:b/>
                <w:bCs/>
                <w:sz w:val="16"/>
                <w:szCs w:val="16"/>
              </w:rPr>
            </w:pPr>
            <w:r w:rsidRPr="00AE69FE">
              <w:rPr>
                <w:b/>
                <w:bCs/>
                <w:sz w:val="16"/>
                <w:szCs w:val="16"/>
              </w:rPr>
              <w:t>Totaal</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2017</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2018</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2019</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-4.530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19.542</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15.012</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-18.800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-22.800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Interne herschikking</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-6.482</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6.482</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350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400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750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-8.609</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-8.609</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-1.412</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-1.195</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-1.067</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-1.018</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-200</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-1.328</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-1.328</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-700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-700</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1.281</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1.281</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-14.662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-1.732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-16.394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-14.662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-1.732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-16.394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-1.412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-1.195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-200</w:t>
            </w:r>
          </w:p>
        </w:tc>
      </w:tr>
    </w:tbl>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t>Toelichting</w:t>
      </w:r>
    </w:p>
    <w:p w:rsidR="00F6226F" w:rsidRPr="00AE69FE" w:rsidRDefault="00F6226F" w:rsidP="00F6226F">
      <w:pPr>
        <w:spacing w:line="360" w:lineRule="auto"/>
        <w:rPr>
          <w:i/>
        </w:rPr>
      </w:pPr>
    </w:p>
    <w:p w:rsidR="00F6226F" w:rsidRPr="00AE69FE" w:rsidRDefault="00F6226F" w:rsidP="00F6226F">
      <w:pPr>
        <w:spacing w:line="360" w:lineRule="auto"/>
      </w:pPr>
      <w:r w:rsidRPr="00AE69FE">
        <w:rPr>
          <w:i/>
        </w:rPr>
        <w:t>Herschikking tussen defensieonderdelen</w:t>
      </w:r>
      <w:r w:rsidRPr="00AE69FE">
        <w:rPr>
          <w:i/>
        </w:rPr>
        <w:br/>
      </w:r>
      <w:r w:rsidRPr="00AE69FE">
        <w:t xml:space="preserve">Dit betreft onder meer de herschikking van het budget instandhouding van de Gulfstream naar het CLSK (-€ 2,1 miljoen) en de compensatie voor het tekort bij de exploitatie van de IT (€ 17 miljoen). </w:t>
      </w:r>
    </w:p>
    <w:p w:rsidR="00F6226F" w:rsidRPr="00AE69FE" w:rsidRDefault="00F6226F" w:rsidP="00F6226F">
      <w:pPr>
        <w:spacing w:line="360" w:lineRule="auto"/>
        <w:rPr>
          <w:i/>
          <w:szCs w:val="20"/>
        </w:rPr>
      </w:pPr>
    </w:p>
    <w:p w:rsidR="00F6226F" w:rsidRPr="00AE69FE" w:rsidRDefault="00F6226F" w:rsidP="00F6226F">
      <w:pPr>
        <w:spacing w:line="360" w:lineRule="auto"/>
        <w:rPr>
          <w:i/>
          <w:szCs w:val="20"/>
        </w:rPr>
      </w:pPr>
      <w:r w:rsidRPr="00AE69FE">
        <w:rPr>
          <w:i/>
          <w:szCs w:val="20"/>
        </w:rPr>
        <w:t xml:space="preserve">Spiegelen budgetten 2014 </w:t>
      </w:r>
    </w:p>
    <w:p w:rsidR="00F6226F" w:rsidRPr="00AE69FE" w:rsidRDefault="00F6226F" w:rsidP="00F6226F">
      <w:pPr>
        <w:spacing w:line="360" w:lineRule="auto"/>
      </w:pPr>
      <w:r w:rsidRPr="00AE69FE">
        <w:t>Dit artikel wordt met € 22,8 miljoen verlaagd als gevolg van overrealisatie in 2014 van vooral de exploitatie IT.</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lastRenderedPageBreak/>
        <w:t xml:space="preserve">Interne herschikkingen </w:t>
      </w:r>
    </w:p>
    <w:p w:rsidR="00F6226F" w:rsidRPr="00AE69FE" w:rsidRDefault="00F6226F" w:rsidP="00F6226F">
      <w:pPr>
        <w:spacing w:line="360" w:lineRule="auto"/>
      </w:pPr>
      <w:r w:rsidRPr="00AE69FE">
        <w:t xml:space="preserve">Dit betreft een herschikking binnen de uitgavencategorieën van de DMO om de budgetten te laten aansluiten op de artikelonderdelen en de hieraan gekoppelde activiteiten. </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 xml:space="preserve">Financiering vanuit het BIV </w:t>
      </w:r>
    </w:p>
    <w:p w:rsidR="00F6226F" w:rsidRPr="00AE69FE" w:rsidRDefault="00F6226F" w:rsidP="00F6226F">
      <w:pPr>
        <w:tabs>
          <w:tab w:val="left" w:pos="-1440"/>
          <w:tab w:val="left" w:pos="-720"/>
        </w:tabs>
        <w:suppressAutoHyphens/>
        <w:spacing w:line="360" w:lineRule="auto"/>
      </w:pPr>
      <w:r w:rsidRPr="00AE69FE">
        <w:t>Vanuit het artikel Internationale Veiligheid van BH&amp;OS is € 0,8 miljoen toegevoegd aan dit artikel. Het budget is bestemd voor de materiële exploitatie ten behoeve van de inzet van de BSB ter beveiliging van Nederlandse ambassade in het buitenland.</w:t>
      </w:r>
    </w:p>
    <w:p w:rsidR="00F6226F" w:rsidRPr="00AE69FE" w:rsidRDefault="00F6226F" w:rsidP="00F6226F">
      <w:pPr>
        <w:spacing w:line="360" w:lineRule="auto"/>
        <w:rPr>
          <w:b/>
        </w:rPr>
      </w:pPr>
    </w:p>
    <w:p w:rsidR="00F6226F" w:rsidRPr="00AE69FE" w:rsidRDefault="00F6226F" w:rsidP="00F6226F">
      <w:pPr>
        <w:spacing w:line="360" w:lineRule="auto"/>
        <w:rPr>
          <w:i/>
          <w:szCs w:val="20"/>
        </w:rPr>
      </w:pPr>
      <w:r w:rsidRPr="00AE69FE">
        <w:rPr>
          <w:i/>
          <w:szCs w:val="20"/>
        </w:rPr>
        <w:t xml:space="preserve">Overhevelingen tussen departementen &amp; mutaties generale middelen </w:t>
      </w:r>
    </w:p>
    <w:p w:rsidR="00F6226F" w:rsidRPr="00AE69FE" w:rsidRDefault="00F6226F" w:rsidP="00F6226F">
      <w:pPr>
        <w:spacing w:line="360" w:lineRule="auto"/>
        <w:rPr>
          <w:szCs w:val="20"/>
        </w:rPr>
      </w:pPr>
      <w:r w:rsidRPr="00AE69FE">
        <w:t>De grootste overhevelingen betreffen de bijdrage aan het ministerie van Veiligheid en Justitie voor de centrale exploitatiekosten voor het project C2000 (-€ 6,3 miljoen), de bijdrage aan ministerie van Algemene Zaken voor de doorontwikkeling van de website Defensie online magazines (-€ 0,5 miljoen) en financiering van de maatregelen van de commissie Elias. De laatste financiering</w:t>
      </w:r>
      <w:r w:rsidRPr="00AE69FE">
        <w:rPr>
          <w:szCs w:val="20"/>
        </w:rPr>
        <w:t xml:space="preserve"> vindt plaats door een meerjarige budgetoverheveling naar het ministerie van Binnenlandse Zaken en Koninkrijksrelaties en betreft gezamenlijke uitgaven die worden verricht voor onder meer een kenniscentrum ter ondersteuning van de departementale CIO’s en een traineeproject voor ICT-functies (-€ 1,2 miljoen voor uitvoeringsjaar 2015 aflopend naar -€ 0,2 miljoen in 2020).</w:t>
      </w:r>
    </w:p>
    <w:p w:rsidR="00F6226F" w:rsidRPr="00AE69FE" w:rsidRDefault="00F6226F" w:rsidP="00F6226F">
      <w:pPr>
        <w:spacing w:line="360" w:lineRule="auto"/>
        <w:rPr>
          <w:szCs w:val="20"/>
        </w:rPr>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rPr>
          <w:i/>
        </w:rPr>
      </w:pPr>
      <w:r w:rsidRPr="00AE69FE">
        <w:t>Vanwege de aanpassingen van het werkgeversdeel van de pensioenbijdragen valt er structureel circa € 1,3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spacing w:line="360" w:lineRule="auto"/>
        <w:rPr>
          <w:i/>
        </w:rPr>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heffing van de afdracht in het kader van de werkkostenregeling. Van een periodieke inhouding gaat de Belastingdienst over naar een jaarlijkse inhouding.</w:t>
      </w:r>
    </w:p>
    <w:p w:rsidR="00F6226F" w:rsidRPr="00AE69FE" w:rsidRDefault="00F6226F" w:rsidP="00F6226F">
      <w:pPr>
        <w:rPr>
          <w:b/>
        </w:rPr>
      </w:pPr>
      <w:r w:rsidRPr="00AE69FE">
        <w:rPr>
          <w:b/>
        </w:rPr>
        <w:br w:type="page"/>
      </w:r>
    </w:p>
    <w:p w:rsidR="00F6226F" w:rsidRPr="00AE69FE" w:rsidRDefault="00F6226F" w:rsidP="00F6226F">
      <w:pPr>
        <w:tabs>
          <w:tab w:val="left" w:pos="-1440"/>
          <w:tab w:val="left" w:pos="-720"/>
        </w:tabs>
        <w:suppressAutoHyphens/>
        <w:spacing w:line="360" w:lineRule="auto"/>
        <w:rPr>
          <w:b/>
        </w:rPr>
      </w:pPr>
    </w:p>
    <w:p w:rsidR="00F6226F" w:rsidRPr="00AE69FE" w:rsidRDefault="00F6226F" w:rsidP="00F6226F">
      <w:pPr>
        <w:tabs>
          <w:tab w:val="left" w:pos="-1440"/>
          <w:tab w:val="left" w:pos="-720"/>
        </w:tabs>
        <w:suppressAutoHyphens/>
        <w:spacing w:line="360" w:lineRule="auto"/>
        <w:rPr>
          <w:b/>
        </w:rPr>
      </w:pPr>
      <w:r w:rsidRPr="00AE69FE">
        <w:rPr>
          <w:b/>
        </w:rPr>
        <w:t>Ontvangsten</w:t>
      </w:r>
    </w:p>
    <w:p w:rsidR="00F6226F" w:rsidRPr="00AE69FE" w:rsidRDefault="00F6226F" w:rsidP="00F6226F">
      <w:pPr>
        <w:tabs>
          <w:tab w:val="left" w:pos="-1440"/>
          <w:tab w:val="left" w:pos="-720"/>
        </w:tabs>
        <w:suppressAutoHyphens/>
        <w:spacing w:line="360" w:lineRule="auto"/>
      </w:pPr>
    </w:p>
    <w:tbl>
      <w:tblPr>
        <w:tblW w:w="60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0"/>
        <w:gridCol w:w="1118"/>
        <w:gridCol w:w="1080"/>
      </w:tblGrid>
      <w:tr w:rsidR="00F6226F" w:rsidRPr="00526E97" w:rsidTr="00175626">
        <w:trPr>
          <w:trHeight w:val="450"/>
        </w:trPr>
        <w:tc>
          <w:tcPr>
            <w:tcW w:w="3900" w:type="dxa"/>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Omschrijving</w:t>
            </w:r>
          </w:p>
        </w:tc>
        <w:tc>
          <w:tcPr>
            <w:tcW w:w="1060" w:type="dxa"/>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Apparaat Ontvangsten</w:t>
            </w:r>
          </w:p>
        </w:tc>
        <w:tc>
          <w:tcPr>
            <w:tcW w:w="1080" w:type="dxa"/>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060" w:type="dxa"/>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080" w:type="dxa"/>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900" w:type="dxa"/>
            <w:shd w:val="clear" w:color="000000" w:fill="FFFFFF"/>
            <w:noWrap/>
            <w:hideMark/>
          </w:tcPr>
          <w:p w:rsidR="00F6226F" w:rsidRPr="00AE69FE" w:rsidRDefault="00F6226F" w:rsidP="00175626">
            <w:pPr>
              <w:rPr>
                <w:sz w:val="16"/>
                <w:szCs w:val="16"/>
              </w:rPr>
            </w:pPr>
            <w:r w:rsidRPr="00AE69FE">
              <w:rPr>
                <w:sz w:val="16"/>
                <w:szCs w:val="16"/>
              </w:rPr>
              <w:t>Afroming winst IVENT</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9.716</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9.716</w:t>
            </w:r>
          </w:p>
        </w:tc>
      </w:tr>
      <w:tr w:rsidR="00F6226F" w:rsidRPr="00AE69FE" w:rsidTr="00175626">
        <w:trPr>
          <w:trHeight w:val="255"/>
        </w:trPr>
        <w:tc>
          <w:tcPr>
            <w:tcW w:w="3900" w:type="dxa"/>
            <w:shd w:val="clear" w:color="000000" w:fill="FFFFFF"/>
            <w:noWrap/>
            <w:hideMark/>
          </w:tcPr>
          <w:p w:rsidR="00F6226F" w:rsidRPr="00AE69FE" w:rsidRDefault="00F6226F" w:rsidP="00175626">
            <w:pPr>
              <w:rPr>
                <w:sz w:val="16"/>
                <w:szCs w:val="16"/>
              </w:rPr>
            </w:pPr>
            <w:r w:rsidRPr="00AE69FE">
              <w:rPr>
                <w:sz w:val="16"/>
                <w:szCs w:val="16"/>
              </w:rPr>
              <w:t>Bijstelling ontvangsten</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-9.716</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-9.716</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39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06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10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r>
    </w:tbl>
    <w:p w:rsidR="00F6226F" w:rsidRPr="00AE69FE" w:rsidRDefault="00F6226F" w:rsidP="00F6226F">
      <w:r w:rsidRPr="00AE69FE">
        <w:rPr>
          <w:b/>
          <w:bCs/>
          <w:sz w:val="16"/>
          <w:szCs w:val="16"/>
        </w:rPr>
        <w:t>Bedragen x € 1.000</w:t>
      </w:r>
    </w:p>
    <w:p w:rsidR="00F6226F" w:rsidRPr="00AE69FE" w:rsidRDefault="00F6226F" w:rsidP="00F6226F"/>
    <w:p w:rsidR="00F6226F" w:rsidRPr="00AE69FE" w:rsidRDefault="00F6226F" w:rsidP="00F6226F">
      <w:pPr>
        <w:spacing w:line="360" w:lineRule="auto"/>
      </w:pPr>
      <w:r w:rsidRPr="00AE69FE">
        <w:t xml:space="preserve">Op het ontvangstenbudget van DMO wordt de winstafdracht van het batenlastenagentschap DMO/OPS </w:t>
      </w:r>
      <w:r w:rsidRPr="00AE69FE">
        <w:br/>
        <w:t>€ 9,72 miljoen ontvangen. Deze winstafdracht zal niet leiden tot in totaliteit hogere ontvangsten, omdat naar verwachting minder overige ontvangsten binnenkomen.</w:t>
      </w:r>
    </w:p>
    <w:p w:rsidR="00F6226F" w:rsidRPr="00AE69FE" w:rsidRDefault="00F6226F" w:rsidP="00F6226F">
      <w:pPr>
        <w:rPr>
          <w:b/>
        </w:rPr>
      </w:pPr>
      <w:r w:rsidRPr="00AE69FE">
        <w:br w:type="page"/>
      </w:r>
      <w:r w:rsidRPr="00AE69FE">
        <w:rPr>
          <w:b/>
        </w:rPr>
        <w:lastRenderedPageBreak/>
        <w:t>Beleidsartikel 8 Ondersteuning krijgsmacht door Commando Diensten Centrum</w:t>
      </w:r>
    </w:p>
    <w:p w:rsidR="00F6226F" w:rsidRPr="00AE69FE" w:rsidRDefault="00F6226F" w:rsidP="00F6226F">
      <w:pPr>
        <w:rPr>
          <w:b/>
          <w:color w:val="000000"/>
          <w:szCs w:val="20"/>
        </w:rPr>
      </w:pPr>
    </w:p>
    <w:tbl>
      <w:tblPr>
        <w:tblW w:w="0" w:type="auto"/>
        <w:tblInd w:w="55" w:type="dxa"/>
        <w:tblCellMar>
          <w:left w:w="70" w:type="dxa"/>
          <w:right w:w="70" w:type="dxa"/>
        </w:tblCellMar>
        <w:tblLook w:val="04A0" w:firstRow="1" w:lastRow="0" w:firstColumn="1" w:lastColumn="0" w:noHBand="0" w:noVBand="1"/>
      </w:tblPr>
      <w:tblGrid>
        <w:gridCol w:w="2990"/>
        <w:gridCol w:w="1371"/>
        <w:gridCol w:w="1345"/>
        <w:gridCol w:w="1326"/>
        <w:gridCol w:w="630"/>
        <w:gridCol w:w="630"/>
        <w:gridCol w:w="630"/>
        <w:gridCol w:w="594"/>
        <w:gridCol w:w="594"/>
      </w:tblGrid>
      <w:tr w:rsidR="00F6226F" w:rsidRPr="00AE69FE" w:rsidTr="00175626">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8 Ondersteuning krijgsmacht door Commando DienstenCentra (bedragen x € 1.000)</w:t>
            </w:r>
          </w:p>
        </w:tc>
      </w:tr>
      <w:tr w:rsidR="00F6226F" w:rsidRPr="00AE69FE" w:rsidTr="00175626">
        <w:trPr>
          <w:trHeight w:val="854"/>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center"/>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center"/>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center"/>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center"/>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000000" w:fill="BFBFBF"/>
            <w:noWrap/>
            <w:vAlign w:val="center"/>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1.052.997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1.052.997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13.357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13.491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13.320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-1.355</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Opdracht Dienstverlenende eenheden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i/>
                <w:iCs/>
                <w:sz w:val="16"/>
                <w:szCs w:val="16"/>
              </w:rPr>
            </w:pPr>
            <w:r w:rsidRPr="00AE69FE">
              <w:rPr>
                <w:i/>
                <w:i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i/>
                <w:iCs/>
                <w:sz w:val="16"/>
                <w:szCs w:val="16"/>
              </w:rPr>
            </w:pPr>
            <w:r w:rsidRPr="00AE69FE">
              <w:rPr>
                <w:b/>
                <w:bCs/>
                <w:i/>
                <w:iCs/>
                <w:sz w:val="16"/>
                <w:szCs w:val="16"/>
              </w:rPr>
              <w:t>15.347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1.052.997</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b/>
                <w:bCs/>
                <w:color w:val="000000"/>
                <w:sz w:val="16"/>
                <w:szCs w:val="16"/>
              </w:rPr>
            </w:pPr>
            <w:r w:rsidRPr="00AE69FE">
              <w:rPr>
                <w:b/>
                <w:bCs/>
                <w:color w:val="000000"/>
                <w:sz w:val="16"/>
                <w:szCs w:val="16"/>
              </w:rPr>
              <w:t>13.357</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b/>
                <w:bCs/>
                <w:color w:val="000000"/>
                <w:sz w:val="16"/>
                <w:szCs w:val="16"/>
              </w:rPr>
            </w:pPr>
            <w:r w:rsidRPr="00AE69FE">
              <w:rPr>
                <w:b/>
                <w:bCs/>
                <w:color w:val="000000"/>
                <w:sz w:val="16"/>
                <w:szCs w:val="16"/>
              </w:rPr>
              <w:t>13.491</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b/>
                <w:bCs/>
                <w:color w:val="000000"/>
                <w:sz w:val="16"/>
                <w:szCs w:val="16"/>
              </w:rPr>
            </w:pPr>
            <w:r w:rsidRPr="00AE69FE">
              <w:rPr>
                <w:b/>
                <w:bCs/>
                <w:color w:val="000000"/>
                <w:sz w:val="16"/>
                <w:szCs w:val="16"/>
              </w:rPr>
              <w:t>13.320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b/>
                <w:bCs/>
                <w:color w:val="000000"/>
                <w:sz w:val="16"/>
                <w:szCs w:val="16"/>
              </w:rPr>
            </w:pPr>
            <w:r w:rsidRPr="00AE69FE">
              <w:rPr>
                <w:b/>
                <w:bCs/>
                <w:color w:val="000000"/>
                <w:sz w:val="16"/>
                <w:szCs w:val="16"/>
              </w:rPr>
              <w:t>-1.672</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b/>
                <w:bCs/>
                <w:color w:val="000000"/>
                <w:sz w:val="16"/>
                <w:szCs w:val="16"/>
              </w:rPr>
            </w:pPr>
            <w:r w:rsidRPr="00AE69FE">
              <w:rPr>
                <w:b/>
                <w:bCs/>
                <w:color w:val="000000"/>
                <w:sz w:val="16"/>
                <w:szCs w:val="16"/>
              </w:rPr>
              <w:t>-1.355</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467.947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-28.500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439.447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458.200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-44.872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413.328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16.000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 attachés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9.747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10.119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Materiële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569.703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43.847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613.550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15.129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15.374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14.920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102</w:t>
            </w:r>
          </w:p>
        </w:tc>
      </w:tr>
      <w:tr w:rsidR="00F6226F" w:rsidRPr="00AE69FE" w:rsidTr="00175626">
        <w:trPr>
          <w:trHeight w:val="225"/>
        </w:trPr>
        <w:tc>
          <w:tcPr>
            <w:tcW w:w="0" w:type="auto"/>
            <w:tcBorders>
              <w:top w:val="nil"/>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bijdrage aan SSO DVD</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174.355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173.192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-2.144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-2.243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-1.917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-1.948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-1.774</w:t>
            </w:r>
          </w:p>
        </w:tc>
      </w:tr>
      <w:tr w:rsidR="00F6226F" w:rsidRPr="00AE69FE" w:rsidTr="00175626">
        <w:trPr>
          <w:trHeight w:val="225"/>
        </w:trPr>
        <w:tc>
          <w:tcPr>
            <w:tcW w:w="0" w:type="auto"/>
            <w:tcBorders>
              <w:top w:val="single" w:sz="4" w:space="0" w:color="auto"/>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bijdrage aan SSO Paresto</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30.471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30.471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25"/>
        </w:trPr>
        <w:tc>
          <w:tcPr>
            <w:tcW w:w="0" w:type="auto"/>
            <w:tcBorders>
              <w:top w:val="single" w:sz="4" w:space="0" w:color="auto"/>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xml:space="preserve">- waarvan overig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388.226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44.282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432.508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25"/>
        </w:trPr>
        <w:tc>
          <w:tcPr>
            <w:tcW w:w="0" w:type="auto"/>
            <w:tcBorders>
              <w:top w:val="single" w:sz="4" w:space="0" w:color="auto"/>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overig; attachés</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7.122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7.850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675"/>
        </w:trPr>
        <w:tc>
          <w:tcPr>
            <w:tcW w:w="0" w:type="auto"/>
            <w:tcBorders>
              <w:top w:val="single" w:sz="4" w:space="0" w:color="auto"/>
              <w:left w:val="single" w:sz="4" w:space="0" w:color="auto"/>
              <w:bottom w:val="nil"/>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(1) Correctie exploitatie i.v.m. nog te ontvangen bijdrage vanuit het BIV t.b.v. nazorg uitgezonden militairen</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2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53.764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-1.904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51.860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bl>
    <w:p w:rsidR="00F6226F" w:rsidRPr="00AE69FE" w:rsidRDefault="00F6226F" w:rsidP="00F6226F">
      <w:pPr>
        <w:rPr>
          <w:b/>
          <w:color w:val="000000"/>
          <w:szCs w:val="20"/>
        </w:rPr>
      </w:pPr>
    </w:p>
    <w:p w:rsidR="00F6226F" w:rsidRPr="00AE69FE" w:rsidRDefault="00F6226F" w:rsidP="00F6226F">
      <w:pPr>
        <w:rPr>
          <w:b/>
          <w:color w:val="000000"/>
          <w:szCs w:val="20"/>
        </w:rPr>
      </w:pPr>
    </w:p>
    <w:tbl>
      <w:tblPr>
        <w:tblW w:w="5000" w:type="pct"/>
        <w:tblCellMar>
          <w:left w:w="70" w:type="dxa"/>
          <w:right w:w="70" w:type="dxa"/>
        </w:tblCellMar>
        <w:tblLook w:val="04A0" w:firstRow="1" w:lastRow="0" w:firstColumn="1" w:lastColumn="0" w:noHBand="0" w:noVBand="1"/>
      </w:tblPr>
      <w:tblGrid>
        <w:gridCol w:w="5338"/>
        <w:gridCol w:w="860"/>
        <w:gridCol w:w="720"/>
        <w:gridCol w:w="665"/>
        <w:gridCol w:w="665"/>
        <w:gridCol w:w="665"/>
        <w:gridCol w:w="626"/>
        <w:gridCol w:w="626"/>
      </w:tblGrid>
      <w:tr w:rsidR="00F6226F" w:rsidRPr="00AE69FE" w:rsidTr="00175626">
        <w:trPr>
          <w:trHeight w:val="225"/>
        </w:trPr>
        <w:tc>
          <w:tcPr>
            <w:tcW w:w="2625" w:type="pc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F6226F" w:rsidRPr="00AE69FE" w:rsidRDefault="00F6226F" w:rsidP="00175626">
            <w:pPr>
              <w:rPr>
                <w:b/>
                <w:bCs/>
                <w:sz w:val="16"/>
                <w:szCs w:val="16"/>
              </w:rPr>
            </w:pPr>
            <w:r w:rsidRPr="00AE69FE">
              <w:rPr>
                <w:b/>
                <w:bCs/>
                <w:sz w:val="16"/>
                <w:szCs w:val="16"/>
              </w:rPr>
              <w:t>Omschrijving (bedragen x € 1.000)</w:t>
            </w:r>
          </w:p>
        </w:tc>
        <w:tc>
          <w:tcPr>
            <w:tcW w:w="42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 xml:space="preserve">Uitgaven </w:t>
            </w:r>
          </w:p>
        </w:tc>
        <w:tc>
          <w:tcPr>
            <w:tcW w:w="35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jc w:val="right"/>
              <w:rPr>
                <w:b/>
                <w:bCs/>
                <w:sz w:val="16"/>
                <w:szCs w:val="16"/>
              </w:rPr>
            </w:pPr>
            <w:r w:rsidRPr="00AE69FE">
              <w:rPr>
                <w:b/>
                <w:bCs/>
                <w:sz w:val="16"/>
                <w:szCs w:val="16"/>
              </w:rPr>
              <w:t>Totaal</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sz w:val="16"/>
                <w:szCs w:val="16"/>
              </w:rPr>
            </w:pPr>
            <w:r w:rsidRPr="00AE69FE">
              <w:rPr>
                <w:b/>
                <w:sz w:val="16"/>
                <w:szCs w:val="16"/>
              </w:rPr>
              <w:t>2016</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sz w:val="16"/>
                <w:szCs w:val="16"/>
              </w:rPr>
            </w:pPr>
            <w:r w:rsidRPr="00AE69FE">
              <w:rPr>
                <w:b/>
                <w:sz w:val="16"/>
                <w:szCs w:val="16"/>
              </w:rPr>
              <w:t>2017</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sz w:val="16"/>
                <w:szCs w:val="16"/>
              </w:rPr>
            </w:pPr>
            <w:r w:rsidRPr="00AE69FE">
              <w:rPr>
                <w:b/>
                <w:sz w:val="16"/>
                <w:szCs w:val="16"/>
              </w:rPr>
              <w:t>2018</w:t>
            </w:r>
          </w:p>
        </w:tc>
        <w:tc>
          <w:tcPr>
            <w:tcW w:w="30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sz w:val="16"/>
                <w:szCs w:val="16"/>
              </w:rPr>
            </w:pPr>
            <w:r w:rsidRPr="00AE69FE">
              <w:rPr>
                <w:b/>
                <w:sz w:val="16"/>
                <w:szCs w:val="16"/>
              </w:rPr>
              <w:t>2019</w:t>
            </w:r>
          </w:p>
        </w:tc>
        <w:tc>
          <w:tcPr>
            <w:tcW w:w="30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b/>
                <w:sz w:val="16"/>
                <w:szCs w:val="16"/>
              </w:rPr>
            </w:pPr>
            <w:r w:rsidRPr="00AE69FE">
              <w:rPr>
                <w:b/>
                <w:sz w:val="16"/>
                <w:szCs w:val="16"/>
              </w:rPr>
              <w:t>2020</w:t>
            </w:r>
          </w:p>
        </w:tc>
      </w:tr>
      <w:tr w:rsidR="00F6226F" w:rsidRPr="00AE69FE" w:rsidTr="00175626">
        <w:trPr>
          <w:trHeight w:val="225"/>
        </w:trPr>
        <w:tc>
          <w:tcPr>
            <w:tcW w:w="2625" w:type="pct"/>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54"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500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500</w:t>
            </w:r>
          </w:p>
        </w:tc>
        <w:tc>
          <w:tcPr>
            <w:tcW w:w="327"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3.929</w:t>
            </w:r>
          </w:p>
        </w:tc>
        <w:tc>
          <w:tcPr>
            <w:tcW w:w="327"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3.874</w:t>
            </w:r>
          </w:p>
        </w:tc>
        <w:tc>
          <w:tcPr>
            <w:tcW w:w="327"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3.820</w:t>
            </w:r>
          </w:p>
        </w:tc>
        <w:tc>
          <w:tcPr>
            <w:tcW w:w="308"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3.759</w:t>
            </w:r>
          </w:p>
        </w:tc>
        <w:tc>
          <w:tcPr>
            <w:tcW w:w="308"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3.702</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-3.572</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-3.572</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10.000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10.000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5.900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5.900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nil"/>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-3.000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-3.000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-19.000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-19.000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3.306</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3.306</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450"/>
        </w:trPr>
        <w:tc>
          <w:tcPr>
            <w:tcW w:w="2625" w:type="pct"/>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Herschikking instandhouding, IV/ICT, infra tlv investeringen</w:t>
            </w:r>
          </w:p>
        </w:tc>
        <w:tc>
          <w:tcPr>
            <w:tcW w:w="423" w:type="pct"/>
            <w:tcBorders>
              <w:top w:val="nil"/>
              <w:left w:val="nil"/>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17.700</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17.700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11.200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11.500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11.100</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-3.800</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-3.600</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Eindejaarsmarge attachés</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728</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728</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 en prijsbijstelling voor de attachés</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372</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372</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372</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360</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317</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3.576</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3.576</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Inboeken tariefsverlaging RVD</w:t>
            </w:r>
          </w:p>
        </w:tc>
        <w:tc>
          <w:tcPr>
            <w:tcW w:w="423" w:type="pct"/>
            <w:tcBorders>
              <w:top w:val="nil"/>
              <w:left w:val="single" w:sz="4" w:space="0" w:color="auto"/>
              <w:bottom w:val="single" w:sz="4" w:space="0" w:color="auto"/>
              <w:right w:val="single" w:sz="4" w:space="0" w:color="auto"/>
            </w:tcBorders>
            <w:shd w:val="clear" w:color="auto" w:fill="auto"/>
            <w:vAlign w:val="bottom"/>
            <w:hideMark/>
          </w:tcPr>
          <w:p w:rsidR="00F6226F" w:rsidRPr="00AE69FE" w:rsidRDefault="00F6226F" w:rsidP="00175626">
            <w:pPr>
              <w:jc w:val="right"/>
              <w:rPr>
                <w:color w:val="000000"/>
                <w:sz w:val="16"/>
                <w:szCs w:val="16"/>
              </w:rPr>
            </w:pPr>
            <w:r w:rsidRPr="00AE69FE">
              <w:rPr>
                <w:color w:val="000000"/>
                <w:sz w:val="16"/>
                <w:szCs w:val="16"/>
              </w:rPr>
              <w:t>-1.163</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-1.163</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-2.144</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-2.243</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-1.917</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-1.948</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-1.774</w:t>
            </w:r>
          </w:p>
        </w:tc>
      </w:tr>
      <w:tr w:rsidR="00F6226F" w:rsidRPr="00AE69FE" w:rsidTr="00175626">
        <w:trPr>
          <w:trHeight w:val="225"/>
        </w:trPr>
        <w:tc>
          <w:tcPr>
            <w:tcW w:w="2625" w:type="pct"/>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13.357</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13.491</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13.320</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-1.672</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-1.355</w:t>
            </w:r>
          </w:p>
        </w:tc>
      </w:tr>
      <w:tr w:rsidR="00F6226F" w:rsidRPr="00AE69FE" w:rsidTr="00175626">
        <w:trPr>
          <w:trHeight w:val="225"/>
        </w:trPr>
        <w:tc>
          <w:tcPr>
            <w:tcW w:w="2625" w:type="pct"/>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25"/>
        </w:trPr>
        <w:tc>
          <w:tcPr>
            <w:tcW w:w="2625" w:type="pct"/>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423" w:type="pct"/>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354"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15.347</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13.357</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13.491</w:t>
            </w:r>
          </w:p>
        </w:tc>
        <w:tc>
          <w:tcPr>
            <w:tcW w:w="327"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13.320</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-1.672</w:t>
            </w:r>
          </w:p>
        </w:tc>
        <w:tc>
          <w:tcPr>
            <w:tcW w:w="308" w:type="pct"/>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-1.355</w:t>
            </w:r>
          </w:p>
        </w:tc>
      </w:tr>
    </w:tbl>
    <w:p w:rsidR="00F6226F" w:rsidRPr="00AE69FE" w:rsidRDefault="00F6226F" w:rsidP="00F6226F">
      <w:pPr>
        <w:rPr>
          <w:b/>
          <w:color w:val="000000"/>
          <w:szCs w:val="20"/>
        </w:rPr>
      </w:pPr>
    </w:p>
    <w:p w:rsidR="00F6226F" w:rsidRPr="00AE69FE" w:rsidRDefault="00F6226F" w:rsidP="00F6226F">
      <w:pPr>
        <w:rPr>
          <w:b/>
          <w:color w:val="000000"/>
          <w:szCs w:val="20"/>
        </w:rPr>
      </w:pPr>
    </w:p>
    <w:p w:rsidR="00F6226F" w:rsidRPr="00AE69FE" w:rsidRDefault="00F6226F" w:rsidP="00F6226F">
      <w:pPr>
        <w:rPr>
          <w:b/>
          <w:color w:val="000000"/>
          <w:szCs w:val="20"/>
        </w:rPr>
      </w:pPr>
      <w:r w:rsidRPr="00AE69FE">
        <w:rPr>
          <w:b/>
          <w:color w:val="000000"/>
          <w:szCs w:val="20"/>
        </w:rPr>
        <w:t>Toelichting</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 xml:space="preserve">Overhevelingen tussen departementen &amp; mutaties generale middelen </w:t>
      </w:r>
    </w:p>
    <w:p w:rsidR="00F6226F" w:rsidRPr="00AE69FE" w:rsidRDefault="00F6226F" w:rsidP="00F6226F">
      <w:pPr>
        <w:spacing w:line="360" w:lineRule="auto"/>
        <w:rPr>
          <w:i/>
        </w:rPr>
      </w:pPr>
      <w:r w:rsidRPr="00AE69FE">
        <w:t>Het ministerie van Veiligheid en Justitie draagt bij aan de financiering van twee KMar liaisons op de Nederlandse ambassade (€ 0,5 miljoen). Voor het begrotingsjaar 2016 (en verdere jaren) leidt de herverdeling en verwerking van de eenheidsprijzen kantoorhuisvesting van het Rijksvastgoedbedrijf van het ministerie van Binnenlandse Zaken en Koninkrijksrelaties tot aanpassing van het budget (€ 3,9 miljoen in 2016 en 2017).</w:t>
      </w:r>
    </w:p>
    <w:p w:rsidR="00F6226F" w:rsidRPr="00AE69FE" w:rsidRDefault="00F6226F" w:rsidP="00F6226F">
      <w:pPr>
        <w:spacing w:line="360" w:lineRule="auto"/>
        <w:rPr>
          <w:i/>
        </w:rPr>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rPr>
          <w:i/>
        </w:rPr>
      </w:pPr>
      <w:r w:rsidRPr="00AE69FE">
        <w:t>Vanwege de aanpassingen van het werkgeversdeel van de pensioenbijdragen valt er structureel circa € 3,6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 xml:space="preserve">Financiering vanuit het BIV </w:t>
      </w:r>
    </w:p>
    <w:p w:rsidR="00F6226F" w:rsidRPr="00AE69FE" w:rsidRDefault="00F6226F" w:rsidP="00F6226F">
      <w:pPr>
        <w:tabs>
          <w:tab w:val="left" w:pos="-1440"/>
          <w:tab w:val="left" w:pos="-720"/>
        </w:tabs>
        <w:suppressAutoHyphens/>
        <w:spacing w:line="360" w:lineRule="auto"/>
      </w:pPr>
      <w:r w:rsidRPr="00AE69FE">
        <w:t>Vanuit het BIV is € 10 miljoen toegevoegd aan dit artikel. Het budget is bestemd voor nazorg en beveiliging van civielen in fragiele staten.</w:t>
      </w:r>
    </w:p>
    <w:p w:rsidR="00F6226F" w:rsidRPr="00AE69FE" w:rsidRDefault="00F6226F" w:rsidP="00F6226F">
      <w:pPr>
        <w:spacing w:line="360" w:lineRule="auto"/>
        <w:rPr>
          <w:i/>
        </w:rPr>
      </w:pPr>
    </w:p>
    <w:p w:rsidR="00F6226F" w:rsidRPr="00AE69FE" w:rsidRDefault="00F6226F" w:rsidP="00F6226F">
      <w:pPr>
        <w:spacing w:line="360" w:lineRule="auto"/>
        <w:rPr>
          <w:i/>
          <w:szCs w:val="20"/>
        </w:rPr>
      </w:pPr>
      <w:r w:rsidRPr="00AE69FE">
        <w:rPr>
          <w:i/>
          <w:szCs w:val="20"/>
        </w:rPr>
        <w:t xml:space="preserve">Spiegelen budgetten 2014 </w:t>
      </w:r>
    </w:p>
    <w:p w:rsidR="00F6226F" w:rsidRPr="00AE69FE" w:rsidRDefault="00F6226F" w:rsidP="00F6226F">
      <w:pPr>
        <w:spacing w:line="360" w:lineRule="auto"/>
      </w:pPr>
      <w:r w:rsidRPr="00AE69FE">
        <w:t>Afwijkingen in de realisatie 2014 worden in het begrotingsjaar 2015 gecompenseerd. Op dit artikel wordt € 5,9 miljoen bijgesteld als gevolg van de onderrealisatie in 2014.</w:t>
      </w:r>
    </w:p>
    <w:p w:rsidR="00F6226F" w:rsidRPr="00AE69FE" w:rsidRDefault="00F6226F" w:rsidP="00F6226F">
      <w:pPr>
        <w:spacing w:line="360" w:lineRule="auto"/>
        <w:rPr>
          <w:i/>
        </w:rPr>
      </w:pP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 xml:space="preserve">De Belastingdienst heeft een wijziging doorgevoerd in de wijze van heffing van de afdracht in het kader van de werkkostenregeling. Van een periodieke inhouding gaat de Belastingdienst over naar een jaarlijkse inhouding. </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Herallocatie</w:t>
      </w:r>
    </w:p>
    <w:p w:rsidR="00F6226F" w:rsidRPr="00AE69FE" w:rsidRDefault="00F6226F" w:rsidP="00F6226F">
      <w:pPr>
        <w:spacing w:line="360" w:lineRule="auto"/>
        <w:rPr>
          <w:szCs w:val="20"/>
          <w:lang w:eastAsia="en-US"/>
        </w:rPr>
      </w:pPr>
      <w:r w:rsidRPr="00AE69FE">
        <w:t>Door herallocatie is budget toegewezen aan budgettaire knelpunten. Voor het CDC betreft dit € 3,7 miljoen voor het internationale v</w:t>
      </w:r>
      <w:r w:rsidRPr="00AE69FE">
        <w:rPr>
          <w:szCs w:val="20"/>
          <w:lang w:eastAsia="en-US"/>
        </w:rPr>
        <w:t xml:space="preserve">erhuiscontract en € 0,4 miljoen voor het tekort op het budget niet operationeel dienstvervoer. Tevens is het budget voor milieu (€ 0,9 miljoen) verhoogd door de overheveling vanuit de Bestuursstaf voor het uitvoeren van milieuopdrachten. </w:t>
      </w:r>
      <w:r w:rsidRPr="00AE69FE">
        <w:t>Vanwege vertraging in de oprichting van de</w:t>
      </w:r>
      <w:r w:rsidRPr="00AE69FE">
        <w:rPr>
          <w:i/>
        </w:rPr>
        <w:t xml:space="preserve"> </w:t>
      </w:r>
      <w:r w:rsidRPr="00AE69FE">
        <w:t xml:space="preserve">Defensie Gezondheidszorg Organisatie (DGO) wordt € 24 miljoen vanuit het CDC naar de defensieonderdelen overgeheveld. </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 xml:space="preserve">Herschikking tussen defensieonderdelen </w:t>
      </w:r>
    </w:p>
    <w:p w:rsidR="00F6226F" w:rsidRPr="00AE69FE" w:rsidRDefault="00F6226F" w:rsidP="00F6226F">
      <w:pPr>
        <w:spacing w:line="360" w:lineRule="auto"/>
      </w:pPr>
      <w:r w:rsidRPr="00AE69FE">
        <w:t>Dit betreft diverse kleine budgetoverhevelingen van totaal € 3,3 miljoen voor onder meer “</w:t>
      </w:r>
      <w:r w:rsidRPr="00AE69FE">
        <w:rPr>
          <w:i/>
        </w:rPr>
        <w:t>employer branding”</w:t>
      </w:r>
      <w:r w:rsidRPr="00AE69FE">
        <w:rPr>
          <w:i/>
        </w:rPr>
        <w:br/>
      </w:r>
      <w:r w:rsidRPr="00AE69FE">
        <w:t xml:space="preserve">(€ 0,6 miljoen), een bijdrage voor opleidingskosten (leergang beleid en NATO school: € 0,4 miljoen) en de bijdrage voor uitvoering van Participatiewet (€ 1,2 miljoen). Verder is het budget verhoogd voor het landelijk zorgsysteem veteranen (€ 0,6 miljoen), de bijdrage voor de </w:t>
      </w:r>
      <w:r w:rsidRPr="00AE69FE">
        <w:rPr>
          <w:i/>
        </w:rPr>
        <w:t xml:space="preserve">Future Force Conference </w:t>
      </w:r>
      <w:r w:rsidRPr="00AE69FE">
        <w:t>(€ 0,2 miljoen) en overige mutaties van € 0,3 miljoen</w:t>
      </w:r>
      <w:r w:rsidRPr="00AE69FE">
        <w:rPr>
          <w:i/>
        </w:rPr>
        <w:t xml:space="preserve">. </w:t>
      </w:r>
    </w:p>
    <w:p w:rsidR="00F6226F" w:rsidRPr="00AE69FE" w:rsidRDefault="00F6226F" w:rsidP="00F6226F">
      <w:pPr>
        <w:spacing w:line="360" w:lineRule="auto"/>
      </w:pPr>
    </w:p>
    <w:p w:rsidR="00F6226F" w:rsidRPr="00AE69FE" w:rsidRDefault="00F6226F" w:rsidP="00F6226F">
      <w:pPr>
        <w:spacing w:line="360" w:lineRule="auto"/>
      </w:pPr>
      <w:r w:rsidRPr="00AE69FE">
        <w:rPr>
          <w:i/>
        </w:rPr>
        <w:t>Herschikking instandhouding, IV/ICT, infra tlv investeringen</w:t>
      </w:r>
    </w:p>
    <w:p w:rsidR="00F6226F" w:rsidRPr="00AE69FE" w:rsidRDefault="00F6226F" w:rsidP="00F6226F">
      <w:pPr>
        <w:spacing w:line="360" w:lineRule="auto"/>
      </w:pPr>
      <w:r w:rsidRPr="00AE69FE">
        <w:t>Dit betreft het bijstellen van budgetten voor huisvesting en infrastructuur met € 17,7 miljoen vanwege vertraging bij de reductie van het vastgoed van Defensie (€ 12,8 miljoen). Verder wordt het budget van dit artikel met € 2,4 miljoen verhoogd vanuit de verkoopopbrengsten van infrastructuur om de uitgaven voor PPS Kromhout te financieren. Ook zijn de uitgaven van huren met € 2,5 miljoen gestegen als gevolg van de vertraagde oplevering van de nieuwbouw op Schiphol en de nieuwbouw op de Seeligkazerne in Breda.</w:t>
      </w:r>
    </w:p>
    <w:p w:rsidR="00F6226F" w:rsidRPr="00AE69FE" w:rsidRDefault="00F6226F" w:rsidP="00F6226F">
      <w:pPr>
        <w:spacing w:line="360" w:lineRule="auto"/>
      </w:pPr>
    </w:p>
    <w:p w:rsidR="00F6226F" w:rsidRPr="00AE69FE" w:rsidRDefault="00F6226F" w:rsidP="00F6226F">
      <w:pPr>
        <w:spacing w:line="360" w:lineRule="auto"/>
        <w:rPr>
          <w:i/>
        </w:rPr>
      </w:pP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lastRenderedPageBreak/>
        <w:t>Eindejaarsmarge Attachés</w:t>
      </w:r>
    </w:p>
    <w:p w:rsidR="00F6226F" w:rsidRPr="00AE69FE" w:rsidRDefault="00F6226F" w:rsidP="00F6226F">
      <w:pPr>
        <w:spacing w:line="360" w:lineRule="auto"/>
      </w:pPr>
      <w:r w:rsidRPr="00AE69FE">
        <w:t xml:space="preserve">Afwijkingen in de realisatie 2014 worden in het begrotingsjaar 2015 gecompenseerd. Dit artikel wordt met </w:t>
      </w:r>
    </w:p>
    <w:p w:rsidR="00F6226F" w:rsidRPr="00AE69FE" w:rsidRDefault="00F6226F" w:rsidP="00F6226F">
      <w:pPr>
        <w:spacing w:line="360" w:lineRule="auto"/>
      </w:pPr>
      <w:r w:rsidRPr="00AE69FE">
        <w:t>€ 0,7 miljoen verhoogd als gevolg van de onderrealisatie in 2014.</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Loon- en prijsbijstelling</w:t>
      </w:r>
    </w:p>
    <w:p w:rsidR="00F6226F" w:rsidRPr="00AE69FE" w:rsidRDefault="00F6226F" w:rsidP="00F6226F">
      <w:pPr>
        <w:spacing w:line="360" w:lineRule="auto"/>
      </w:pPr>
      <w:r w:rsidRPr="00AE69FE">
        <w:t>Vanuit de HGIS is de loon- en prijsbijstelling voor de attachés toegekend.</w:t>
      </w:r>
    </w:p>
    <w:p w:rsidR="00F6226F" w:rsidRPr="00AE69FE" w:rsidRDefault="00F6226F" w:rsidP="00F6226F">
      <w:pPr>
        <w:spacing w:line="360" w:lineRule="auto"/>
        <w:rPr>
          <w:i/>
        </w:rPr>
      </w:pPr>
      <w:r w:rsidRPr="00AE69FE">
        <w:br/>
      </w:r>
      <w:r w:rsidRPr="00AE69FE">
        <w:rPr>
          <w:i/>
        </w:rPr>
        <w:t>Inboeken tariefsverlaging RVB</w:t>
      </w:r>
    </w:p>
    <w:p w:rsidR="00F6226F" w:rsidRPr="00AE69FE" w:rsidRDefault="00F6226F" w:rsidP="00F6226F">
      <w:pPr>
        <w:spacing w:line="360" w:lineRule="auto"/>
      </w:pPr>
      <w:r w:rsidRPr="00AE69FE">
        <w:t>Met deze mutatie is de tariefsverlaging van het Rijksvastgoed bedrijf voor de periode 2015 tot en met 2020 verwerkt. Het vrijgekomen budget wordt toegevoegd op artikel 12 Nominaal en Onvoorzien.</w:t>
      </w:r>
    </w:p>
    <w:p w:rsidR="00F6226F" w:rsidRPr="00AE69FE" w:rsidRDefault="00F6226F" w:rsidP="00F6226F">
      <w:pPr>
        <w:spacing w:line="360" w:lineRule="auto"/>
      </w:pPr>
    </w:p>
    <w:p w:rsidR="00F6226F" w:rsidRPr="00AE69FE" w:rsidRDefault="00F6226F" w:rsidP="00F6226F">
      <w:pPr>
        <w:spacing w:line="360" w:lineRule="auto"/>
        <w:rPr>
          <w:b/>
        </w:rPr>
      </w:pPr>
      <w:r w:rsidRPr="00AE69FE">
        <w:rPr>
          <w:b/>
        </w:rPr>
        <w:t>Ontvangsten</w:t>
      </w:r>
    </w:p>
    <w:tbl>
      <w:tblPr>
        <w:tblW w:w="60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1140"/>
        <w:gridCol w:w="1180"/>
      </w:tblGrid>
      <w:tr w:rsidR="00F6226F" w:rsidRPr="00526E97" w:rsidTr="00175626">
        <w:trPr>
          <w:trHeight w:val="450"/>
        </w:trPr>
        <w:tc>
          <w:tcPr>
            <w:tcW w:w="3700" w:type="dxa"/>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Omschrijving</w:t>
            </w:r>
          </w:p>
        </w:tc>
        <w:tc>
          <w:tcPr>
            <w:tcW w:w="1140" w:type="dxa"/>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Apparaat Ontvangsten</w:t>
            </w:r>
          </w:p>
        </w:tc>
        <w:tc>
          <w:tcPr>
            <w:tcW w:w="1180" w:type="dxa"/>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r>
      <w:tr w:rsidR="00F6226F" w:rsidRPr="00AE69FE" w:rsidTr="00175626">
        <w:trPr>
          <w:trHeight w:val="225"/>
        </w:trPr>
        <w:tc>
          <w:tcPr>
            <w:tcW w:w="37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140" w:type="dxa"/>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180" w:type="dxa"/>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25"/>
        </w:trPr>
        <w:tc>
          <w:tcPr>
            <w:tcW w:w="37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14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1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25"/>
        </w:trPr>
        <w:tc>
          <w:tcPr>
            <w:tcW w:w="3700" w:type="dxa"/>
            <w:shd w:val="clear" w:color="000000" w:fill="FFFFFF"/>
            <w:noWrap/>
            <w:hideMark/>
          </w:tcPr>
          <w:p w:rsidR="00F6226F" w:rsidRPr="00AE69FE" w:rsidRDefault="00F6226F" w:rsidP="00175626">
            <w:pPr>
              <w:rPr>
                <w:sz w:val="16"/>
                <w:szCs w:val="16"/>
              </w:rPr>
            </w:pPr>
            <w:r w:rsidRPr="00AE69FE">
              <w:rPr>
                <w:sz w:val="16"/>
                <w:szCs w:val="16"/>
              </w:rPr>
              <w:t xml:space="preserve">Afroming winst van Paresto </w:t>
            </w:r>
          </w:p>
        </w:tc>
        <w:tc>
          <w:tcPr>
            <w:tcW w:w="114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2.200</w:t>
            </w:r>
          </w:p>
        </w:tc>
        <w:tc>
          <w:tcPr>
            <w:tcW w:w="11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2.200</w:t>
            </w:r>
          </w:p>
        </w:tc>
      </w:tr>
      <w:tr w:rsidR="00F6226F" w:rsidRPr="00AE69FE" w:rsidTr="00175626">
        <w:trPr>
          <w:trHeight w:val="225"/>
        </w:trPr>
        <w:tc>
          <w:tcPr>
            <w:tcW w:w="3700" w:type="dxa"/>
            <w:shd w:val="clear" w:color="000000" w:fill="FFFFFF"/>
            <w:noWrap/>
            <w:hideMark/>
          </w:tcPr>
          <w:p w:rsidR="00F6226F" w:rsidRPr="00AE69FE" w:rsidRDefault="00F6226F" w:rsidP="00175626">
            <w:pPr>
              <w:rPr>
                <w:sz w:val="16"/>
                <w:szCs w:val="16"/>
              </w:rPr>
            </w:pPr>
            <w:r w:rsidRPr="00AE69FE">
              <w:rPr>
                <w:sz w:val="16"/>
                <w:szCs w:val="16"/>
              </w:rPr>
              <w:t xml:space="preserve">Bijstelling ontvangsten </w:t>
            </w:r>
          </w:p>
        </w:tc>
        <w:tc>
          <w:tcPr>
            <w:tcW w:w="114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-2.200</w:t>
            </w:r>
          </w:p>
        </w:tc>
        <w:tc>
          <w:tcPr>
            <w:tcW w:w="11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-2.200</w:t>
            </w:r>
          </w:p>
        </w:tc>
      </w:tr>
      <w:tr w:rsidR="00F6226F" w:rsidRPr="00AE69FE" w:rsidTr="00175626">
        <w:trPr>
          <w:trHeight w:val="255"/>
        </w:trPr>
        <w:tc>
          <w:tcPr>
            <w:tcW w:w="3700" w:type="dxa"/>
            <w:shd w:val="clear" w:color="000000" w:fill="FFFFFF"/>
            <w:noWrap/>
            <w:vAlign w:val="bottom"/>
            <w:hideMark/>
          </w:tcPr>
          <w:p w:rsidR="00F6226F" w:rsidRPr="00AE69FE" w:rsidRDefault="00F6226F" w:rsidP="00175626">
            <w:pPr>
              <w:rPr>
                <w:sz w:val="16"/>
                <w:szCs w:val="16"/>
              </w:rPr>
            </w:pPr>
            <w:r w:rsidRPr="00AE69FE">
              <w:rPr>
                <w:sz w:val="16"/>
                <w:szCs w:val="16"/>
              </w:rPr>
              <w:t>Bijstelling bijdrage SZVK aan het CMH</w:t>
            </w:r>
          </w:p>
        </w:tc>
        <w:tc>
          <w:tcPr>
            <w:tcW w:w="114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-1.904</w:t>
            </w:r>
          </w:p>
        </w:tc>
        <w:tc>
          <w:tcPr>
            <w:tcW w:w="11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-1.904</w:t>
            </w:r>
          </w:p>
        </w:tc>
      </w:tr>
      <w:tr w:rsidR="00F6226F" w:rsidRPr="00AE69FE" w:rsidTr="00175626">
        <w:trPr>
          <w:trHeight w:val="255"/>
        </w:trPr>
        <w:tc>
          <w:tcPr>
            <w:tcW w:w="3700" w:type="dxa"/>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14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-1.904</w:t>
            </w:r>
          </w:p>
        </w:tc>
        <w:tc>
          <w:tcPr>
            <w:tcW w:w="1180" w:type="dxa"/>
            <w:shd w:val="clear" w:color="000000" w:fill="FFFFFF"/>
            <w:noWrap/>
            <w:vAlign w:val="bottom"/>
            <w:hideMark/>
          </w:tcPr>
          <w:p w:rsidR="00F6226F" w:rsidRPr="00AE69FE" w:rsidRDefault="00F6226F" w:rsidP="00175626">
            <w:pPr>
              <w:jc w:val="right"/>
              <w:rPr>
                <w:sz w:val="16"/>
                <w:szCs w:val="16"/>
              </w:rPr>
            </w:pPr>
            <w:r w:rsidRPr="00AE69FE">
              <w:rPr>
                <w:sz w:val="16"/>
                <w:szCs w:val="16"/>
              </w:rPr>
              <w:t>-1.904</w:t>
            </w:r>
          </w:p>
        </w:tc>
      </w:tr>
    </w:tbl>
    <w:p w:rsidR="00F6226F" w:rsidRPr="00AE69FE" w:rsidRDefault="00F6226F" w:rsidP="00F6226F">
      <w:pPr>
        <w:spacing w:line="360" w:lineRule="auto"/>
        <w:rPr>
          <w:b/>
        </w:rPr>
      </w:pPr>
      <w:r w:rsidRPr="00AE69FE">
        <w:rPr>
          <w:b/>
          <w:bCs/>
          <w:sz w:val="16"/>
          <w:szCs w:val="16"/>
        </w:rPr>
        <w:t>Bedragen x € 1.000</w:t>
      </w:r>
    </w:p>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t>Toelichting ontvangsten</w:t>
      </w:r>
    </w:p>
    <w:p w:rsidR="00F6226F" w:rsidRPr="00AE69FE" w:rsidRDefault="00F6226F" w:rsidP="00F6226F">
      <w:pPr>
        <w:spacing w:line="360" w:lineRule="auto"/>
        <w:rPr>
          <w:b/>
        </w:rPr>
      </w:pPr>
      <w:r w:rsidRPr="00AE69FE">
        <w:t xml:space="preserve">Op het ontvangstenbudget van CDC wordt de winstafdracht van het agentschap Paresto van </w:t>
      </w:r>
      <w:r w:rsidRPr="00AE69FE">
        <w:br/>
        <w:t xml:space="preserve">€ 2,2 miljoen ontvangen. Deze winstafdracht zal niet leiden tot in totaliteit hogere ontvangsten, omdat naar verwachting minder overige ontvangsten binnenkomen. Het ontvangstenbudget neemt verder af vanwege de lagere bijdrage van de stichting ziektekostenverzekering krijgsmacht (€ 1,9 miljoen) als gevolg van vertraging van de renovatie van het Centraal Militair Hospitaal (zie artikel 6 investeringen). </w:t>
      </w:r>
    </w:p>
    <w:p w:rsidR="00F6226F" w:rsidRPr="00AE69FE" w:rsidRDefault="00F6226F" w:rsidP="00F6226F">
      <w:pPr>
        <w:spacing w:line="360" w:lineRule="auto"/>
      </w:pPr>
    </w:p>
    <w:p w:rsidR="00F6226F" w:rsidRPr="00AE69FE" w:rsidRDefault="00F6226F" w:rsidP="00F6226F"/>
    <w:p w:rsidR="00F6226F" w:rsidRPr="00AE69FE" w:rsidRDefault="00F6226F" w:rsidP="00F6226F">
      <w:pPr>
        <w:rPr>
          <w:b/>
        </w:rPr>
      </w:pPr>
      <w:r w:rsidRPr="00AE69FE">
        <w:br w:type="page"/>
      </w:r>
    </w:p>
    <w:p w:rsidR="00F6226F" w:rsidRPr="00AE69FE" w:rsidRDefault="00F6226F" w:rsidP="00F6226F">
      <w:pPr>
        <w:pStyle w:val="Kop3"/>
        <w:spacing w:line="360" w:lineRule="auto"/>
        <w:rPr>
          <w:sz w:val="20"/>
        </w:rPr>
      </w:pPr>
      <w:r w:rsidRPr="00AE69FE">
        <w:rPr>
          <w:sz w:val="20"/>
        </w:rPr>
        <w:lastRenderedPageBreak/>
        <w:t>Niet -Beleidsartikel 9 Algemeen</w:t>
      </w:r>
    </w:p>
    <w:tbl>
      <w:tblPr>
        <w:tblW w:w="0" w:type="auto"/>
        <w:tblInd w:w="55" w:type="dxa"/>
        <w:tblCellMar>
          <w:left w:w="70" w:type="dxa"/>
          <w:right w:w="70" w:type="dxa"/>
        </w:tblCellMar>
        <w:tblLook w:val="04A0" w:firstRow="1" w:lastRow="0" w:firstColumn="1" w:lastColumn="0" w:noHBand="0" w:noVBand="1"/>
      </w:tblPr>
      <w:tblGrid>
        <w:gridCol w:w="2376"/>
        <w:gridCol w:w="1886"/>
        <w:gridCol w:w="1704"/>
        <w:gridCol w:w="1664"/>
        <w:gridCol w:w="496"/>
        <w:gridCol w:w="496"/>
        <w:gridCol w:w="496"/>
        <w:gridCol w:w="496"/>
        <w:gridCol w:w="496"/>
      </w:tblGrid>
      <w:tr w:rsidR="00F6226F" w:rsidRPr="00AE69FE" w:rsidTr="00175626">
        <w:trPr>
          <w:trHeight w:val="255"/>
        </w:trPr>
        <w:tc>
          <w:tcPr>
            <w:tcW w:w="0" w:type="auto"/>
            <w:gridSpan w:val="3"/>
            <w:tcBorders>
              <w:top w:val="single" w:sz="4" w:space="0" w:color="auto"/>
              <w:left w:val="single" w:sz="4" w:space="0" w:color="auto"/>
              <w:bottom w:val="single" w:sz="4" w:space="0" w:color="auto"/>
              <w:right w:val="nil"/>
            </w:tcBorders>
            <w:shd w:val="clear" w:color="auto" w:fill="BFBFBF" w:themeFill="background1" w:themeFillShade="BF"/>
            <w:vAlign w:val="bottom"/>
            <w:hideMark/>
          </w:tcPr>
          <w:p w:rsidR="00F6226F" w:rsidRPr="00AE69FE" w:rsidRDefault="00F6226F" w:rsidP="00175626">
            <w:pPr>
              <w:rPr>
                <w:b/>
                <w:bCs/>
                <w:color w:val="000000"/>
                <w:sz w:val="16"/>
                <w:szCs w:val="16"/>
              </w:rPr>
            </w:pPr>
            <w:r w:rsidRPr="00AE69FE">
              <w:rPr>
                <w:b/>
                <w:bCs/>
                <w:color w:val="000000"/>
                <w:sz w:val="16"/>
                <w:szCs w:val="16"/>
              </w:rPr>
              <w:t>Budgettaire gevolgen niet-beleidsartikel 9 Algemeen (bedragen x € 1000)</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hideMark/>
          </w:tcPr>
          <w:p w:rsidR="00F6226F" w:rsidRPr="00AE69FE" w:rsidRDefault="00F6226F" w:rsidP="00175626">
            <w:pPr>
              <w:rPr>
                <w:sz w:val="14"/>
                <w:szCs w:val="14"/>
              </w:rPr>
            </w:pPr>
            <w:r w:rsidRPr="00AE69FE">
              <w:rPr>
                <w:sz w:val="14"/>
                <w:szCs w:val="14"/>
              </w:rPr>
              <w:t>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226F" w:rsidRPr="00AE69FE" w:rsidRDefault="00F6226F" w:rsidP="00175626">
            <w:pPr>
              <w:rPr>
                <w:sz w:val="14"/>
                <w:szCs w:val="14"/>
              </w:rPr>
            </w:pPr>
          </w:p>
        </w:tc>
      </w:tr>
      <w:tr w:rsidR="00F6226F" w:rsidRPr="00AE69FE" w:rsidTr="00175626">
        <w:trPr>
          <w:trHeight w:val="72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single" w:sz="4" w:space="0" w:color="auto"/>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single" w:sz="4" w:space="0" w:color="auto"/>
              <w:left w:val="nil"/>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F6226F" w:rsidRPr="00AE69FE" w:rsidRDefault="00F6226F" w:rsidP="00175626">
            <w:pPr>
              <w:jc w:val="center"/>
              <w:rPr>
                <w:b/>
                <w:bCs/>
                <w:sz w:val="16"/>
                <w:szCs w:val="16"/>
              </w:rPr>
            </w:pPr>
            <w:r w:rsidRPr="00AE69FE">
              <w:rPr>
                <w:b/>
                <w:bCs/>
                <w:sz w:val="16"/>
                <w:szCs w:val="16"/>
              </w:rPr>
              <w:t>2016</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F6226F" w:rsidRPr="00AE69FE" w:rsidRDefault="00F6226F" w:rsidP="00175626">
            <w:pPr>
              <w:jc w:val="center"/>
              <w:rPr>
                <w:b/>
                <w:bCs/>
                <w:sz w:val="16"/>
                <w:szCs w:val="16"/>
              </w:rPr>
            </w:pPr>
            <w:r w:rsidRPr="00AE69FE">
              <w:rPr>
                <w:b/>
                <w:bCs/>
                <w:sz w:val="16"/>
                <w:szCs w:val="16"/>
              </w:rPr>
              <w:t>2017</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F6226F" w:rsidRPr="00AE69FE" w:rsidRDefault="00F6226F" w:rsidP="00175626">
            <w:pPr>
              <w:jc w:val="center"/>
              <w:rPr>
                <w:b/>
                <w:bCs/>
                <w:sz w:val="16"/>
                <w:szCs w:val="16"/>
              </w:rPr>
            </w:pPr>
            <w:r w:rsidRPr="00AE69FE">
              <w:rPr>
                <w:b/>
                <w:bCs/>
                <w:sz w:val="16"/>
                <w:szCs w:val="16"/>
              </w:rPr>
              <w:t>2018</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F6226F" w:rsidRPr="00AE69FE" w:rsidRDefault="00F6226F" w:rsidP="00175626">
            <w:pPr>
              <w:jc w:val="center"/>
              <w:rPr>
                <w:b/>
                <w:bCs/>
                <w:sz w:val="16"/>
                <w:szCs w:val="16"/>
              </w:rPr>
            </w:pPr>
            <w:r w:rsidRPr="00AE69FE">
              <w:rPr>
                <w:b/>
                <w:bCs/>
                <w:sz w:val="16"/>
                <w:szCs w:val="16"/>
              </w:rPr>
              <w:t>2019</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102.460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96.816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102.460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96.816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Subsidies en bijdragen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23.848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-1.255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22.593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sz w:val="16"/>
                <w:szCs w:val="16"/>
              </w:rPr>
            </w:pPr>
            <w:r w:rsidRPr="00AE69FE">
              <w:rPr>
                <w:sz w:val="16"/>
                <w:szCs w:val="16"/>
              </w:rPr>
              <w:t>Bijdrage NAVO en internationale samenwerking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42.449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-3.225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39.224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Overige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36.163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-1.164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34.999</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bl>
    <w:p w:rsidR="00F6226F" w:rsidRPr="00AE69FE" w:rsidRDefault="00F6226F" w:rsidP="00F6226F"/>
    <w:p w:rsidR="00F6226F" w:rsidRPr="00AE69FE" w:rsidRDefault="00F6226F" w:rsidP="00F6226F"/>
    <w:tbl>
      <w:tblPr>
        <w:tblW w:w="6440" w:type="dxa"/>
        <w:tblInd w:w="55" w:type="dxa"/>
        <w:tblCellMar>
          <w:left w:w="70" w:type="dxa"/>
          <w:right w:w="70" w:type="dxa"/>
        </w:tblCellMar>
        <w:tblLook w:val="04A0" w:firstRow="1" w:lastRow="0" w:firstColumn="1" w:lastColumn="0" w:noHBand="0" w:noVBand="1"/>
      </w:tblPr>
      <w:tblGrid>
        <w:gridCol w:w="4320"/>
        <w:gridCol w:w="1060"/>
        <w:gridCol w:w="1060"/>
      </w:tblGrid>
      <w:tr w:rsidR="00F6226F" w:rsidRPr="00526E97" w:rsidTr="00175626">
        <w:trPr>
          <w:trHeight w:val="450"/>
        </w:trPr>
        <w:tc>
          <w:tcPr>
            <w:tcW w:w="4320" w:type="dxa"/>
            <w:tcBorders>
              <w:top w:val="single" w:sz="4" w:space="0" w:color="auto"/>
              <w:left w:val="single" w:sz="4" w:space="0" w:color="auto"/>
              <w:bottom w:val="nil"/>
              <w:right w:val="nil"/>
            </w:tcBorders>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 xml:space="preserve">Omschrijving (bedragen * </w:t>
            </w:r>
            <w:r w:rsidRPr="00526E97">
              <w:rPr>
                <w:rFonts w:ascii="Calibri" w:hAnsi="Calibri" w:cs="Calibri"/>
                <w:b/>
                <w:color w:val="000000" w:themeColor="text1"/>
                <w:sz w:val="16"/>
                <w:szCs w:val="16"/>
              </w:rPr>
              <w:t>€</w:t>
            </w:r>
            <w:r w:rsidRPr="00526E97">
              <w:rPr>
                <w:b/>
                <w:color w:val="000000" w:themeColor="text1"/>
                <w:sz w:val="16"/>
                <w:szCs w:val="16"/>
              </w:rPr>
              <w:t xml:space="preserve"> 1.000)</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Programma uitgaven</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r>
      <w:tr w:rsidR="00F6226F" w:rsidRPr="00AE69FE" w:rsidTr="00175626">
        <w:trPr>
          <w:trHeight w:val="255"/>
        </w:trPr>
        <w:tc>
          <w:tcPr>
            <w:tcW w:w="432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r>
      <w:tr w:rsidR="00F6226F" w:rsidRPr="00AE69FE" w:rsidTr="00175626">
        <w:trPr>
          <w:trHeight w:val="255"/>
        </w:trPr>
        <w:tc>
          <w:tcPr>
            <w:tcW w:w="4320" w:type="dxa"/>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3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4320" w:type="dxa"/>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-76</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-76</w:t>
            </w:r>
          </w:p>
        </w:tc>
      </w:tr>
      <w:tr w:rsidR="00F6226F" w:rsidRPr="00AE69FE" w:rsidTr="00175626">
        <w:trPr>
          <w:trHeight w:val="255"/>
        </w:trPr>
        <w:tc>
          <w:tcPr>
            <w:tcW w:w="43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4.600</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4.600</w:t>
            </w:r>
          </w:p>
        </w:tc>
      </w:tr>
      <w:tr w:rsidR="00F6226F" w:rsidRPr="00AE69FE" w:rsidTr="00175626">
        <w:trPr>
          <w:trHeight w:val="255"/>
        </w:trPr>
        <w:tc>
          <w:tcPr>
            <w:tcW w:w="4320" w:type="dxa"/>
            <w:tcBorders>
              <w:top w:val="nil"/>
              <w:left w:val="single" w:sz="4" w:space="0" w:color="auto"/>
              <w:bottom w:val="nil"/>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-10.202</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-10.202</w:t>
            </w:r>
          </w:p>
        </w:tc>
      </w:tr>
      <w:tr w:rsidR="00F6226F" w:rsidRPr="00AE69FE" w:rsidTr="00175626">
        <w:trPr>
          <w:trHeight w:val="255"/>
        </w:trPr>
        <w:tc>
          <w:tcPr>
            <w:tcW w:w="4320" w:type="dxa"/>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Spiegelen budgetten 2014</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200</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200</w:t>
            </w:r>
          </w:p>
        </w:tc>
      </w:tr>
      <w:tr w:rsidR="00F6226F" w:rsidRPr="00AE69FE" w:rsidTr="00175626">
        <w:trPr>
          <w:trHeight w:val="255"/>
        </w:trPr>
        <w:tc>
          <w:tcPr>
            <w:tcW w:w="43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-166</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-166</w:t>
            </w:r>
          </w:p>
        </w:tc>
      </w:tr>
      <w:tr w:rsidR="00F6226F" w:rsidRPr="00AE69FE" w:rsidTr="00175626">
        <w:trPr>
          <w:trHeight w:val="255"/>
        </w:trPr>
        <w:tc>
          <w:tcPr>
            <w:tcW w:w="4320" w:type="dxa"/>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1060" w:type="dxa"/>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1060" w:type="dxa"/>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85"/>
        </w:trPr>
        <w:tc>
          <w:tcPr>
            <w:tcW w:w="43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320" w:type="dxa"/>
            <w:tcBorders>
              <w:top w:val="single" w:sz="8" w:space="0" w:color="auto"/>
              <w:left w:val="single" w:sz="4" w:space="0" w:color="auto"/>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06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-5.644</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-5.644</w:t>
            </w:r>
          </w:p>
        </w:tc>
      </w:tr>
      <w:tr w:rsidR="00F6226F" w:rsidRPr="00AE69FE" w:rsidTr="00175626">
        <w:trPr>
          <w:trHeight w:val="255"/>
        </w:trPr>
        <w:tc>
          <w:tcPr>
            <w:tcW w:w="43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6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320" w:type="dxa"/>
            <w:tcBorders>
              <w:top w:val="single" w:sz="8" w:space="0" w:color="auto"/>
              <w:left w:val="single" w:sz="4" w:space="0" w:color="auto"/>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06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-5.644</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-5.644</w:t>
            </w:r>
          </w:p>
        </w:tc>
      </w:tr>
    </w:tbl>
    <w:p w:rsidR="00F6226F" w:rsidRPr="00AE69FE" w:rsidRDefault="00F6226F" w:rsidP="00F6226F"/>
    <w:p w:rsidR="00F6226F" w:rsidRPr="00AE69FE" w:rsidRDefault="00F6226F" w:rsidP="00F6226F"/>
    <w:p w:rsidR="00F6226F" w:rsidRPr="00AE69FE" w:rsidRDefault="00F6226F" w:rsidP="00F6226F">
      <w:pPr>
        <w:spacing w:line="360" w:lineRule="auto"/>
        <w:rPr>
          <w:b/>
        </w:rPr>
      </w:pPr>
      <w:r w:rsidRPr="00AE69FE">
        <w:rPr>
          <w:b/>
        </w:rPr>
        <w:t>Toelichting</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Herschikking tussen defensieonderdelen</w:t>
      </w:r>
    </w:p>
    <w:p w:rsidR="00F6226F" w:rsidRPr="00AE69FE" w:rsidRDefault="00F6226F" w:rsidP="00F6226F">
      <w:pPr>
        <w:spacing w:line="360" w:lineRule="auto"/>
        <w:rPr>
          <w:szCs w:val="20"/>
        </w:rPr>
      </w:pPr>
      <w:r w:rsidRPr="00AE69FE">
        <w:t xml:space="preserve">Dit betreft de </w:t>
      </w:r>
      <w:r w:rsidRPr="00AE69FE">
        <w:rPr>
          <w:szCs w:val="20"/>
        </w:rPr>
        <w:t>bijdrage aan de coulanceregeling Chroom 6 (€ 4 miljoen) en compensatie voor de</w:t>
      </w:r>
      <w:r w:rsidRPr="00AE69FE">
        <w:rPr>
          <w:i/>
          <w:szCs w:val="20"/>
        </w:rPr>
        <w:t xml:space="preserve"> Future Force Conference </w:t>
      </w:r>
      <w:r w:rsidRPr="00AE69FE">
        <w:rPr>
          <w:szCs w:val="20"/>
        </w:rPr>
        <w:t>(€ 0,4 miljoen)</w:t>
      </w:r>
      <w:r w:rsidRPr="00AE69FE">
        <w:rPr>
          <w:i/>
          <w:szCs w:val="20"/>
        </w:rPr>
        <w:t xml:space="preserve">. </w:t>
      </w:r>
      <w:r w:rsidRPr="00AE69FE">
        <w:rPr>
          <w:szCs w:val="20"/>
        </w:rPr>
        <w:t>Daar tegenover staan de vrijval van de budgetten voor de exploitatie van de Navo en subsidies (-€ 3,4 miljoen) en diverse budgetoverhevelingen vanwege het overgaan van formatieplaatsen (-€ 1,1 miljoen).</w:t>
      </w:r>
    </w:p>
    <w:p w:rsidR="00F6226F" w:rsidRPr="00AE69FE" w:rsidRDefault="00F6226F" w:rsidP="00F6226F">
      <w:pPr>
        <w:spacing w:line="360" w:lineRule="auto"/>
        <w:rPr>
          <w:i/>
        </w:rPr>
      </w:pPr>
    </w:p>
    <w:p w:rsidR="00F6226F" w:rsidRPr="00AE69FE" w:rsidRDefault="00F6226F" w:rsidP="00F6226F">
      <w:pPr>
        <w:spacing w:line="360" w:lineRule="auto"/>
        <w:rPr>
          <w:i/>
        </w:rPr>
      </w:pPr>
      <w:r w:rsidRPr="00AE69FE">
        <w:rPr>
          <w:i/>
        </w:rPr>
        <w:t>Herallocatie</w:t>
      </w:r>
    </w:p>
    <w:p w:rsidR="00F6226F" w:rsidRPr="00AE69FE" w:rsidRDefault="00F6226F" w:rsidP="00F6226F">
      <w:pPr>
        <w:spacing w:line="360" w:lineRule="auto"/>
      </w:pPr>
      <w:r w:rsidRPr="00AE69FE">
        <w:rPr>
          <w:szCs w:val="20"/>
        </w:rPr>
        <w:t xml:space="preserve">Door herallocatie </w:t>
      </w:r>
      <w:r w:rsidRPr="00AE69FE">
        <w:t xml:space="preserve">is prioriteit gegeven aan een aantal budgettaire aandachtspunten. Voor dit artikel betreft het de beschikbaarheidsvergoeding (€ 1,2 miljoen) en de vertraging en meerwerkkosten voor het opgerichte Nationaal Militair Museum (€ 4,3 miljoen). </w:t>
      </w:r>
      <w:r w:rsidRPr="00AE69FE">
        <w:rPr>
          <w:szCs w:val="20"/>
          <w:lang w:eastAsia="en-US"/>
        </w:rPr>
        <w:t>Tevens is het budget voor milieu (€ 0,9 miljoen) overgeheveld naar het CDC voor het uitvoeren van milieuopdrachten.</w:t>
      </w:r>
    </w:p>
    <w:p w:rsidR="00F6226F" w:rsidRPr="00AE69FE" w:rsidRDefault="00F6226F" w:rsidP="00F6226F">
      <w:pPr>
        <w:spacing w:line="360" w:lineRule="auto"/>
      </w:pPr>
    </w:p>
    <w:p w:rsidR="00F6226F" w:rsidRPr="00AE69FE" w:rsidRDefault="00F6226F" w:rsidP="00F6226F">
      <w:pPr>
        <w:rPr>
          <w:i/>
        </w:rPr>
      </w:pPr>
      <w:r w:rsidRPr="00AE69FE">
        <w:rPr>
          <w:i/>
        </w:rPr>
        <w:br w:type="page"/>
      </w:r>
    </w:p>
    <w:p w:rsidR="00F6226F" w:rsidRPr="00AE69FE" w:rsidRDefault="00F6226F" w:rsidP="00F6226F">
      <w:pPr>
        <w:tabs>
          <w:tab w:val="left" w:pos="-1440"/>
          <w:tab w:val="left" w:pos="-720"/>
        </w:tabs>
        <w:suppressAutoHyphens/>
        <w:spacing w:line="360" w:lineRule="auto"/>
      </w:pPr>
      <w:r w:rsidRPr="00AE69FE">
        <w:rPr>
          <w:i/>
        </w:rPr>
        <w:lastRenderedPageBreak/>
        <w:t xml:space="preserve">Afdracht eindheffing Werkkostenregeling (WKR) 2015 </w:t>
      </w:r>
      <w:r w:rsidRPr="00AE69FE">
        <w:t xml:space="preserve">De Belastingdienst heeft een wijziging doorgevoerd in de wijze van heffing van de afdracht in het kader van de werkkostenregeling. Van een periodieke inhouding gaat de Belastingdienst over naar een jaarlijkse inhouding. </w:t>
      </w:r>
    </w:p>
    <w:p w:rsidR="00F6226F" w:rsidRPr="00AE69FE" w:rsidRDefault="00F6226F" w:rsidP="00F6226F">
      <w:pPr>
        <w:spacing w:line="360" w:lineRule="auto"/>
      </w:pPr>
    </w:p>
    <w:p w:rsidR="00F6226F" w:rsidRPr="00AE69FE" w:rsidRDefault="00F6226F" w:rsidP="00F6226F">
      <w:pPr>
        <w:spacing w:line="360" w:lineRule="auto"/>
        <w:rPr>
          <w:i/>
          <w:szCs w:val="20"/>
        </w:rPr>
      </w:pPr>
      <w:r w:rsidRPr="00AE69FE">
        <w:rPr>
          <w:i/>
          <w:szCs w:val="20"/>
        </w:rPr>
        <w:t>Spiegelen budgetten 2014</w:t>
      </w:r>
    </w:p>
    <w:p w:rsidR="00F6226F" w:rsidRPr="00AE69FE" w:rsidRDefault="00F6226F" w:rsidP="00F6226F">
      <w:pPr>
        <w:widowControl w:val="0"/>
        <w:spacing w:line="360" w:lineRule="auto"/>
        <w:rPr>
          <w:b/>
        </w:rPr>
      </w:pPr>
      <w:r w:rsidRPr="00AE69FE">
        <w:t>Dit artikel wordt met € 0,2 miljoen verhoogd als gevolg van onderrealisatie in 2014.</w:t>
      </w:r>
    </w:p>
    <w:p w:rsidR="00F6226F" w:rsidRPr="00AE69FE" w:rsidRDefault="00F6226F" w:rsidP="00F6226F">
      <w:pPr>
        <w:spacing w:line="360" w:lineRule="auto"/>
      </w:pPr>
    </w:p>
    <w:p w:rsidR="00F6226F" w:rsidRPr="00AE69FE" w:rsidRDefault="00F6226F" w:rsidP="00F6226F">
      <w:pPr>
        <w:widowControl w:val="0"/>
        <w:spacing w:line="360" w:lineRule="auto"/>
        <w:rPr>
          <w:i/>
        </w:rPr>
      </w:pPr>
      <w:r w:rsidRPr="00AE69FE">
        <w:rPr>
          <w:i/>
        </w:rPr>
        <w:t xml:space="preserve">Overhevelingen tussen departementen &amp; mutaties generale middelen </w:t>
      </w:r>
    </w:p>
    <w:p w:rsidR="00F6226F" w:rsidRPr="00AE69FE" w:rsidRDefault="00F6226F" w:rsidP="00F6226F">
      <w:pPr>
        <w:widowControl w:val="0"/>
        <w:spacing w:line="360" w:lineRule="auto"/>
      </w:pPr>
      <w:r w:rsidRPr="00AE69FE">
        <w:t>Dit betreft de bijdrage aan het ministerie van Financiën voor externe onderzoeken in het kader van het interdepartementaal beleidsonderzoek naar wapensystemen.</w:t>
      </w:r>
    </w:p>
    <w:p w:rsidR="00F6226F" w:rsidRPr="00AE69FE" w:rsidRDefault="00F6226F" w:rsidP="00F6226F">
      <w:pPr>
        <w:spacing w:line="360" w:lineRule="auto"/>
        <w:rPr>
          <w:i/>
        </w:rPr>
      </w:pPr>
    </w:p>
    <w:p w:rsidR="00F6226F" w:rsidRPr="00AE69FE" w:rsidRDefault="00F6226F" w:rsidP="00F6226F">
      <w:pPr>
        <w:spacing w:line="360" w:lineRule="auto"/>
        <w:rPr>
          <w:i/>
        </w:rPr>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spacing w:line="360" w:lineRule="auto"/>
      </w:pPr>
    </w:p>
    <w:p w:rsidR="00F6226F" w:rsidRPr="00AE69FE" w:rsidRDefault="00F6226F" w:rsidP="00F6226F">
      <w:pPr>
        <w:rPr>
          <w:b/>
        </w:rPr>
      </w:pPr>
      <w:r w:rsidRPr="00AE69FE">
        <w:br w:type="page"/>
      </w:r>
    </w:p>
    <w:p w:rsidR="00F6226F" w:rsidRPr="00AE69FE" w:rsidRDefault="00F6226F" w:rsidP="00F6226F">
      <w:pPr>
        <w:pStyle w:val="Kop3"/>
        <w:spacing w:line="360" w:lineRule="auto"/>
        <w:rPr>
          <w:sz w:val="20"/>
        </w:rPr>
      </w:pPr>
      <w:r w:rsidRPr="00AE69FE">
        <w:rPr>
          <w:sz w:val="20"/>
        </w:rPr>
        <w:lastRenderedPageBreak/>
        <w:t>Niet -Beleidsartikel 10 Centraal Apparaat</w:t>
      </w:r>
    </w:p>
    <w:p w:rsidR="00F6226F" w:rsidRPr="00AE69FE" w:rsidRDefault="00F6226F" w:rsidP="00F6226F">
      <w:pPr>
        <w:spacing w:line="360" w:lineRule="auto"/>
        <w:rPr>
          <w:b/>
        </w:rPr>
      </w:pPr>
    </w:p>
    <w:tbl>
      <w:tblPr>
        <w:tblW w:w="0" w:type="auto"/>
        <w:tblInd w:w="55" w:type="dxa"/>
        <w:tblCellMar>
          <w:left w:w="70" w:type="dxa"/>
          <w:right w:w="70" w:type="dxa"/>
        </w:tblCellMar>
        <w:tblLook w:val="04A0" w:firstRow="1" w:lastRow="0" w:firstColumn="1" w:lastColumn="0" w:noHBand="0" w:noVBand="1"/>
      </w:tblPr>
      <w:tblGrid>
        <w:gridCol w:w="9337"/>
        <w:gridCol w:w="185"/>
        <w:gridCol w:w="196"/>
        <w:gridCol w:w="196"/>
        <w:gridCol w:w="196"/>
      </w:tblGrid>
      <w:tr w:rsidR="00F6226F" w:rsidRPr="00AE69FE" w:rsidTr="00175626">
        <w:trPr>
          <w:trHeight w:val="255"/>
        </w:trPr>
        <w:tc>
          <w:tcPr>
            <w:tcW w:w="0" w:type="auto"/>
            <w:tcBorders>
              <w:top w:val="nil"/>
              <w:left w:val="nil"/>
              <w:bottom w:val="nil"/>
              <w:right w:val="nil"/>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Budgettaire gevolgen niet-beleidsartikel 10 centraal apparaat (bedragen x € 1000)</w:t>
            </w:r>
          </w:p>
          <w:p w:rsidR="00F6226F" w:rsidRPr="00AE69FE" w:rsidRDefault="00F6226F" w:rsidP="00175626">
            <w:pPr>
              <w:rPr>
                <w:b/>
                <w:bCs/>
                <w:color w:val="000000"/>
                <w:sz w:val="16"/>
                <w:szCs w:val="16"/>
              </w:rPr>
            </w:pPr>
          </w:p>
          <w:tbl>
            <w:tblPr>
              <w:tblW w:w="0" w:type="auto"/>
              <w:tblCellMar>
                <w:left w:w="70" w:type="dxa"/>
                <w:right w:w="70" w:type="dxa"/>
              </w:tblCellMar>
              <w:tblLook w:val="04A0" w:firstRow="1" w:lastRow="0" w:firstColumn="1" w:lastColumn="0" w:noHBand="0" w:noVBand="1"/>
            </w:tblPr>
            <w:tblGrid>
              <w:gridCol w:w="2363"/>
              <w:gridCol w:w="1442"/>
              <w:gridCol w:w="1395"/>
              <w:gridCol w:w="1373"/>
              <w:gridCol w:w="630"/>
              <w:gridCol w:w="496"/>
              <w:gridCol w:w="496"/>
              <w:gridCol w:w="496"/>
              <w:gridCol w:w="496"/>
            </w:tblGrid>
            <w:tr w:rsidR="00F6226F" w:rsidRPr="00AE69FE" w:rsidTr="00175626">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226F" w:rsidRPr="00AE69FE" w:rsidRDefault="00F6226F" w:rsidP="00175626">
                  <w:pPr>
                    <w:rPr>
                      <w:b/>
                      <w:bCs/>
                      <w:sz w:val="16"/>
                      <w:szCs w:val="16"/>
                    </w:rPr>
                  </w:pPr>
                  <w:r w:rsidRPr="00AE69FE">
                    <w:rPr>
                      <w:b/>
                      <w:bCs/>
                      <w:sz w:val="16"/>
                      <w:szCs w:val="16"/>
                    </w:rPr>
                    <w:t>Artikel 10 Centraal apparaat (bedragen x € 1.000)</w:t>
                  </w:r>
                </w:p>
              </w:tc>
            </w:tr>
            <w:tr w:rsidR="00F6226F" w:rsidRPr="00AE69FE" w:rsidTr="00175626">
              <w:trPr>
                <w:trHeight w:val="885"/>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Ontwerp-begroting 2015 incl. nota van wijziging</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Mutatie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hideMark/>
                </w:tcPr>
                <w:p w:rsidR="00F6226F" w:rsidRPr="00AE69FE" w:rsidRDefault="00F6226F" w:rsidP="00175626">
                  <w:pPr>
                    <w:rPr>
                      <w:b/>
                      <w:bCs/>
                      <w:sz w:val="16"/>
                      <w:szCs w:val="16"/>
                    </w:rPr>
                  </w:pPr>
                  <w:r w:rsidRPr="00AE69FE">
                    <w:rPr>
                      <w:b/>
                      <w:bCs/>
                      <w:sz w:val="16"/>
                      <w:szCs w:val="16"/>
                    </w:rPr>
                    <w:t>Stand 1e suppletoire begroting 2015</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jc w:val="center"/>
                    <w:rPr>
                      <w:b/>
                      <w:bCs/>
                      <w:sz w:val="16"/>
                      <w:szCs w:val="16"/>
                    </w:rPr>
                  </w:pPr>
                  <w:r w:rsidRPr="00AE69FE">
                    <w:rPr>
                      <w:b/>
                      <w:bCs/>
                      <w:sz w:val="16"/>
                      <w:szCs w:val="16"/>
                    </w:rPr>
                    <w:t>2016</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jc w:val="center"/>
                    <w:rPr>
                      <w:b/>
                      <w:bCs/>
                      <w:sz w:val="16"/>
                      <w:szCs w:val="16"/>
                    </w:rPr>
                  </w:pPr>
                  <w:r w:rsidRPr="00AE69FE">
                    <w:rPr>
                      <w:b/>
                      <w:bCs/>
                      <w:sz w:val="16"/>
                      <w:szCs w:val="16"/>
                    </w:rPr>
                    <w:t>2017</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jc w:val="center"/>
                    <w:rPr>
                      <w:b/>
                      <w:bCs/>
                      <w:sz w:val="16"/>
                      <w:szCs w:val="16"/>
                    </w:rPr>
                  </w:pPr>
                  <w:r w:rsidRPr="00AE69FE">
                    <w:rPr>
                      <w:b/>
                      <w:bCs/>
                      <w:sz w:val="16"/>
                      <w:szCs w:val="16"/>
                    </w:rPr>
                    <w:t>2018</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jc w:val="center"/>
                    <w:rPr>
                      <w:b/>
                      <w:bCs/>
                      <w:sz w:val="16"/>
                      <w:szCs w:val="16"/>
                    </w:rPr>
                  </w:pPr>
                  <w:r w:rsidRPr="00AE69FE">
                    <w:rPr>
                      <w:b/>
                      <w:bCs/>
                      <w:sz w:val="16"/>
                      <w:szCs w:val="16"/>
                    </w:rPr>
                    <w:t>2019</w:t>
                  </w:r>
                </w:p>
              </w:tc>
              <w:tc>
                <w:tcPr>
                  <w:tcW w:w="0" w:type="auto"/>
                  <w:tcBorders>
                    <w:top w:val="nil"/>
                    <w:left w:val="nil"/>
                    <w:bottom w:val="single" w:sz="4" w:space="0" w:color="auto"/>
                    <w:right w:val="single" w:sz="4" w:space="0" w:color="auto"/>
                  </w:tcBorders>
                  <w:shd w:val="clear" w:color="auto" w:fill="BFBFBF" w:themeFill="background1" w:themeFillShade="BF"/>
                  <w:vAlign w:val="bottom"/>
                  <w:hideMark/>
                </w:tcPr>
                <w:p w:rsidR="00F6226F" w:rsidRPr="00AE69FE" w:rsidRDefault="00F6226F" w:rsidP="00175626">
                  <w:pPr>
                    <w:jc w:val="center"/>
                    <w:rPr>
                      <w:b/>
                      <w:bCs/>
                      <w:sz w:val="16"/>
                      <w:szCs w:val="16"/>
                    </w:rPr>
                  </w:pPr>
                  <w:r w:rsidRPr="00AE69FE">
                    <w:rPr>
                      <w:b/>
                      <w:bCs/>
                      <w:sz w:val="16"/>
                      <w:szCs w:val="16"/>
                    </w:rPr>
                    <w:t>2020</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xml:space="preserve">Verplichtingen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1.599.771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1.614.844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42.716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p w:rsidR="00F6226F" w:rsidRPr="00AE69FE" w:rsidRDefault="00F6226F" w:rsidP="00175626">
                  <w:pPr>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1.599.771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1.614.844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42.716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1.599.771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1.614.844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42.716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Personele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1.583.978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15.643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1.599.621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121.225</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2.167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123.392</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3.080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1.428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4.508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pensioenen, wachtgelden en uitkeringen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1.459.673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12.048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1.471.721</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sz w:val="16"/>
                      <w:szCs w:val="16"/>
                    </w:rPr>
                  </w:pPr>
                  <w:r w:rsidRPr="00AE69FE">
                    <w:rPr>
                      <w:sz w:val="16"/>
                      <w:szCs w:val="16"/>
                    </w:rPr>
                    <w:t>Materiele uitgaven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15.793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15.223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-284</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waarvan overig</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15.583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-570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15.013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F6226F" w:rsidRPr="00AE69FE" w:rsidRDefault="00F6226F" w:rsidP="00175626">
                  <w:pPr>
                    <w:rPr>
                      <w:i/>
                      <w:iCs/>
                      <w:sz w:val="16"/>
                      <w:szCs w:val="16"/>
                    </w:rPr>
                  </w:pPr>
                  <w:r w:rsidRPr="00AE69FE">
                    <w:rPr>
                      <w:i/>
                      <w:iCs/>
                      <w:sz w:val="16"/>
                      <w:szCs w:val="16"/>
                    </w:rPr>
                    <w:t>- waarvan bijdrage aan SSO Paresto</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210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210</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i/>
                      <w:iCs/>
                      <w:sz w:val="16"/>
                      <w:szCs w:val="16"/>
                    </w:rPr>
                  </w:pPr>
                  <w:r w:rsidRPr="00AE69FE">
                    <w:rPr>
                      <w:i/>
                      <w:iCs/>
                      <w:sz w:val="16"/>
                      <w:szCs w:val="16"/>
                    </w:rPr>
                    <w:t> </w:t>
                  </w:r>
                </w:p>
                <w:p w:rsidR="00F6226F" w:rsidRPr="00AE69FE" w:rsidRDefault="00F6226F" w:rsidP="00175626">
                  <w:pPr>
                    <w:jc w:val="right"/>
                    <w:rPr>
                      <w:i/>
                      <w:iCs/>
                      <w:sz w:val="16"/>
                      <w:szCs w:val="16"/>
                    </w:rPr>
                  </w:pPr>
                  <w:r w:rsidRPr="00AE69FE">
                    <w:rPr>
                      <w:i/>
                      <w:iCs/>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i/>
                      <w:iCs/>
                      <w:sz w:val="16"/>
                      <w:szCs w:val="16"/>
                    </w:rPr>
                  </w:pPr>
                  <w:r w:rsidRPr="00AE69FE">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single" w:sz="4" w:space="0" w:color="auto"/>
                  </w:tcBorders>
                  <w:shd w:val="clear" w:color="000000" w:fill="FFFFFF"/>
                  <w:noWrap/>
                  <w:hideMark/>
                </w:tcPr>
                <w:p w:rsidR="00F6226F" w:rsidRPr="00AE69FE" w:rsidRDefault="00F6226F" w:rsidP="00175626">
                  <w:pPr>
                    <w:rPr>
                      <w:b/>
                      <w:bCs/>
                      <w:sz w:val="16"/>
                      <w:szCs w:val="16"/>
                    </w:rPr>
                  </w:pPr>
                  <w:r w:rsidRPr="00AE69FE">
                    <w:rPr>
                      <w:b/>
                      <w:bCs/>
                      <w:sz w:val="16"/>
                      <w:szCs w:val="16"/>
                    </w:rPr>
                    <w:t>Totaal ontvangsten</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6.811</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6.818</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 </w:t>
                  </w:r>
                </w:p>
                <w:p w:rsidR="00F6226F" w:rsidRPr="00AE69FE" w:rsidRDefault="00F6226F" w:rsidP="00175626">
                  <w:pPr>
                    <w:rPr>
                      <w:b/>
                      <w:bCs/>
                      <w:sz w:val="16"/>
                      <w:szCs w:val="16"/>
                    </w:rPr>
                  </w:pPr>
                  <w:r w:rsidRPr="00AE69FE">
                    <w:rPr>
                      <w:b/>
                      <w:bCs/>
                      <w:sz w:val="16"/>
                      <w:szCs w:val="16"/>
                    </w:rPr>
                    <w:t> </w:t>
                  </w:r>
                </w:p>
              </w:tc>
            </w:tr>
          </w:tbl>
          <w:p w:rsidR="00F6226F" w:rsidRPr="00AE69FE" w:rsidRDefault="00F6226F" w:rsidP="00175626">
            <w:pPr>
              <w:rPr>
                <w:b/>
                <w:bCs/>
                <w:color w:val="000000"/>
                <w:sz w:val="16"/>
                <w:szCs w:val="16"/>
              </w:rPr>
            </w:pPr>
          </w:p>
        </w:tc>
        <w:tc>
          <w:tcPr>
            <w:tcW w:w="0" w:type="auto"/>
            <w:tcBorders>
              <w:top w:val="nil"/>
              <w:left w:val="nil"/>
              <w:bottom w:val="nil"/>
              <w:right w:val="nil"/>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w:t>
            </w:r>
          </w:p>
        </w:tc>
        <w:tc>
          <w:tcPr>
            <w:tcW w:w="0" w:type="auto"/>
            <w:tcBorders>
              <w:top w:val="nil"/>
              <w:left w:val="nil"/>
              <w:bottom w:val="nil"/>
              <w:right w:val="nil"/>
            </w:tcBorders>
            <w:shd w:val="clear" w:color="000000" w:fill="FFFFFF"/>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nil"/>
              <w:right w:val="nil"/>
            </w:tcBorders>
            <w:shd w:val="clear" w:color="000000" w:fill="FFFFFF"/>
            <w:noWrap/>
            <w:vAlign w:val="bottom"/>
            <w:hideMark/>
          </w:tcPr>
          <w:p w:rsidR="00F6226F" w:rsidRPr="00AE69FE" w:rsidRDefault="00F6226F" w:rsidP="00175626">
            <w:pPr>
              <w:rPr>
                <w:szCs w:val="20"/>
              </w:rPr>
            </w:pPr>
            <w:r w:rsidRPr="00AE69FE">
              <w:rPr>
                <w:szCs w:val="20"/>
              </w:rPr>
              <w:t> </w:t>
            </w:r>
          </w:p>
        </w:tc>
        <w:tc>
          <w:tcPr>
            <w:tcW w:w="0" w:type="auto"/>
            <w:tcBorders>
              <w:top w:val="nil"/>
              <w:left w:val="nil"/>
              <w:bottom w:val="nil"/>
              <w:right w:val="nil"/>
            </w:tcBorders>
            <w:shd w:val="clear" w:color="000000" w:fill="FFFFFF"/>
            <w:noWrap/>
            <w:vAlign w:val="bottom"/>
            <w:hideMark/>
          </w:tcPr>
          <w:p w:rsidR="00F6226F" w:rsidRPr="00AE69FE" w:rsidRDefault="00F6226F" w:rsidP="00175626">
            <w:pPr>
              <w:rPr>
                <w:szCs w:val="20"/>
              </w:rPr>
            </w:pPr>
            <w:r w:rsidRPr="00AE69FE">
              <w:rPr>
                <w:szCs w:val="20"/>
              </w:rPr>
              <w:t> </w:t>
            </w:r>
          </w:p>
        </w:tc>
      </w:tr>
    </w:tbl>
    <w:p w:rsidR="00F6226F" w:rsidRPr="00AE69FE" w:rsidRDefault="00F6226F" w:rsidP="00F6226F">
      <w:pPr>
        <w:spacing w:line="360" w:lineRule="auto"/>
        <w:rPr>
          <w:b/>
        </w:rPr>
      </w:pPr>
    </w:p>
    <w:tbl>
      <w:tblPr>
        <w:tblW w:w="0" w:type="auto"/>
        <w:tblInd w:w="55" w:type="dxa"/>
        <w:tblCellMar>
          <w:left w:w="70" w:type="dxa"/>
          <w:right w:w="70" w:type="dxa"/>
        </w:tblCellMar>
        <w:tblLook w:val="04A0" w:firstRow="1" w:lastRow="0" w:firstColumn="1" w:lastColumn="0" w:noHBand="0" w:noVBand="1"/>
      </w:tblPr>
      <w:tblGrid>
        <w:gridCol w:w="5059"/>
        <w:gridCol w:w="1536"/>
        <w:gridCol w:w="630"/>
        <w:gridCol w:w="630"/>
        <w:gridCol w:w="496"/>
        <w:gridCol w:w="496"/>
        <w:gridCol w:w="496"/>
        <w:gridCol w:w="496"/>
      </w:tblGrid>
      <w:tr w:rsidR="00F6226F" w:rsidRPr="00AE69FE" w:rsidTr="00175626">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Omschrijving (bedragen x € 1.000)</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Apparaat uitgaven</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Totaal</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2016</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2017</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2018</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2019</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2020</w:t>
            </w:r>
          </w:p>
        </w:tc>
      </w:tr>
      <w:tr w:rsidR="00F6226F" w:rsidRPr="00AE69FE" w:rsidTr="00175626">
        <w:trPr>
          <w:trHeight w:val="255"/>
        </w:trPr>
        <w:tc>
          <w:tcPr>
            <w:tcW w:w="0" w:type="auto"/>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Autonome mutaties</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Overhevelingen tussen departementen &amp; mutaties generale middelen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c>
          <w:tcPr>
            <w:tcW w:w="0" w:type="auto"/>
            <w:tcBorders>
              <w:top w:val="single" w:sz="4" w:space="0" w:color="auto"/>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-284</w:t>
            </w:r>
          </w:p>
        </w:tc>
      </w:tr>
      <w:tr w:rsidR="00F6226F" w:rsidRPr="00AE69FE" w:rsidTr="00175626">
        <w:trPr>
          <w:trHeight w:val="255"/>
        </w:trPr>
        <w:tc>
          <w:tcPr>
            <w:tcW w:w="0" w:type="auto"/>
            <w:tcBorders>
              <w:top w:val="nil"/>
              <w:left w:val="single" w:sz="4" w:space="0" w:color="auto"/>
              <w:bottom w:val="nil"/>
              <w:right w:val="nil"/>
            </w:tcBorders>
            <w:shd w:val="clear" w:color="auto" w:fill="auto"/>
            <w:noWrap/>
            <w:vAlign w:val="center"/>
            <w:hideMark/>
          </w:tcPr>
          <w:p w:rsidR="00F6226F" w:rsidRPr="00AE69FE" w:rsidRDefault="00F6226F" w:rsidP="00175626">
            <w:pPr>
              <w:rPr>
                <w:sz w:val="16"/>
                <w:szCs w:val="16"/>
              </w:rPr>
            </w:pPr>
            <w:r w:rsidRPr="00AE69FE">
              <w:rPr>
                <w:sz w:val="16"/>
                <w:szCs w:val="16"/>
              </w:rPr>
              <w:t>Afdracht eindheffing Werkkostenregeling  (WKR) 2015</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Herschikking tussen defensie onderdelen</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3.059</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3.059</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Premiedaling sociale lasten</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-9.154</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-9.154</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hideMark/>
          </w:tcPr>
          <w:p w:rsidR="00F6226F" w:rsidRPr="00AE69FE" w:rsidRDefault="00F6226F" w:rsidP="00175626">
            <w:pPr>
              <w:rPr>
                <w:sz w:val="16"/>
                <w:szCs w:val="16"/>
              </w:rPr>
            </w:pPr>
            <w:r w:rsidRPr="00AE69FE">
              <w:rPr>
                <w:sz w:val="16"/>
                <w:szCs w:val="16"/>
              </w:rPr>
              <w:t>Herschikking personele exploitatie tlv investeringen</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22.000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22.000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hideMark/>
          </w:tcPr>
          <w:p w:rsidR="00F6226F" w:rsidRPr="00AE69FE" w:rsidRDefault="00F6226F" w:rsidP="00175626">
            <w:pPr>
              <w:rPr>
                <w:sz w:val="16"/>
                <w:szCs w:val="16"/>
              </w:rPr>
            </w:pPr>
            <w:r w:rsidRPr="00AE69FE">
              <w:rPr>
                <w:sz w:val="16"/>
                <w:szCs w:val="16"/>
              </w:rPr>
              <w:t>Financiering vanuit BIV</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646</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646</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Herallocatie</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-7.300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-7.300</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auto" w:fill="auto"/>
            <w:hideMark/>
          </w:tcPr>
          <w:p w:rsidR="00F6226F" w:rsidRPr="00AE69FE" w:rsidRDefault="00F6226F" w:rsidP="00175626">
            <w:pPr>
              <w:rPr>
                <w:color w:val="000000"/>
                <w:sz w:val="16"/>
                <w:szCs w:val="16"/>
              </w:rPr>
            </w:pPr>
            <w:r w:rsidRPr="00AE69FE">
              <w:rPr>
                <w:color w:val="000000"/>
                <w:sz w:val="16"/>
                <w:szCs w:val="16"/>
              </w:rPr>
              <w:t>Loonbijstelling 0,8% n.a.v. AV</w:t>
            </w:r>
          </w:p>
        </w:tc>
        <w:tc>
          <w:tcPr>
            <w:tcW w:w="0" w:type="auto"/>
            <w:tcBorders>
              <w:top w:val="nil"/>
              <w:left w:val="single" w:sz="4" w:space="0" w:color="auto"/>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7.106</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jc w:val="right"/>
              <w:rPr>
                <w:color w:val="000000"/>
                <w:sz w:val="16"/>
                <w:szCs w:val="16"/>
              </w:rPr>
            </w:pPr>
            <w:r w:rsidRPr="00AE69FE">
              <w:rPr>
                <w:color w:val="000000"/>
                <w:sz w:val="16"/>
                <w:szCs w:val="16"/>
              </w:rPr>
              <w:t>7.106</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F6226F" w:rsidRPr="00AE69FE" w:rsidRDefault="00F6226F" w:rsidP="00175626">
            <w:pPr>
              <w:rPr>
                <w:color w:val="000000"/>
                <w:sz w:val="16"/>
                <w:szCs w:val="16"/>
              </w:rPr>
            </w:pPr>
            <w:r w:rsidRPr="00AE69FE">
              <w:rPr>
                <w:color w:val="000000"/>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42.716</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c>
          <w:tcPr>
            <w:tcW w:w="0" w:type="auto"/>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-284</w:t>
            </w:r>
          </w:p>
        </w:tc>
      </w:tr>
    </w:tbl>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t>Toelichting</w:t>
      </w:r>
    </w:p>
    <w:p w:rsidR="00F6226F" w:rsidRPr="00AE69FE" w:rsidRDefault="00F6226F" w:rsidP="00F6226F">
      <w:pPr>
        <w:spacing w:line="360" w:lineRule="auto"/>
        <w:rPr>
          <w:b/>
        </w:rPr>
      </w:pPr>
    </w:p>
    <w:p w:rsidR="00F6226F" w:rsidRPr="00AE69FE" w:rsidRDefault="00F6226F" w:rsidP="00F6226F">
      <w:pPr>
        <w:spacing w:line="360" w:lineRule="auto"/>
        <w:rPr>
          <w:i/>
          <w:szCs w:val="20"/>
        </w:rPr>
      </w:pPr>
      <w:r w:rsidRPr="00AE69FE">
        <w:rPr>
          <w:i/>
          <w:szCs w:val="20"/>
        </w:rPr>
        <w:t xml:space="preserve">Overhevelingen tussen departementen &amp; mutaties generale middelen </w:t>
      </w:r>
    </w:p>
    <w:p w:rsidR="00F6226F" w:rsidRPr="00AE69FE" w:rsidRDefault="00F6226F" w:rsidP="00F6226F">
      <w:pPr>
        <w:spacing w:line="360" w:lineRule="auto"/>
        <w:rPr>
          <w:szCs w:val="20"/>
        </w:rPr>
      </w:pPr>
      <w:r w:rsidRPr="00AE69FE">
        <w:t>Dit betreft twee budgetoverhevelingen naar het ministerie van Binnenlandse Zaken en Koninkrijkrelaties voor de bijdrage voor het ICBR en het ICCIO.</w:t>
      </w:r>
    </w:p>
    <w:p w:rsidR="00F6226F" w:rsidRPr="00AE69FE" w:rsidRDefault="00F6226F" w:rsidP="00F6226F">
      <w:pPr>
        <w:tabs>
          <w:tab w:val="left" w:pos="-1440"/>
          <w:tab w:val="left" w:pos="-720"/>
        </w:tabs>
        <w:suppressAutoHyphens/>
        <w:spacing w:line="360" w:lineRule="auto"/>
        <w:rPr>
          <w:i/>
        </w:rPr>
      </w:pPr>
    </w:p>
    <w:p w:rsidR="00F6226F" w:rsidRPr="00AE69FE" w:rsidRDefault="00F6226F" w:rsidP="00F6226F">
      <w:pPr>
        <w:tabs>
          <w:tab w:val="left" w:pos="-1440"/>
          <w:tab w:val="left" w:pos="-720"/>
        </w:tabs>
        <w:suppressAutoHyphens/>
        <w:spacing w:line="360" w:lineRule="auto"/>
      </w:pPr>
      <w:r w:rsidRPr="00AE69FE">
        <w:rPr>
          <w:i/>
        </w:rPr>
        <w:lastRenderedPageBreak/>
        <w:t xml:space="preserve">Afdracht eindheffing Werkkostenregeling (WKR) 2015 </w:t>
      </w:r>
      <w:r w:rsidRPr="00AE69FE">
        <w:t>De Belastingdienst heeft een wijziging doorgevoerd in de wijze van heffing van de afdracht in het kader van de werkkostenregeling. Van een periodieke inhouding gaat de Belastingdienst over naar een jaarlijkse inhouding.</w:t>
      </w:r>
    </w:p>
    <w:p w:rsidR="00F6226F" w:rsidRPr="00AE69FE" w:rsidRDefault="00F6226F" w:rsidP="00F6226F">
      <w:pPr>
        <w:spacing w:line="360" w:lineRule="auto"/>
        <w:rPr>
          <w:szCs w:val="20"/>
        </w:rPr>
      </w:pPr>
    </w:p>
    <w:p w:rsidR="00F6226F" w:rsidRPr="00AE69FE" w:rsidRDefault="00F6226F" w:rsidP="00F6226F">
      <w:pPr>
        <w:spacing w:line="360" w:lineRule="auto"/>
        <w:rPr>
          <w:i/>
          <w:szCs w:val="20"/>
        </w:rPr>
      </w:pPr>
      <w:r w:rsidRPr="00AE69FE">
        <w:rPr>
          <w:i/>
          <w:szCs w:val="20"/>
        </w:rPr>
        <w:t>Herschikking tussen defensieonderdelen</w:t>
      </w:r>
    </w:p>
    <w:p w:rsidR="00F6226F" w:rsidRPr="00AE69FE" w:rsidRDefault="00F6226F" w:rsidP="00F6226F">
      <w:pPr>
        <w:spacing w:line="360" w:lineRule="auto"/>
        <w:rPr>
          <w:szCs w:val="20"/>
        </w:rPr>
      </w:pPr>
      <w:r w:rsidRPr="00AE69FE">
        <w:rPr>
          <w:szCs w:val="20"/>
        </w:rPr>
        <w:t xml:space="preserve">Dit betreft de verhoging van het budget voor formatie en personele exploitatie vanuit nominaal en onvoorzien (€ 4,4 miljoen). Daar staat tegenover de bijdragen aan de Participatiewet (€ 1,2 miljoen) en opleidingen voor specifieke cursussen (€ 0,1 miljoen). </w:t>
      </w:r>
    </w:p>
    <w:p w:rsidR="00F6226F" w:rsidRPr="00AE69FE" w:rsidRDefault="00F6226F" w:rsidP="00F6226F">
      <w:pPr>
        <w:spacing w:line="360" w:lineRule="auto"/>
        <w:rPr>
          <w:i/>
        </w:rPr>
      </w:pPr>
    </w:p>
    <w:p w:rsidR="00F6226F" w:rsidRPr="00AE69FE" w:rsidRDefault="00F6226F" w:rsidP="00F6226F">
      <w:pPr>
        <w:tabs>
          <w:tab w:val="left" w:pos="-1440"/>
          <w:tab w:val="left" w:pos="-720"/>
        </w:tabs>
        <w:suppressAutoHyphens/>
        <w:spacing w:line="360" w:lineRule="auto"/>
        <w:rPr>
          <w:i/>
        </w:rPr>
      </w:pPr>
      <w:r w:rsidRPr="00AE69FE">
        <w:rPr>
          <w:i/>
        </w:rPr>
        <w:t>Premiedaling sociale lasten / Loonbijstelling 0,8% n.a.v. AV</w:t>
      </w:r>
    </w:p>
    <w:p w:rsidR="00F6226F" w:rsidRPr="00AE69FE" w:rsidRDefault="00F6226F" w:rsidP="00F6226F">
      <w:pPr>
        <w:spacing w:line="360" w:lineRule="auto"/>
      </w:pPr>
      <w:r w:rsidRPr="00AE69FE">
        <w:t>Vanwege de aanpassingen van het werkgeversdeel van de pensioenbijdragen valt er structureel circa € 9,2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naar de geëigende wetsartikelen.</w:t>
      </w:r>
    </w:p>
    <w:p w:rsidR="00F6226F" w:rsidRPr="00AE69FE" w:rsidRDefault="00F6226F" w:rsidP="00F6226F">
      <w:pPr>
        <w:spacing w:line="360" w:lineRule="auto"/>
        <w:rPr>
          <w:i/>
          <w:szCs w:val="20"/>
        </w:rPr>
      </w:pPr>
    </w:p>
    <w:p w:rsidR="00F6226F" w:rsidRPr="00AE69FE" w:rsidRDefault="00F6226F" w:rsidP="00F6226F">
      <w:pPr>
        <w:spacing w:line="360" w:lineRule="auto"/>
        <w:rPr>
          <w:i/>
          <w:szCs w:val="20"/>
        </w:rPr>
      </w:pPr>
      <w:r w:rsidRPr="00AE69FE">
        <w:rPr>
          <w:i/>
          <w:szCs w:val="20"/>
        </w:rPr>
        <w:t>Herschikking personele exploitatie t.l.v. investeringen</w:t>
      </w:r>
    </w:p>
    <w:p w:rsidR="00F6226F" w:rsidRPr="00AE69FE" w:rsidRDefault="00F6226F" w:rsidP="00F6226F">
      <w:pPr>
        <w:spacing w:line="360" w:lineRule="auto"/>
      </w:pPr>
      <w:r w:rsidRPr="00AE69FE">
        <w:t>Vertraging in de uitstroom van personeel, gecombineerd met hoger dan verwachte uitgaven voor instromend SBK personeel, en pensioenen en uitkeringen, leveren een knelpunt op in de personele exploitatie.</w:t>
      </w:r>
      <w:r w:rsidRPr="00AE69FE">
        <w:br/>
      </w:r>
    </w:p>
    <w:p w:rsidR="00F6226F" w:rsidRPr="00AE69FE" w:rsidRDefault="00F6226F" w:rsidP="00F6226F">
      <w:pPr>
        <w:spacing w:line="360" w:lineRule="auto"/>
        <w:rPr>
          <w:i/>
        </w:rPr>
      </w:pPr>
      <w:r w:rsidRPr="00AE69FE">
        <w:rPr>
          <w:i/>
        </w:rPr>
        <w:t xml:space="preserve">Financiering vanuit het BIV </w:t>
      </w:r>
    </w:p>
    <w:p w:rsidR="00F6226F" w:rsidRPr="00AE69FE" w:rsidRDefault="00F6226F" w:rsidP="00F6226F">
      <w:pPr>
        <w:tabs>
          <w:tab w:val="left" w:pos="-1440"/>
          <w:tab w:val="left" w:pos="-720"/>
        </w:tabs>
        <w:suppressAutoHyphens/>
        <w:spacing w:line="360" w:lineRule="auto"/>
      </w:pPr>
      <w:r w:rsidRPr="00AE69FE">
        <w:t>Vanuit het artikel Internationale Veiligheid van BH&amp;OS is € 0,6 miljoen toegevoegd aan dit artikel. Het budget is bestemd voor wachtgelden en pensioenen voor de inzet van de BSB ter beveiliging van Nederlandse ambassades in het buitenland.</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 xml:space="preserve">Herallocatie </w:t>
      </w:r>
    </w:p>
    <w:p w:rsidR="00F6226F" w:rsidRPr="00AE69FE" w:rsidRDefault="00F6226F" w:rsidP="00F6226F">
      <w:pPr>
        <w:spacing w:line="360" w:lineRule="auto"/>
      </w:pPr>
      <w:r w:rsidRPr="00AE69FE">
        <w:t>Een bedrag van € 7,3 miljoen is vrijgevallen op dit beleidsartikel. De vrijval is gebruikt voor de dekking van een aantal budgettaire aandachtspunten.</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Ontvangsten</w:t>
      </w:r>
    </w:p>
    <w:tbl>
      <w:tblPr>
        <w:tblW w:w="6680" w:type="dxa"/>
        <w:tblInd w:w="55" w:type="dxa"/>
        <w:tblCellMar>
          <w:left w:w="70" w:type="dxa"/>
          <w:right w:w="70" w:type="dxa"/>
        </w:tblCellMar>
        <w:tblLook w:val="04A0" w:firstRow="1" w:lastRow="0" w:firstColumn="1" w:lastColumn="0" w:noHBand="0" w:noVBand="1"/>
      </w:tblPr>
      <w:tblGrid>
        <w:gridCol w:w="4433"/>
        <w:gridCol w:w="1174"/>
        <w:gridCol w:w="1073"/>
      </w:tblGrid>
      <w:tr w:rsidR="00F6226F" w:rsidRPr="00526E97" w:rsidTr="00175626">
        <w:trPr>
          <w:trHeight w:val="450"/>
        </w:trPr>
        <w:tc>
          <w:tcPr>
            <w:tcW w:w="44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rPr>
                <w:b/>
                <w:color w:val="000000" w:themeColor="text1"/>
                <w:sz w:val="16"/>
                <w:szCs w:val="16"/>
              </w:rPr>
            </w:pPr>
            <w:r w:rsidRPr="00526E97">
              <w:rPr>
                <w:b/>
                <w:color w:val="000000" w:themeColor="text1"/>
                <w:sz w:val="16"/>
                <w:szCs w:val="16"/>
              </w:rPr>
              <w:t>Omschrijving</w:t>
            </w:r>
          </w:p>
        </w:tc>
        <w:tc>
          <w:tcPr>
            <w:tcW w:w="1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Apparaat uitgaven</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226F" w:rsidRPr="00526E97" w:rsidRDefault="00F6226F" w:rsidP="00175626">
            <w:pPr>
              <w:jc w:val="right"/>
              <w:rPr>
                <w:b/>
                <w:color w:val="000000" w:themeColor="text1"/>
                <w:sz w:val="16"/>
                <w:szCs w:val="16"/>
              </w:rPr>
            </w:pPr>
            <w:r w:rsidRPr="00526E97">
              <w:rPr>
                <w:b/>
                <w:color w:val="000000" w:themeColor="text1"/>
                <w:sz w:val="16"/>
                <w:szCs w:val="16"/>
              </w:rPr>
              <w:t>Totaal</w:t>
            </w:r>
          </w:p>
        </w:tc>
      </w:tr>
      <w:tr w:rsidR="00F6226F" w:rsidRPr="00AE69FE" w:rsidTr="00175626">
        <w:trPr>
          <w:trHeight w:val="255"/>
        </w:trPr>
        <w:tc>
          <w:tcPr>
            <w:tcW w:w="4433" w:type="dxa"/>
            <w:tcBorders>
              <w:top w:val="single" w:sz="4" w:space="0" w:color="auto"/>
              <w:left w:val="single" w:sz="4" w:space="0" w:color="auto"/>
              <w:bottom w:val="nil"/>
              <w:right w:val="single" w:sz="4" w:space="0" w:color="auto"/>
            </w:tcBorders>
            <w:shd w:val="clear" w:color="auto" w:fill="auto"/>
            <w:noWrap/>
            <w:vAlign w:val="bottom"/>
            <w:hideMark/>
          </w:tcPr>
          <w:p w:rsidR="00F6226F" w:rsidRPr="00AE69FE" w:rsidRDefault="00F6226F" w:rsidP="00175626">
            <w:pPr>
              <w:rPr>
                <w:sz w:val="16"/>
                <w:szCs w:val="16"/>
              </w:rPr>
            </w:pPr>
          </w:p>
        </w:tc>
        <w:tc>
          <w:tcPr>
            <w:tcW w:w="1174" w:type="dxa"/>
            <w:tcBorders>
              <w:top w:val="single" w:sz="4" w:space="0" w:color="auto"/>
              <w:left w:val="single" w:sz="4" w:space="0" w:color="auto"/>
              <w:bottom w:val="nil"/>
              <w:right w:val="single" w:sz="4" w:space="0" w:color="auto"/>
            </w:tcBorders>
            <w:shd w:val="clear" w:color="auto" w:fill="auto"/>
            <w:noWrap/>
            <w:vAlign w:val="bottom"/>
            <w:hideMark/>
          </w:tcPr>
          <w:p w:rsidR="00F6226F" w:rsidRPr="00AE69FE" w:rsidRDefault="00F6226F" w:rsidP="00175626">
            <w:pPr>
              <w:rPr>
                <w:sz w:val="16"/>
                <w:szCs w:val="16"/>
              </w:rPr>
            </w:pPr>
          </w:p>
        </w:tc>
        <w:tc>
          <w:tcPr>
            <w:tcW w:w="1073" w:type="dxa"/>
            <w:tcBorders>
              <w:top w:val="single" w:sz="4" w:space="0" w:color="auto"/>
              <w:left w:val="single" w:sz="4" w:space="0" w:color="auto"/>
              <w:bottom w:val="nil"/>
              <w:right w:val="single" w:sz="4" w:space="0" w:color="auto"/>
            </w:tcBorders>
            <w:shd w:val="clear" w:color="auto" w:fill="auto"/>
            <w:noWrap/>
            <w:vAlign w:val="bottom"/>
            <w:hideMark/>
          </w:tcPr>
          <w:p w:rsidR="00F6226F" w:rsidRPr="00AE69FE" w:rsidRDefault="00F6226F" w:rsidP="00175626">
            <w:pPr>
              <w:rPr>
                <w:sz w:val="16"/>
                <w:szCs w:val="16"/>
              </w:rPr>
            </w:pPr>
          </w:p>
        </w:tc>
      </w:tr>
      <w:tr w:rsidR="00F6226F" w:rsidRPr="00AE69FE" w:rsidTr="00175626">
        <w:trPr>
          <w:trHeight w:val="255"/>
        </w:trPr>
        <w:tc>
          <w:tcPr>
            <w:tcW w:w="4433" w:type="dxa"/>
            <w:tcBorders>
              <w:top w:val="nil"/>
              <w:left w:val="single" w:sz="4" w:space="0" w:color="auto"/>
              <w:bottom w:val="nil"/>
              <w:right w:val="single" w:sz="4" w:space="0" w:color="auto"/>
            </w:tcBorders>
            <w:shd w:val="clear" w:color="auto" w:fill="auto"/>
            <w:noWrap/>
            <w:vAlign w:val="bottom"/>
            <w:hideMark/>
          </w:tcPr>
          <w:p w:rsidR="00F6226F" w:rsidRPr="00AE69FE" w:rsidRDefault="00F6226F" w:rsidP="00175626">
            <w:pPr>
              <w:rPr>
                <w:sz w:val="16"/>
                <w:szCs w:val="16"/>
              </w:rPr>
            </w:pPr>
            <w:r w:rsidRPr="00AE69FE">
              <w:rPr>
                <w:sz w:val="16"/>
                <w:szCs w:val="16"/>
              </w:rPr>
              <w:t>Bijstelling ontvangsten Koninklijk Huis (loon- en prijsbijstelling)</w:t>
            </w:r>
          </w:p>
        </w:tc>
        <w:tc>
          <w:tcPr>
            <w:tcW w:w="1174" w:type="dxa"/>
            <w:tcBorders>
              <w:top w:val="nil"/>
              <w:left w:val="single" w:sz="4" w:space="0" w:color="auto"/>
              <w:bottom w:val="nil"/>
              <w:right w:val="single" w:sz="4" w:space="0" w:color="auto"/>
            </w:tcBorders>
            <w:shd w:val="clear" w:color="auto" w:fill="auto"/>
            <w:noWrap/>
            <w:vAlign w:val="bottom"/>
            <w:hideMark/>
          </w:tcPr>
          <w:p w:rsidR="00F6226F" w:rsidRPr="00AE69FE" w:rsidRDefault="00F6226F" w:rsidP="00175626">
            <w:pPr>
              <w:jc w:val="right"/>
              <w:rPr>
                <w:sz w:val="16"/>
                <w:szCs w:val="16"/>
              </w:rPr>
            </w:pPr>
            <w:r w:rsidRPr="00AE69FE">
              <w:rPr>
                <w:sz w:val="16"/>
                <w:szCs w:val="16"/>
              </w:rPr>
              <w:t>-7</w:t>
            </w:r>
          </w:p>
        </w:tc>
        <w:tc>
          <w:tcPr>
            <w:tcW w:w="1073" w:type="dxa"/>
            <w:tcBorders>
              <w:top w:val="nil"/>
              <w:left w:val="single" w:sz="4" w:space="0" w:color="auto"/>
              <w:bottom w:val="nil"/>
              <w:right w:val="single" w:sz="4" w:space="0" w:color="auto"/>
            </w:tcBorders>
            <w:shd w:val="clear" w:color="auto" w:fill="auto"/>
            <w:noWrap/>
            <w:vAlign w:val="bottom"/>
            <w:hideMark/>
          </w:tcPr>
          <w:p w:rsidR="00F6226F" w:rsidRPr="00AE69FE" w:rsidRDefault="00F6226F" w:rsidP="00175626">
            <w:pPr>
              <w:jc w:val="right"/>
              <w:rPr>
                <w:sz w:val="16"/>
                <w:szCs w:val="16"/>
              </w:rPr>
            </w:pPr>
            <w:r w:rsidRPr="00AE69FE">
              <w:rPr>
                <w:sz w:val="16"/>
                <w:szCs w:val="16"/>
              </w:rPr>
              <w:t>-7</w:t>
            </w:r>
          </w:p>
        </w:tc>
      </w:tr>
      <w:tr w:rsidR="00F6226F" w:rsidRPr="00AE69FE" w:rsidTr="00175626">
        <w:trPr>
          <w:trHeight w:val="255"/>
        </w:trPr>
        <w:tc>
          <w:tcPr>
            <w:tcW w:w="44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w:t>
            </w:r>
          </w:p>
        </w:tc>
      </w:tr>
    </w:tbl>
    <w:p w:rsidR="00F6226F" w:rsidRPr="00AE69FE" w:rsidRDefault="00F6226F" w:rsidP="00F6226F">
      <w:pPr>
        <w:spacing w:line="360" w:lineRule="auto"/>
      </w:pPr>
      <w:r w:rsidRPr="00AE69FE">
        <w:rPr>
          <w:b/>
          <w:bCs/>
          <w:sz w:val="16"/>
          <w:szCs w:val="16"/>
        </w:rPr>
        <w:t>Bedragen x € 1.000</w:t>
      </w:r>
    </w:p>
    <w:p w:rsidR="00F6226F" w:rsidRPr="00AE69FE" w:rsidRDefault="00F6226F" w:rsidP="00F6226F">
      <w:pPr>
        <w:tabs>
          <w:tab w:val="left" w:pos="-1440"/>
          <w:tab w:val="left" w:pos="-720"/>
        </w:tabs>
        <w:suppressAutoHyphens/>
        <w:spacing w:line="360" w:lineRule="auto"/>
      </w:pPr>
      <w:r w:rsidRPr="00AE69FE">
        <w:t xml:space="preserve">De ontvangsten zijn bijgesteld naar aanleiding van de loon- en prijsbijstelling voor Attachés. </w:t>
      </w: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pPr>
    </w:p>
    <w:p w:rsidR="00F6226F" w:rsidRPr="00AE69FE" w:rsidRDefault="00F6226F" w:rsidP="00F6226F">
      <w:pPr>
        <w:tabs>
          <w:tab w:val="left" w:pos="-1440"/>
          <w:tab w:val="left" w:pos="-720"/>
        </w:tabs>
        <w:suppressAutoHyphens/>
        <w:spacing w:line="360" w:lineRule="auto"/>
        <w:rPr>
          <w:b/>
        </w:rPr>
      </w:pPr>
    </w:p>
    <w:p w:rsidR="00F6226F" w:rsidRPr="00AE69FE" w:rsidRDefault="00F6226F" w:rsidP="00F6226F">
      <w:pPr>
        <w:spacing w:line="360" w:lineRule="auto"/>
        <w:rPr>
          <w:b/>
        </w:rPr>
      </w:pPr>
      <w:r w:rsidRPr="00AE69FE">
        <w:rPr>
          <w:b/>
        </w:rPr>
        <w:t>Niet-Beleidsartikel 11 Geheime uitgaven</w:t>
      </w:r>
    </w:p>
    <w:p w:rsidR="00F6226F" w:rsidRPr="00AE69FE" w:rsidRDefault="00F6226F" w:rsidP="00F6226F">
      <w:pPr>
        <w:spacing w:line="360" w:lineRule="auto"/>
        <w:rPr>
          <w:b/>
        </w:rPr>
      </w:pPr>
    </w:p>
    <w:tbl>
      <w:tblPr>
        <w:tblW w:w="8820" w:type="dxa"/>
        <w:tblInd w:w="55" w:type="dxa"/>
        <w:tblCellMar>
          <w:left w:w="70" w:type="dxa"/>
          <w:right w:w="70" w:type="dxa"/>
        </w:tblCellMar>
        <w:tblLook w:val="04A0" w:firstRow="1" w:lastRow="0" w:firstColumn="1" w:lastColumn="0" w:noHBand="0" w:noVBand="1"/>
      </w:tblPr>
      <w:tblGrid>
        <w:gridCol w:w="2787"/>
        <w:gridCol w:w="1180"/>
        <w:gridCol w:w="1080"/>
        <w:gridCol w:w="1003"/>
        <w:gridCol w:w="880"/>
        <w:gridCol w:w="700"/>
        <w:gridCol w:w="700"/>
        <w:gridCol w:w="700"/>
      </w:tblGrid>
      <w:tr w:rsidR="00F6226F" w:rsidRPr="00AE69FE" w:rsidTr="00175626">
        <w:trPr>
          <w:trHeight w:val="255"/>
        </w:trPr>
        <w:tc>
          <w:tcPr>
            <w:tcW w:w="8820" w:type="dxa"/>
            <w:gridSpan w:val="8"/>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11 Geheime uitgaven (bedragen x € 1.000)</w:t>
            </w:r>
          </w:p>
        </w:tc>
      </w:tr>
      <w:tr w:rsidR="00F6226F" w:rsidRPr="00AE69FE" w:rsidTr="00175626">
        <w:trPr>
          <w:trHeight w:val="1125"/>
        </w:trPr>
        <w:tc>
          <w:tcPr>
            <w:tcW w:w="2787"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 xml:space="preserve"> Ontwerp-begroting 2015 incl nota van wijziging</w:t>
            </w:r>
          </w:p>
        </w:tc>
        <w:tc>
          <w:tcPr>
            <w:tcW w:w="10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1e suppletoire begroting 2015</w:t>
            </w:r>
          </w:p>
        </w:tc>
        <w:tc>
          <w:tcPr>
            <w:tcW w:w="893"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Stand 1e suppletoire begroting 2015</w:t>
            </w:r>
          </w:p>
        </w:tc>
        <w:tc>
          <w:tcPr>
            <w:tcW w:w="8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2016</w:t>
            </w:r>
          </w:p>
        </w:tc>
        <w:tc>
          <w:tcPr>
            <w:tcW w:w="70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2017</w:t>
            </w:r>
          </w:p>
        </w:tc>
        <w:tc>
          <w:tcPr>
            <w:tcW w:w="66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2018</w:t>
            </w:r>
          </w:p>
        </w:tc>
        <w:tc>
          <w:tcPr>
            <w:tcW w:w="64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2019</w:t>
            </w:r>
          </w:p>
        </w:tc>
      </w:tr>
      <w:tr w:rsidR="00F6226F" w:rsidRPr="00AE69FE" w:rsidTr="00175626">
        <w:trPr>
          <w:trHeight w:val="270"/>
        </w:trPr>
        <w:tc>
          <w:tcPr>
            <w:tcW w:w="2787"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Verplichtingen</w:t>
            </w:r>
          </w:p>
        </w:tc>
        <w:tc>
          <w:tcPr>
            <w:tcW w:w="118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5339</w:t>
            </w:r>
          </w:p>
        </w:tc>
        <w:tc>
          <w:tcPr>
            <w:tcW w:w="108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893"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5.339</w:t>
            </w:r>
          </w:p>
        </w:tc>
        <w:tc>
          <w:tcPr>
            <w:tcW w:w="88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0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66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640" w:type="dxa"/>
            <w:tcBorders>
              <w:top w:val="single" w:sz="4" w:space="0" w:color="auto"/>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70"/>
        </w:trPr>
        <w:tc>
          <w:tcPr>
            <w:tcW w:w="2787"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rPr>
                <w:color w:val="000000"/>
                <w:sz w:val="16"/>
                <w:szCs w:val="16"/>
              </w:rPr>
            </w:pPr>
            <w:r w:rsidRPr="00AE69FE">
              <w:rPr>
                <w:color w:val="000000"/>
                <w:sz w:val="16"/>
                <w:szCs w:val="16"/>
              </w:rPr>
              <w:t>Geheime uitgaven</w:t>
            </w:r>
          </w:p>
        </w:tc>
        <w:tc>
          <w:tcPr>
            <w:tcW w:w="118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color w:val="000000"/>
                <w:sz w:val="16"/>
                <w:szCs w:val="16"/>
              </w:rPr>
            </w:pPr>
            <w:r w:rsidRPr="00AE69FE">
              <w:rPr>
                <w:color w:val="000000"/>
                <w:sz w:val="16"/>
                <w:szCs w:val="16"/>
              </w:rPr>
              <w:t>5339</w:t>
            </w:r>
          </w:p>
        </w:tc>
        <w:tc>
          <w:tcPr>
            <w:tcW w:w="108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0</w:t>
            </w:r>
          </w:p>
        </w:tc>
        <w:tc>
          <w:tcPr>
            <w:tcW w:w="893"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5.339</w:t>
            </w:r>
          </w:p>
        </w:tc>
        <w:tc>
          <w:tcPr>
            <w:tcW w:w="88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66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64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70"/>
        </w:trPr>
        <w:tc>
          <w:tcPr>
            <w:tcW w:w="2787"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Totaal uitgaven</w:t>
            </w:r>
          </w:p>
        </w:tc>
        <w:tc>
          <w:tcPr>
            <w:tcW w:w="118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color w:val="000000"/>
                <w:sz w:val="16"/>
                <w:szCs w:val="16"/>
              </w:rPr>
            </w:pPr>
            <w:r w:rsidRPr="00AE69FE">
              <w:rPr>
                <w:b/>
                <w:bCs/>
                <w:color w:val="000000"/>
                <w:sz w:val="16"/>
                <w:szCs w:val="16"/>
              </w:rPr>
              <w:t>5339</w:t>
            </w:r>
          </w:p>
        </w:tc>
        <w:tc>
          <w:tcPr>
            <w:tcW w:w="108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893"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5.339</w:t>
            </w:r>
          </w:p>
        </w:tc>
        <w:tc>
          <w:tcPr>
            <w:tcW w:w="88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0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66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640" w:type="dxa"/>
            <w:tcBorders>
              <w:top w:val="single" w:sz="8" w:space="0" w:color="000000"/>
              <w:left w:val="single" w:sz="4" w:space="0" w:color="auto"/>
              <w:bottom w:val="single" w:sz="8" w:space="0" w:color="000000"/>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bl>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t>Toelichting</w:t>
      </w:r>
    </w:p>
    <w:p w:rsidR="00F6226F" w:rsidRPr="00AE69FE" w:rsidRDefault="00F6226F" w:rsidP="00F6226F">
      <w:pPr>
        <w:spacing w:line="360" w:lineRule="auto"/>
      </w:pPr>
      <w:r w:rsidRPr="00AE69FE">
        <w:t>Geen mutaties.</w:t>
      </w:r>
    </w:p>
    <w:p w:rsidR="00F6226F" w:rsidRPr="00AE69FE" w:rsidRDefault="00F6226F" w:rsidP="00F6226F">
      <w:pPr>
        <w:spacing w:line="360" w:lineRule="auto"/>
        <w:rPr>
          <w:b/>
        </w:rPr>
      </w:pPr>
    </w:p>
    <w:p w:rsidR="00F6226F" w:rsidRPr="00AE69FE" w:rsidRDefault="00F6226F" w:rsidP="00F6226F">
      <w:pPr>
        <w:spacing w:line="360" w:lineRule="auto"/>
        <w:rPr>
          <w:b/>
        </w:rPr>
      </w:pPr>
      <w:r w:rsidRPr="00AE69FE">
        <w:rPr>
          <w:b/>
        </w:rPr>
        <w:t>Niet-Beleidsartikel 12 Nominaal en onvoorzien</w:t>
      </w:r>
    </w:p>
    <w:tbl>
      <w:tblPr>
        <w:tblW w:w="0" w:type="auto"/>
        <w:tblInd w:w="55" w:type="dxa"/>
        <w:tblCellMar>
          <w:left w:w="70" w:type="dxa"/>
          <w:right w:w="70" w:type="dxa"/>
        </w:tblCellMar>
        <w:tblLook w:val="04A0" w:firstRow="1" w:lastRow="0" w:firstColumn="1" w:lastColumn="0" w:noHBand="0" w:noVBand="1"/>
      </w:tblPr>
      <w:tblGrid>
        <w:gridCol w:w="1297"/>
        <w:gridCol w:w="1673"/>
        <w:gridCol w:w="1567"/>
        <w:gridCol w:w="1523"/>
        <w:gridCol w:w="810"/>
        <w:gridCol w:w="810"/>
        <w:gridCol w:w="810"/>
        <w:gridCol w:w="810"/>
        <w:gridCol w:w="810"/>
      </w:tblGrid>
      <w:tr w:rsidR="00F6226F" w:rsidRPr="00AE69FE" w:rsidTr="00175626">
        <w:trPr>
          <w:trHeight w:val="255"/>
        </w:trPr>
        <w:tc>
          <w:tcPr>
            <w:tcW w:w="0" w:type="auto"/>
            <w:gridSpan w:val="8"/>
            <w:tcBorders>
              <w:top w:val="single" w:sz="4" w:space="0" w:color="auto"/>
              <w:left w:val="single" w:sz="4" w:space="0" w:color="auto"/>
              <w:bottom w:val="single" w:sz="4" w:space="0" w:color="auto"/>
            </w:tcBorders>
            <w:shd w:val="clear" w:color="000000" w:fill="BFBFBF"/>
            <w:noWrap/>
            <w:vAlign w:val="center"/>
            <w:hideMark/>
          </w:tcPr>
          <w:p w:rsidR="00F6226F" w:rsidRPr="00AE69FE" w:rsidRDefault="00F6226F" w:rsidP="00175626">
            <w:pPr>
              <w:rPr>
                <w:b/>
                <w:bCs/>
                <w:sz w:val="16"/>
                <w:szCs w:val="16"/>
              </w:rPr>
            </w:pPr>
            <w:r w:rsidRPr="00AE69FE">
              <w:rPr>
                <w:b/>
                <w:bCs/>
                <w:sz w:val="16"/>
                <w:szCs w:val="16"/>
              </w:rPr>
              <w:t>Artikel 12 Nominaal en onvoorzien (bedragen x € 1.000)</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rsidR="00F6226F" w:rsidRPr="00AE69FE" w:rsidRDefault="00F6226F" w:rsidP="00175626">
            <w:pPr>
              <w:rPr>
                <w:szCs w:val="20"/>
              </w:rPr>
            </w:pPr>
            <w:r w:rsidRPr="00AE69FE">
              <w:rPr>
                <w:szCs w:val="20"/>
              </w:rPr>
              <w:t> </w:t>
            </w:r>
          </w:p>
        </w:tc>
      </w:tr>
      <w:tr w:rsidR="00F6226F" w:rsidRPr="00AE69FE" w:rsidTr="00175626">
        <w:trPr>
          <w:trHeight w:val="1125"/>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 xml:space="preserve"> Ontwerp-begroting 2015 incl nota van wijziging</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1e suppletoire begroting 2015</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Stand 1e suppletoire begroting 2015</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2016</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2017</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2018</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2019</w:t>
            </w:r>
          </w:p>
        </w:tc>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2020</w:t>
            </w:r>
          </w:p>
        </w:tc>
      </w:tr>
      <w:tr w:rsidR="00F6226F" w:rsidRPr="00AE69FE" w:rsidTr="0017562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rPr>
                <w:b/>
                <w:bCs/>
                <w:color w:val="000000"/>
                <w:sz w:val="16"/>
                <w:szCs w:val="16"/>
              </w:rPr>
            </w:pPr>
            <w:r w:rsidRPr="00AE69FE">
              <w:rPr>
                <w:b/>
                <w:bCs/>
                <w:color w:val="000000"/>
                <w:sz w:val="16"/>
                <w:szCs w:val="16"/>
              </w:rPr>
              <w:t xml:space="preserve">Verplichtingen </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27.337</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52.522</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79.859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85.142</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83.110</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79.189</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79.008</w:t>
            </w:r>
          </w:p>
        </w:tc>
        <w:tc>
          <w:tcPr>
            <w:tcW w:w="0" w:type="auto"/>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78.781</w:t>
            </w:r>
          </w:p>
        </w:tc>
      </w:tr>
      <w:tr w:rsidR="00F6226F" w:rsidRPr="00AE69FE" w:rsidTr="00175626">
        <w:trPr>
          <w:trHeight w:val="255"/>
        </w:trPr>
        <w:tc>
          <w:tcPr>
            <w:tcW w:w="0" w:type="auto"/>
            <w:tcBorders>
              <w:top w:val="single" w:sz="4" w:space="0" w:color="auto"/>
              <w:left w:val="single" w:sz="4" w:space="0" w:color="auto"/>
              <w:bottom w:val="nil"/>
              <w:right w:val="single" w:sz="4" w:space="0" w:color="auto"/>
            </w:tcBorders>
            <w:shd w:val="clear" w:color="000000" w:fill="FFFFFF"/>
            <w:vAlign w:val="bottom"/>
            <w:hideMark/>
          </w:tcPr>
          <w:p w:rsidR="00F6226F" w:rsidRPr="00AE69FE" w:rsidRDefault="00F6226F" w:rsidP="00175626">
            <w:pPr>
              <w:rPr>
                <w:sz w:val="16"/>
                <w:szCs w:val="16"/>
              </w:rPr>
            </w:pPr>
            <w:r w:rsidRPr="00AE69FE">
              <w:rPr>
                <w:sz w:val="16"/>
                <w:szCs w:val="16"/>
              </w:rPr>
              <w:t>Loonbijstelling</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nil"/>
              <w:right w:val="single" w:sz="4" w:space="0" w:color="auto"/>
            </w:tcBorders>
            <w:shd w:val="clear" w:color="000000" w:fill="FFFFFF"/>
            <w:vAlign w:val="bottom"/>
            <w:hideMark/>
          </w:tcPr>
          <w:p w:rsidR="00F6226F" w:rsidRPr="00AE69FE" w:rsidRDefault="00F6226F" w:rsidP="00175626">
            <w:pPr>
              <w:rPr>
                <w:sz w:val="16"/>
                <w:szCs w:val="16"/>
              </w:rPr>
            </w:pPr>
            <w:r w:rsidRPr="00AE69FE">
              <w:rPr>
                <w:sz w:val="16"/>
                <w:szCs w:val="16"/>
              </w:rPr>
              <w:t>Prijsbijstelling</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nil"/>
              <w:left w:val="single" w:sz="4" w:space="0" w:color="auto"/>
              <w:bottom w:val="nil"/>
              <w:right w:val="single" w:sz="4" w:space="0" w:color="auto"/>
            </w:tcBorders>
            <w:shd w:val="clear" w:color="000000" w:fill="FFFFFF"/>
            <w:vAlign w:val="bottom"/>
            <w:hideMark/>
          </w:tcPr>
          <w:p w:rsidR="00F6226F" w:rsidRPr="00AE69FE" w:rsidRDefault="00F6226F" w:rsidP="00175626">
            <w:pPr>
              <w:rPr>
                <w:sz w:val="16"/>
                <w:szCs w:val="16"/>
              </w:rPr>
            </w:pPr>
            <w:r w:rsidRPr="00AE69FE">
              <w:rPr>
                <w:sz w:val="16"/>
                <w:szCs w:val="16"/>
              </w:rPr>
              <w:t>Nader te verdelen</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27.337</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52.522</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79.859</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85.142</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83.110</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79.189</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79.008</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78.781</w:t>
            </w:r>
          </w:p>
        </w:tc>
      </w:tr>
      <w:tr w:rsidR="00F6226F" w:rsidRPr="00AE69FE" w:rsidTr="00175626">
        <w:trPr>
          <w:trHeight w:val="255"/>
        </w:trPr>
        <w:tc>
          <w:tcPr>
            <w:tcW w:w="0" w:type="auto"/>
            <w:tcBorders>
              <w:top w:val="nil"/>
              <w:left w:val="single" w:sz="4" w:space="0" w:color="auto"/>
              <w:bottom w:val="nil"/>
              <w:right w:val="single" w:sz="4" w:space="0" w:color="auto"/>
            </w:tcBorders>
            <w:shd w:val="clear" w:color="000000" w:fill="FFFFFF"/>
            <w:vAlign w:val="bottom"/>
            <w:hideMark/>
          </w:tcPr>
          <w:p w:rsidR="00F6226F" w:rsidRPr="00AE69FE" w:rsidRDefault="00F6226F" w:rsidP="00175626">
            <w:pPr>
              <w:rPr>
                <w:sz w:val="16"/>
                <w:szCs w:val="16"/>
              </w:rPr>
            </w:pPr>
            <w:r w:rsidRPr="00AE69FE">
              <w:rPr>
                <w:sz w:val="16"/>
                <w:szCs w:val="16"/>
              </w:rPr>
              <w:t>Onvoorzien</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6226F" w:rsidRPr="00AE69FE" w:rsidRDefault="00F6226F" w:rsidP="00175626">
            <w:pPr>
              <w:rPr>
                <w:b/>
                <w:bCs/>
                <w:sz w:val="16"/>
                <w:szCs w:val="16"/>
              </w:rPr>
            </w:pPr>
            <w:r w:rsidRPr="00AE69FE">
              <w:rPr>
                <w:b/>
                <w:bCs/>
                <w:sz w:val="16"/>
                <w:szCs w:val="16"/>
              </w:rPr>
              <w:t>Totaal uitgaven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27.337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52.522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79.859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85.142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83.110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79.189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79.008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78.781</w:t>
            </w:r>
          </w:p>
        </w:tc>
      </w:tr>
    </w:tbl>
    <w:p w:rsidR="00F6226F" w:rsidRPr="00AE69FE" w:rsidRDefault="00F6226F" w:rsidP="00F6226F">
      <w:pPr>
        <w:spacing w:line="360" w:lineRule="auto"/>
        <w:rPr>
          <w:b/>
        </w:rPr>
      </w:pPr>
    </w:p>
    <w:tbl>
      <w:tblPr>
        <w:tblW w:w="10060" w:type="dxa"/>
        <w:tblInd w:w="55" w:type="dxa"/>
        <w:tblCellMar>
          <w:left w:w="70" w:type="dxa"/>
          <w:right w:w="70" w:type="dxa"/>
        </w:tblCellMar>
        <w:tblLook w:val="04A0" w:firstRow="1" w:lastRow="0" w:firstColumn="1" w:lastColumn="0" w:noHBand="0" w:noVBand="1"/>
      </w:tblPr>
      <w:tblGrid>
        <w:gridCol w:w="4420"/>
        <w:gridCol w:w="1180"/>
        <w:gridCol w:w="1080"/>
        <w:gridCol w:w="1040"/>
        <w:gridCol w:w="880"/>
        <w:gridCol w:w="700"/>
        <w:gridCol w:w="760"/>
      </w:tblGrid>
      <w:tr w:rsidR="00F6226F" w:rsidRPr="00AE69FE" w:rsidTr="00175626">
        <w:trPr>
          <w:trHeight w:val="450"/>
        </w:trPr>
        <w:tc>
          <w:tcPr>
            <w:tcW w:w="442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rPr>
                <w:b/>
                <w:bCs/>
                <w:sz w:val="16"/>
                <w:szCs w:val="16"/>
              </w:rPr>
            </w:pPr>
            <w:r w:rsidRPr="00AE69FE">
              <w:rPr>
                <w:b/>
                <w:bCs/>
                <w:sz w:val="16"/>
                <w:szCs w:val="16"/>
              </w:rPr>
              <w:t>Omschrijving (bedragen x € 1.000)</w:t>
            </w:r>
          </w:p>
        </w:tc>
        <w:tc>
          <w:tcPr>
            <w:tcW w:w="11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Totaal</w:t>
            </w:r>
          </w:p>
        </w:tc>
        <w:tc>
          <w:tcPr>
            <w:tcW w:w="10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2016</w:t>
            </w:r>
          </w:p>
        </w:tc>
        <w:tc>
          <w:tcPr>
            <w:tcW w:w="104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2017</w:t>
            </w:r>
          </w:p>
        </w:tc>
        <w:tc>
          <w:tcPr>
            <w:tcW w:w="88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2018</w:t>
            </w:r>
          </w:p>
        </w:tc>
        <w:tc>
          <w:tcPr>
            <w:tcW w:w="70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2019</w:t>
            </w:r>
          </w:p>
        </w:tc>
        <w:tc>
          <w:tcPr>
            <w:tcW w:w="760" w:type="dxa"/>
            <w:tcBorders>
              <w:top w:val="single" w:sz="4" w:space="0" w:color="auto"/>
              <w:left w:val="single" w:sz="4" w:space="0" w:color="auto"/>
              <w:bottom w:val="single" w:sz="4" w:space="0" w:color="auto"/>
              <w:right w:val="single" w:sz="4" w:space="0" w:color="auto"/>
            </w:tcBorders>
            <w:shd w:val="clear" w:color="000000" w:fill="BFBFBF"/>
            <w:hideMark/>
          </w:tcPr>
          <w:p w:rsidR="00F6226F" w:rsidRPr="00AE69FE" w:rsidRDefault="00F6226F" w:rsidP="00175626">
            <w:pPr>
              <w:jc w:val="right"/>
              <w:rPr>
                <w:b/>
                <w:bCs/>
                <w:sz w:val="16"/>
                <w:szCs w:val="16"/>
              </w:rPr>
            </w:pPr>
            <w:r w:rsidRPr="00AE69FE">
              <w:rPr>
                <w:b/>
                <w:bCs/>
                <w:sz w:val="16"/>
                <w:szCs w:val="16"/>
              </w:rPr>
              <w:t>Mutatie 2020</w:t>
            </w:r>
          </w:p>
        </w:tc>
      </w:tr>
      <w:tr w:rsidR="00F6226F" w:rsidRPr="00AE69FE" w:rsidTr="00175626">
        <w:trPr>
          <w:trHeight w:val="255"/>
        </w:trPr>
        <w:tc>
          <w:tcPr>
            <w:tcW w:w="4420" w:type="dxa"/>
            <w:tcBorders>
              <w:top w:val="single" w:sz="4" w:space="0" w:color="auto"/>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Autonome mutaties</w:t>
            </w:r>
          </w:p>
        </w:tc>
        <w:tc>
          <w:tcPr>
            <w:tcW w:w="1180" w:type="dxa"/>
            <w:tcBorders>
              <w:top w:val="single" w:sz="4" w:space="0" w:color="auto"/>
              <w:left w:val="single" w:sz="4" w:space="0" w:color="auto"/>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80" w:type="dxa"/>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040" w:type="dxa"/>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880" w:type="dxa"/>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760" w:type="dxa"/>
            <w:tcBorders>
              <w:top w:val="single" w:sz="4" w:space="0" w:color="auto"/>
              <w:left w:val="nil"/>
              <w:bottom w:val="nil"/>
              <w:right w:val="single" w:sz="4" w:space="0" w:color="auto"/>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single" w:sz="4"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autonome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0</w:t>
            </w:r>
          </w:p>
        </w:tc>
        <w:tc>
          <w:tcPr>
            <w:tcW w:w="10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44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Beleidsmatige mutaties</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single" w:sz="4" w:space="0" w:color="auto"/>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 xml:space="preserve">Afdracht eindheffing sociale lasten 2015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46.402</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Premiedaling sociale lasten</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28.220</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Bijstelling formatie (inhuur)</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-19.000</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2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Doorwerking eindejaarsmarge</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2.768</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Herallocatie</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-25.200</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Spiegelen budgetten 2014</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23.500</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40"/>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Herschikking tussen defensieonderdelen</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-23.719</w:t>
            </w:r>
          </w:p>
        </w:tc>
        <w:tc>
          <w:tcPr>
            <w:tcW w:w="10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55"/>
        </w:trPr>
        <w:tc>
          <w:tcPr>
            <w:tcW w:w="4420" w:type="dxa"/>
            <w:tcBorders>
              <w:top w:val="nil"/>
              <w:left w:val="single" w:sz="4" w:space="0" w:color="auto"/>
              <w:bottom w:val="nil"/>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Contra terrorisme</w:t>
            </w:r>
          </w:p>
        </w:tc>
        <w:tc>
          <w:tcPr>
            <w:tcW w:w="1180" w:type="dxa"/>
            <w:tcBorders>
              <w:top w:val="nil"/>
              <w:left w:val="single" w:sz="4" w:space="0" w:color="auto"/>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19.500</w:t>
            </w:r>
          </w:p>
        </w:tc>
        <w:tc>
          <w:tcPr>
            <w:tcW w:w="1080" w:type="dxa"/>
            <w:tcBorders>
              <w:top w:val="nil"/>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56.800</w:t>
            </w:r>
          </w:p>
        </w:tc>
        <w:tc>
          <w:tcPr>
            <w:tcW w:w="1040" w:type="dxa"/>
            <w:tcBorders>
              <w:top w:val="nil"/>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54.800</w:t>
            </w:r>
          </w:p>
        </w:tc>
        <w:tc>
          <w:tcPr>
            <w:tcW w:w="880" w:type="dxa"/>
            <w:tcBorders>
              <w:top w:val="nil"/>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51.300</w:t>
            </w:r>
          </w:p>
        </w:tc>
        <w:tc>
          <w:tcPr>
            <w:tcW w:w="700" w:type="dxa"/>
            <w:tcBorders>
              <w:top w:val="nil"/>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51.300</w:t>
            </w:r>
          </w:p>
        </w:tc>
        <w:tc>
          <w:tcPr>
            <w:tcW w:w="760" w:type="dxa"/>
            <w:tcBorders>
              <w:top w:val="nil"/>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51.300</w:t>
            </w:r>
          </w:p>
        </w:tc>
      </w:tr>
      <w:tr w:rsidR="00F6226F" w:rsidRPr="00AE69FE" w:rsidTr="00175626">
        <w:trPr>
          <w:trHeight w:val="255"/>
        </w:trPr>
        <w:tc>
          <w:tcPr>
            <w:tcW w:w="4420" w:type="dxa"/>
            <w:tcBorders>
              <w:top w:val="single" w:sz="4" w:space="0" w:color="auto"/>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Prijsbijstelling tranche 2015</w:t>
            </w:r>
          </w:p>
        </w:tc>
        <w:tc>
          <w:tcPr>
            <w:tcW w:w="1180" w:type="dxa"/>
            <w:tcBorders>
              <w:top w:val="single" w:sz="4" w:space="0" w:color="auto"/>
              <w:left w:val="single" w:sz="4" w:space="0" w:color="auto"/>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9.457</w:t>
            </w:r>
          </w:p>
        </w:tc>
        <w:tc>
          <w:tcPr>
            <w:tcW w:w="10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10.021</w:t>
            </w:r>
          </w:p>
        </w:tc>
        <w:tc>
          <w:tcPr>
            <w:tcW w:w="104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9.994</w:t>
            </w:r>
          </w:p>
        </w:tc>
        <w:tc>
          <w:tcPr>
            <w:tcW w:w="8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9.880</w:t>
            </w:r>
          </w:p>
        </w:tc>
        <w:tc>
          <w:tcPr>
            <w:tcW w:w="70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10.042</w:t>
            </w:r>
          </w:p>
        </w:tc>
        <w:tc>
          <w:tcPr>
            <w:tcW w:w="76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10.063</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Loonbijstelling trache 2015</w:t>
            </w:r>
          </w:p>
        </w:tc>
        <w:tc>
          <w:tcPr>
            <w:tcW w:w="1180" w:type="dxa"/>
            <w:tcBorders>
              <w:top w:val="single" w:sz="4" w:space="0" w:color="auto"/>
              <w:left w:val="single" w:sz="4" w:space="0" w:color="auto"/>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16.873</w:t>
            </w:r>
          </w:p>
        </w:tc>
        <w:tc>
          <w:tcPr>
            <w:tcW w:w="10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16.177</w:t>
            </w:r>
          </w:p>
        </w:tc>
        <w:tc>
          <w:tcPr>
            <w:tcW w:w="104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16.073</w:t>
            </w:r>
          </w:p>
        </w:tc>
        <w:tc>
          <w:tcPr>
            <w:tcW w:w="8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16.092</w:t>
            </w:r>
          </w:p>
        </w:tc>
        <w:tc>
          <w:tcPr>
            <w:tcW w:w="70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15.718</w:t>
            </w:r>
          </w:p>
        </w:tc>
        <w:tc>
          <w:tcPr>
            <w:tcW w:w="76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15.644</w:t>
            </w:r>
          </w:p>
        </w:tc>
      </w:tr>
      <w:tr w:rsidR="00F6226F" w:rsidRPr="00AE69FE" w:rsidTr="00175626">
        <w:trPr>
          <w:trHeight w:val="255"/>
        </w:trPr>
        <w:tc>
          <w:tcPr>
            <w:tcW w:w="4420" w:type="dxa"/>
            <w:tcBorders>
              <w:top w:val="nil"/>
              <w:left w:val="single" w:sz="4" w:space="0" w:color="auto"/>
              <w:bottom w:val="single" w:sz="4" w:space="0" w:color="auto"/>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Uitdeling loonbijstelling 0,8% n.a.v. AV</w:t>
            </w:r>
          </w:p>
        </w:tc>
        <w:tc>
          <w:tcPr>
            <w:tcW w:w="1180" w:type="dxa"/>
            <w:tcBorders>
              <w:top w:val="single" w:sz="4" w:space="0" w:color="auto"/>
              <w:left w:val="single" w:sz="4" w:space="0" w:color="auto"/>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-27.442</w:t>
            </w:r>
          </w:p>
        </w:tc>
        <w:tc>
          <w:tcPr>
            <w:tcW w:w="10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104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8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0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c>
          <w:tcPr>
            <w:tcW w:w="76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 </w:t>
            </w:r>
          </w:p>
        </w:tc>
      </w:tr>
      <w:tr w:rsidR="00F6226F" w:rsidRPr="00AE69FE" w:rsidTr="00175626">
        <w:trPr>
          <w:trHeight w:val="270"/>
        </w:trPr>
        <w:tc>
          <w:tcPr>
            <w:tcW w:w="4420" w:type="dxa"/>
            <w:tcBorders>
              <w:top w:val="nil"/>
              <w:left w:val="single" w:sz="4" w:space="0" w:color="auto"/>
              <w:bottom w:val="nil"/>
              <w:right w:val="nil"/>
            </w:tcBorders>
            <w:shd w:val="clear" w:color="000000" w:fill="FFFFFF"/>
            <w:noWrap/>
            <w:vAlign w:val="center"/>
            <w:hideMark/>
          </w:tcPr>
          <w:p w:rsidR="00F6226F" w:rsidRPr="00AE69FE" w:rsidRDefault="00F6226F" w:rsidP="00175626">
            <w:pPr>
              <w:rPr>
                <w:sz w:val="16"/>
                <w:szCs w:val="16"/>
              </w:rPr>
            </w:pPr>
            <w:r w:rsidRPr="00AE69FE">
              <w:rPr>
                <w:sz w:val="16"/>
                <w:szCs w:val="16"/>
              </w:rPr>
              <w:t>Inboeken tariefsverlaging RVD</w:t>
            </w:r>
          </w:p>
        </w:tc>
        <w:tc>
          <w:tcPr>
            <w:tcW w:w="1180" w:type="dxa"/>
            <w:tcBorders>
              <w:top w:val="single" w:sz="4" w:space="0" w:color="auto"/>
              <w:left w:val="single" w:sz="4" w:space="0" w:color="auto"/>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1.163</w:t>
            </w:r>
          </w:p>
        </w:tc>
        <w:tc>
          <w:tcPr>
            <w:tcW w:w="10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2.144</w:t>
            </w:r>
          </w:p>
        </w:tc>
        <w:tc>
          <w:tcPr>
            <w:tcW w:w="104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2.243</w:t>
            </w:r>
          </w:p>
        </w:tc>
        <w:tc>
          <w:tcPr>
            <w:tcW w:w="88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1.917</w:t>
            </w:r>
          </w:p>
        </w:tc>
        <w:tc>
          <w:tcPr>
            <w:tcW w:w="70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1.948</w:t>
            </w:r>
          </w:p>
        </w:tc>
        <w:tc>
          <w:tcPr>
            <w:tcW w:w="760" w:type="dxa"/>
            <w:tcBorders>
              <w:top w:val="single" w:sz="4" w:space="0" w:color="auto"/>
              <w:left w:val="nil"/>
              <w:bottom w:val="nil"/>
              <w:right w:val="single" w:sz="4" w:space="0" w:color="auto"/>
            </w:tcBorders>
            <w:shd w:val="clear" w:color="000000" w:fill="FFFFFF"/>
            <w:noWrap/>
            <w:vAlign w:val="center"/>
            <w:hideMark/>
          </w:tcPr>
          <w:p w:rsidR="00F6226F" w:rsidRPr="00AE69FE" w:rsidRDefault="00F6226F" w:rsidP="00175626">
            <w:pPr>
              <w:jc w:val="right"/>
              <w:rPr>
                <w:sz w:val="16"/>
                <w:szCs w:val="16"/>
              </w:rPr>
            </w:pPr>
            <w:r w:rsidRPr="00AE69FE">
              <w:rPr>
                <w:sz w:val="16"/>
                <w:szCs w:val="16"/>
              </w:rPr>
              <w:t>1.774</w:t>
            </w:r>
          </w:p>
        </w:tc>
      </w:tr>
      <w:tr w:rsidR="00F6226F" w:rsidRPr="00AE69FE" w:rsidTr="00175626">
        <w:trPr>
          <w:trHeight w:val="270"/>
        </w:trPr>
        <w:tc>
          <w:tcPr>
            <w:tcW w:w="4420" w:type="dxa"/>
            <w:tcBorders>
              <w:top w:val="single" w:sz="8" w:space="0" w:color="auto"/>
              <w:left w:val="single" w:sz="4" w:space="0" w:color="auto"/>
              <w:bottom w:val="single" w:sz="8"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beleidsmatige mutaties</w:t>
            </w:r>
          </w:p>
        </w:tc>
        <w:tc>
          <w:tcPr>
            <w:tcW w:w="11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52.522</w:t>
            </w:r>
          </w:p>
        </w:tc>
        <w:tc>
          <w:tcPr>
            <w:tcW w:w="108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85.142</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83.110</w:t>
            </w:r>
          </w:p>
        </w:tc>
        <w:tc>
          <w:tcPr>
            <w:tcW w:w="88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79.189</w:t>
            </w:r>
          </w:p>
        </w:tc>
        <w:tc>
          <w:tcPr>
            <w:tcW w:w="70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79.008</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78.781</w:t>
            </w:r>
          </w:p>
        </w:tc>
      </w:tr>
      <w:tr w:rsidR="00F6226F" w:rsidRPr="00AE69FE" w:rsidTr="00175626">
        <w:trPr>
          <w:trHeight w:val="270"/>
        </w:trPr>
        <w:tc>
          <w:tcPr>
            <w:tcW w:w="4420" w:type="dxa"/>
            <w:tcBorders>
              <w:top w:val="nil"/>
              <w:left w:val="single" w:sz="4" w:space="0" w:color="auto"/>
              <w:bottom w:val="nil"/>
              <w:right w:val="nil"/>
            </w:tcBorders>
            <w:shd w:val="clear" w:color="000000" w:fill="FFFFFF"/>
            <w:noWrap/>
            <w:vAlign w:val="bottom"/>
            <w:hideMark/>
          </w:tcPr>
          <w:p w:rsidR="00F6226F" w:rsidRPr="00AE69FE" w:rsidRDefault="00F6226F" w:rsidP="00175626">
            <w:pPr>
              <w:rPr>
                <w:sz w:val="16"/>
                <w:szCs w:val="16"/>
              </w:rPr>
            </w:pPr>
            <w:r w:rsidRPr="00AE69FE">
              <w:rPr>
                <w:sz w:val="16"/>
                <w:szCs w:val="16"/>
              </w:rPr>
              <w:t> </w:t>
            </w:r>
          </w:p>
        </w:tc>
        <w:tc>
          <w:tcPr>
            <w:tcW w:w="1180" w:type="dxa"/>
            <w:tcBorders>
              <w:top w:val="nil"/>
              <w:left w:val="single" w:sz="4" w:space="0" w:color="auto"/>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108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104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88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0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c>
          <w:tcPr>
            <w:tcW w:w="760" w:type="dxa"/>
            <w:tcBorders>
              <w:top w:val="nil"/>
              <w:left w:val="nil"/>
              <w:bottom w:val="nil"/>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 </w:t>
            </w:r>
          </w:p>
        </w:tc>
      </w:tr>
      <w:tr w:rsidR="00F6226F" w:rsidRPr="00AE69FE" w:rsidTr="00175626">
        <w:trPr>
          <w:trHeight w:val="255"/>
        </w:trPr>
        <w:tc>
          <w:tcPr>
            <w:tcW w:w="4420" w:type="dxa"/>
            <w:tcBorders>
              <w:top w:val="single" w:sz="8" w:space="0" w:color="auto"/>
              <w:left w:val="single" w:sz="4" w:space="0" w:color="auto"/>
              <w:bottom w:val="single" w:sz="4" w:space="0" w:color="auto"/>
              <w:right w:val="nil"/>
            </w:tcBorders>
            <w:shd w:val="clear" w:color="000000" w:fill="FFFFFF"/>
            <w:noWrap/>
            <w:vAlign w:val="bottom"/>
            <w:hideMark/>
          </w:tcPr>
          <w:p w:rsidR="00F6226F" w:rsidRPr="00AE69FE" w:rsidRDefault="00F6226F" w:rsidP="00175626">
            <w:pPr>
              <w:rPr>
                <w:b/>
                <w:bCs/>
                <w:sz w:val="16"/>
                <w:szCs w:val="16"/>
              </w:rPr>
            </w:pPr>
            <w:r w:rsidRPr="00AE69FE">
              <w:rPr>
                <w:b/>
                <w:bCs/>
                <w:sz w:val="16"/>
                <w:szCs w:val="16"/>
              </w:rPr>
              <w:t>Totaal mutaties</w:t>
            </w:r>
          </w:p>
        </w:tc>
        <w:tc>
          <w:tcPr>
            <w:tcW w:w="118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52.522</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85.142</w:t>
            </w:r>
          </w:p>
        </w:tc>
        <w:tc>
          <w:tcPr>
            <w:tcW w:w="1040" w:type="dxa"/>
            <w:tcBorders>
              <w:top w:val="single" w:sz="8"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83.110</w:t>
            </w:r>
          </w:p>
        </w:tc>
        <w:tc>
          <w:tcPr>
            <w:tcW w:w="880" w:type="dxa"/>
            <w:tcBorders>
              <w:top w:val="single" w:sz="8"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79.189</w:t>
            </w:r>
          </w:p>
        </w:tc>
        <w:tc>
          <w:tcPr>
            <w:tcW w:w="700" w:type="dxa"/>
            <w:tcBorders>
              <w:top w:val="single" w:sz="8"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79.008</w:t>
            </w:r>
          </w:p>
        </w:tc>
        <w:tc>
          <w:tcPr>
            <w:tcW w:w="760" w:type="dxa"/>
            <w:tcBorders>
              <w:top w:val="single" w:sz="8" w:space="0" w:color="auto"/>
              <w:left w:val="nil"/>
              <w:bottom w:val="single" w:sz="4" w:space="0" w:color="auto"/>
              <w:right w:val="single" w:sz="4" w:space="0" w:color="auto"/>
            </w:tcBorders>
            <w:shd w:val="clear" w:color="000000" w:fill="FFFFFF"/>
            <w:noWrap/>
            <w:vAlign w:val="bottom"/>
            <w:hideMark/>
          </w:tcPr>
          <w:p w:rsidR="00F6226F" w:rsidRPr="00AE69FE" w:rsidRDefault="00F6226F" w:rsidP="00175626">
            <w:pPr>
              <w:jc w:val="right"/>
              <w:rPr>
                <w:b/>
                <w:bCs/>
                <w:sz w:val="16"/>
                <w:szCs w:val="16"/>
              </w:rPr>
            </w:pPr>
            <w:r w:rsidRPr="00AE69FE">
              <w:rPr>
                <w:b/>
                <w:bCs/>
                <w:sz w:val="16"/>
                <w:szCs w:val="16"/>
              </w:rPr>
              <w:t>78.781</w:t>
            </w:r>
          </w:p>
        </w:tc>
      </w:tr>
    </w:tbl>
    <w:p w:rsidR="00F6226F" w:rsidRPr="00AE69FE" w:rsidRDefault="00F6226F" w:rsidP="00F6226F">
      <w:pPr>
        <w:rPr>
          <w:b/>
        </w:rPr>
      </w:pPr>
    </w:p>
    <w:p w:rsidR="00F6226F" w:rsidRPr="00AE69FE" w:rsidRDefault="00F6226F" w:rsidP="00F6226F">
      <w:pPr>
        <w:rPr>
          <w:b/>
        </w:rPr>
      </w:pPr>
    </w:p>
    <w:p w:rsidR="00F6226F" w:rsidRPr="00AE69FE" w:rsidRDefault="00F6226F" w:rsidP="00F6226F">
      <w:pPr>
        <w:spacing w:line="360" w:lineRule="auto"/>
        <w:rPr>
          <w:b/>
        </w:rPr>
      </w:pPr>
      <w:r w:rsidRPr="00AE69FE">
        <w:rPr>
          <w:b/>
        </w:rPr>
        <w:lastRenderedPageBreak/>
        <w:t>Toelichting</w:t>
      </w:r>
    </w:p>
    <w:p w:rsidR="00F6226F" w:rsidRPr="00AE69FE" w:rsidRDefault="00F6226F" w:rsidP="00F6226F">
      <w:pPr>
        <w:tabs>
          <w:tab w:val="left" w:pos="-1440"/>
          <w:tab w:val="left" w:pos="-720"/>
        </w:tabs>
        <w:suppressAutoHyphens/>
        <w:spacing w:line="360" w:lineRule="auto"/>
      </w:pPr>
      <w:r w:rsidRPr="00AE69FE">
        <w:rPr>
          <w:i/>
        </w:rPr>
        <w:t xml:space="preserve">Afdracht eindheffing Werkkostenregeling (WKR) 2015 </w:t>
      </w:r>
      <w:r w:rsidRPr="00AE69FE">
        <w:t>De Belastingdienst heeft een wijziging doorgevoerd in de wijze van de afdracht sociale lasten in het kader van de werkkostenregeling. Van een periodieke inhouding gaat de Belastingdienst over naar een jaarlijkse inhouding.</w:t>
      </w:r>
    </w:p>
    <w:p w:rsidR="00F6226F" w:rsidRPr="00AE69FE" w:rsidRDefault="00F6226F" w:rsidP="00F6226F">
      <w:pPr>
        <w:spacing w:line="360" w:lineRule="auto"/>
        <w:rPr>
          <w:b/>
        </w:rPr>
      </w:pPr>
    </w:p>
    <w:p w:rsidR="00F6226F" w:rsidRPr="00AE69FE" w:rsidRDefault="00F6226F" w:rsidP="00F6226F">
      <w:pPr>
        <w:spacing w:line="360" w:lineRule="auto"/>
        <w:rPr>
          <w:i/>
        </w:rPr>
      </w:pPr>
      <w:r w:rsidRPr="00AE69FE">
        <w:rPr>
          <w:i/>
        </w:rPr>
        <w:t>Premiedaling sociale lasten / Loonbijstelling 0,8% n.a.v. AV</w:t>
      </w:r>
    </w:p>
    <w:p w:rsidR="00F6226F" w:rsidRPr="00AE69FE" w:rsidRDefault="00F6226F" w:rsidP="00F6226F">
      <w:pPr>
        <w:tabs>
          <w:tab w:val="left" w:pos="-1440"/>
          <w:tab w:val="left" w:pos="-720"/>
        </w:tabs>
        <w:suppressAutoHyphens/>
        <w:spacing w:line="360" w:lineRule="auto"/>
        <w:rPr>
          <w:i/>
        </w:rPr>
      </w:pPr>
      <w:r w:rsidRPr="00AE69FE">
        <w:t>Vanwege de aanpassingen van het werkgeversdeel van de pensioenbijdragen valt er structureel circa € 28,2 miljoen vrij. De vrijval wordt vanuit de budgetten voor formatie overgeheveld naar nominaal en onvoorzien. Deze ontvlechting is onderdeel van de onderhandelingen over de arbeidsvoorwaarden. Naar aanleiding van het tot stand komen van een AV-deelakkoord is de loonbijstelling van 0,8% weer uitgedeeld vanuit dit artikel naar de geëigende wetsartikelen.</w:t>
      </w:r>
    </w:p>
    <w:p w:rsidR="00F6226F" w:rsidRPr="00AE69FE" w:rsidRDefault="00F6226F" w:rsidP="00F6226F">
      <w:pPr>
        <w:spacing w:line="360" w:lineRule="auto"/>
      </w:pPr>
    </w:p>
    <w:p w:rsidR="00F6226F" w:rsidRPr="00AE69FE" w:rsidRDefault="00F6226F" w:rsidP="00F6226F">
      <w:pPr>
        <w:tabs>
          <w:tab w:val="left" w:pos="-1440"/>
          <w:tab w:val="left" w:pos="-720"/>
        </w:tabs>
        <w:suppressAutoHyphens/>
        <w:spacing w:line="360" w:lineRule="auto"/>
      </w:pPr>
      <w:r w:rsidRPr="00AE69FE">
        <w:rPr>
          <w:i/>
        </w:rPr>
        <w:t>Bijstelling formatie (inhuur)</w:t>
      </w:r>
      <w:r w:rsidRPr="00AE69FE">
        <w:rPr>
          <w:i/>
        </w:rPr>
        <w:br/>
      </w:r>
      <w:r w:rsidRPr="00AE69FE">
        <w:t xml:space="preserve">De bijstelling van € 19 miljoen binnen formatie betreft de inhuur voor de implementatie van ERP in de organisatie. </w:t>
      </w:r>
    </w:p>
    <w:p w:rsidR="00F6226F" w:rsidRPr="00AE69FE" w:rsidRDefault="00F6226F" w:rsidP="00F6226F">
      <w:pPr>
        <w:spacing w:line="360" w:lineRule="auto"/>
        <w:rPr>
          <w:b/>
        </w:rPr>
      </w:pPr>
    </w:p>
    <w:p w:rsidR="00F6226F" w:rsidRPr="00AE69FE" w:rsidRDefault="00F6226F" w:rsidP="00F6226F">
      <w:pPr>
        <w:spacing w:line="360" w:lineRule="auto"/>
        <w:rPr>
          <w:i/>
        </w:rPr>
      </w:pPr>
      <w:r w:rsidRPr="00AE69FE">
        <w:rPr>
          <w:i/>
        </w:rPr>
        <w:t>Doorwerking eindejaarsmarge / spiegelen en herallocatie budgetten.</w:t>
      </w:r>
    </w:p>
    <w:p w:rsidR="00F6226F" w:rsidRPr="00AE69FE" w:rsidRDefault="00F6226F" w:rsidP="00F6226F">
      <w:pPr>
        <w:spacing w:line="360" w:lineRule="auto"/>
      </w:pPr>
      <w:r w:rsidRPr="00AE69FE">
        <w:t xml:space="preserve">De eindejaarsmarge voor Defensie voor de exploitatie uitgaven (exclusief HGIS) is vastgesteld op € 2,8 miljoen. De doorwerking van de lagere uitgaven in 2014 is deels verwerkt in de herallocatie van uitgavenbudgetten van de defensieonderdelen  (€ 1,7 miljoen). Het restantbedrag is geparkeerd op artikel 12. </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Herschikking tussen defensieonderdelen</w:t>
      </w:r>
    </w:p>
    <w:p w:rsidR="00F6226F" w:rsidRPr="00AE69FE" w:rsidRDefault="00F6226F" w:rsidP="00F6226F">
      <w:pPr>
        <w:spacing w:line="360" w:lineRule="auto"/>
      </w:pPr>
      <w:r w:rsidRPr="00AE69FE">
        <w:t xml:space="preserve">Dit betreft diverse compensaties, waaronder voor de Chroom 6 coulanceregeling, inhuur voor de implementatie van ERP en medisch personeel, exploitatie van de IT en de </w:t>
      </w:r>
      <w:r w:rsidRPr="00AE69FE">
        <w:rPr>
          <w:i/>
        </w:rPr>
        <w:t>Future Force</w:t>
      </w:r>
      <w:r w:rsidRPr="00AE69FE">
        <w:t xml:space="preserve"> </w:t>
      </w:r>
      <w:r w:rsidRPr="00AE69FE">
        <w:rPr>
          <w:i/>
        </w:rPr>
        <w:t>Conference</w:t>
      </w:r>
      <w:r w:rsidRPr="00AE69FE">
        <w:t xml:space="preserve">. </w:t>
      </w:r>
    </w:p>
    <w:p w:rsidR="00F6226F" w:rsidRPr="00AE69FE" w:rsidRDefault="00F6226F" w:rsidP="00F6226F">
      <w:pPr>
        <w:autoSpaceDE w:val="0"/>
        <w:autoSpaceDN w:val="0"/>
        <w:adjustRightInd w:val="0"/>
        <w:rPr>
          <w:i/>
          <w:szCs w:val="20"/>
        </w:rPr>
      </w:pPr>
    </w:p>
    <w:p w:rsidR="00F6226F" w:rsidRPr="00AE69FE" w:rsidRDefault="00F6226F" w:rsidP="00F6226F">
      <w:pPr>
        <w:spacing w:line="360" w:lineRule="auto"/>
        <w:rPr>
          <w:i/>
        </w:rPr>
      </w:pPr>
      <w:r w:rsidRPr="00AE69FE">
        <w:rPr>
          <w:i/>
        </w:rPr>
        <w:t>Contra terrorisme</w:t>
      </w:r>
    </w:p>
    <w:p w:rsidR="00F6226F" w:rsidRPr="00AE69FE" w:rsidRDefault="00F6226F" w:rsidP="00F6226F">
      <w:pPr>
        <w:spacing w:line="360" w:lineRule="auto"/>
      </w:pPr>
      <w:r w:rsidRPr="00AE69FE">
        <w:t>Defensie ontvangt een structurele bijdrage voor de bestrijding van terrorisme. Het budget wordt tijdelijk gereserveerd op dit artikel, omdat de taakopdracht richting MIVD en Kmar, inclusief de budgettaire gevolgen voor de ondersteunende diensten, nog nader uitgewerkt moet worden.</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Loon- en prijsbijstelling</w:t>
      </w:r>
    </w:p>
    <w:p w:rsidR="00F6226F" w:rsidRPr="00AE69FE" w:rsidRDefault="00F6226F" w:rsidP="00F6226F">
      <w:pPr>
        <w:spacing w:line="360" w:lineRule="auto"/>
      </w:pPr>
      <w:r w:rsidRPr="00AE69FE">
        <w:t>Dit betreft de uitkering van de loon- en prijsbijstelling tranche 2015.</w:t>
      </w:r>
    </w:p>
    <w:p w:rsidR="00F6226F" w:rsidRPr="00AE69FE" w:rsidRDefault="00F6226F" w:rsidP="00F6226F">
      <w:pPr>
        <w:spacing w:line="360" w:lineRule="auto"/>
      </w:pPr>
    </w:p>
    <w:p w:rsidR="00F6226F" w:rsidRPr="00AE69FE" w:rsidRDefault="00F6226F" w:rsidP="00F6226F">
      <w:pPr>
        <w:spacing w:line="360" w:lineRule="auto"/>
        <w:rPr>
          <w:i/>
        </w:rPr>
      </w:pPr>
      <w:r w:rsidRPr="00AE69FE">
        <w:rPr>
          <w:i/>
        </w:rPr>
        <w:t>Inboeken tariefsverlaging RVB</w:t>
      </w:r>
    </w:p>
    <w:p w:rsidR="00F6226F" w:rsidRDefault="00F6226F" w:rsidP="00F6226F">
      <w:pPr>
        <w:spacing w:line="360" w:lineRule="auto"/>
      </w:pPr>
      <w:r w:rsidRPr="00AE69FE">
        <w:t>Dit betreft de tariefsverlaging van het Rijksvastgoedbedrijf voor de periode 2015 tot en met 2020.</w:t>
      </w:r>
    </w:p>
    <w:p w:rsidR="00F6226F" w:rsidRDefault="00F6226F" w:rsidP="00F6226F">
      <w:pPr>
        <w:spacing w:line="360" w:lineRule="auto"/>
      </w:pPr>
    </w:p>
    <w:p w:rsidR="009E7070" w:rsidRDefault="009E7070">
      <w:bookmarkStart w:id="0" w:name="_GoBack"/>
      <w:bookmarkEnd w:id="0"/>
    </w:p>
    <w:sectPr w:rsidR="009E7070" w:rsidSect="00114AC6">
      <w:pgSz w:w="11907" w:h="16840" w:code="9"/>
      <w:pgMar w:top="964" w:right="748" w:bottom="1134" w:left="1134" w:header="454"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EB7"/>
    <w:multiLevelType w:val="hybridMultilevel"/>
    <w:tmpl w:val="5B9CC5EC"/>
    <w:lvl w:ilvl="0" w:tplc="27DEE51E">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77A75"/>
    <w:multiLevelType w:val="hybridMultilevel"/>
    <w:tmpl w:val="39D4013E"/>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2">
    <w:nsid w:val="099B27AC"/>
    <w:multiLevelType w:val="hybridMultilevel"/>
    <w:tmpl w:val="97CCD554"/>
    <w:lvl w:ilvl="0" w:tplc="344CC88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914526"/>
    <w:multiLevelType w:val="hybridMultilevel"/>
    <w:tmpl w:val="1604E0BA"/>
    <w:lvl w:ilvl="0" w:tplc="45009F76">
      <w:start w:val="1"/>
      <w:numFmt w:val="decimal"/>
      <w:lvlText w:val="(%1)"/>
      <w:lvlJc w:val="left"/>
      <w:pPr>
        <w:ind w:left="1212" w:hanging="360"/>
      </w:pPr>
      <w:rPr>
        <w:rFonts w:hint="default"/>
      </w:r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4">
    <w:nsid w:val="0CC63896"/>
    <w:multiLevelType w:val="hybridMultilevel"/>
    <w:tmpl w:val="0F08E2D8"/>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5">
    <w:nsid w:val="105B32A8"/>
    <w:multiLevelType w:val="hybridMultilevel"/>
    <w:tmpl w:val="429CB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663074"/>
    <w:multiLevelType w:val="hybridMultilevel"/>
    <w:tmpl w:val="072C7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7472379"/>
    <w:multiLevelType w:val="hybridMultilevel"/>
    <w:tmpl w:val="344A82F4"/>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8">
    <w:nsid w:val="1E566F71"/>
    <w:multiLevelType w:val="hybridMultilevel"/>
    <w:tmpl w:val="84EE0B2C"/>
    <w:lvl w:ilvl="0" w:tplc="0413000F">
      <w:start w:val="14"/>
      <w:numFmt w:val="decimal"/>
      <w:lvlText w:val="%1."/>
      <w:lvlJc w:val="left"/>
      <w:pPr>
        <w:ind w:left="360"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9">
    <w:nsid w:val="284B7AE8"/>
    <w:multiLevelType w:val="hybridMultilevel"/>
    <w:tmpl w:val="9A4AAD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2212F3"/>
    <w:multiLevelType w:val="hybridMultilevel"/>
    <w:tmpl w:val="91FE5760"/>
    <w:lvl w:ilvl="0" w:tplc="59E8789C">
      <w:start w:val="1"/>
      <w:numFmt w:val="bullet"/>
      <w:lvlText w:val="-"/>
      <w:lvlJc w:val="left"/>
      <w:pPr>
        <w:tabs>
          <w:tab w:val="num" w:pos="1065"/>
        </w:tabs>
        <w:ind w:left="1065" w:hanging="705"/>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85F4D6A"/>
    <w:multiLevelType w:val="singleLevel"/>
    <w:tmpl w:val="645A5376"/>
    <w:lvl w:ilvl="0">
      <w:start w:val="1"/>
      <w:numFmt w:val="upperRoman"/>
      <w:lvlText w:val=""/>
      <w:lvlJc w:val="left"/>
      <w:pPr>
        <w:tabs>
          <w:tab w:val="num" w:pos="76"/>
        </w:tabs>
        <w:ind w:left="76" w:hanging="360"/>
      </w:pPr>
      <w:rPr>
        <w:rFonts w:hint="default"/>
        <w:b/>
      </w:rPr>
    </w:lvl>
  </w:abstractNum>
  <w:abstractNum w:abstractNumId="12">
    <w:nsid w:val="39F93202"/>
    <w:multiLevelType w:val="hybridMultilevel"/>
    <w:tmpl w:val="8326C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282E9A"/>
    <w:multiLevelType w:val="hybridMultilevel"/>
    <w:tmpl w:val="7012053E"/>
    <w:lvl w:ilvl="0" w:tplc="7384F4B8">
      <w:start w:val="1"/>
      <w:numFmt w:val="bullet"/>
      <w:lvlText w:val="-"/>
      <w:lvlJc w:val="left"/>
      <w:pPr>
        <w:tabs>
          <w:tab w:val="num" w:pos="720"/>
        </w:tabs>
        <w:ind w:left="720" w:hanging="360"/>
      </w:pPr>
      <w:rPr>
        <w:rFonts w:ascii="Times New Roman" w:eastAsia="Times New Roman" w:hAnsi="Times New Roman" w:cs="Times New Roman" w:hint="default"/>
      </w:rPr>
    </w:lvl>
    <w:lvl w:ilvl="1" w:tplc="BC36D5BA" w:tentative="1">
      <w:start w:val="1"/>
      <w:numFmt w:val="bullet"/>
      <w:lvlText w:val="o"/>
      <w:lvlJc w:val="left"/>
      <w:pPr>
        <w:tabs>
          <w:tab w:val="num" w:pos="1440"/>
        </w:tabs>
        <w:ind w:left="1440" w:hanging="360"/>
      </w:pPr>
      <w:rPr>
        <w:rFonts w:ascii="Courier New" w:hAnsi="Courier New" w:hint="default"/>
      </w:rPr>
    </w:lvl>
    <w:lvl w:ilvl="2" w:tplc="D1EA8F6A" w:tentative="1">
      <w:start w:val="1"/>
      <w:numFmt w:val="bullet"/>
      <w:lvlText w:val=""/>
      <w:lvlJc w:val="left"/>
      <w:pPr>
        <w:tabs>
          <w:tab w:val="num" w:pos="2160"/>
        </w:tabs>
        <w:ind w:left="2160" w:hanging="360"/>
      </w:pPr>
      <w:rPr>
        <w:rFonts w:ascii="Wingdings" w:hAnsi="Wingdings" w:hint="default"/>
      </w:rPr>
    </w:lvl>
    <w:lvl w:ilvl="3" w:tplc="6E320564" w:tentative="1">
      <w:start w:val="1"/>
      <w:numFmt w:val="bullet"/>
      <w:lvlText w:val=""/>
      <w:lvlJc w:val="left"/>
      <w:pPr>
        <w:tabs>
          <w:tab w:val="num" w:pos="2880"/>
        </w:tabs>
        <w:ind w:left="2880" w:hanging="360"/>
      </w:pPr>
      <w:rPr>
        <w:rFonts w:ascii="Symbol" w:hAnsi="Symbol" w:hint="default"/>
      </w:rPr>
    </w:lvl>
    <w:lvl w:ilvl="4" w:tplc="1E84F6C8" w:tentative="1">
      <w:start w:val="1"/>
      <w:numFmt w:val="bullet"/>
      <w:lvlText w:val="o"/>
      <w:lvlJc w:val="left"/>
      <w:pPr>
        <w:tabs>
          <w:tab w:val="num" w:pos="3600"/>
        </w:tabs>
        <w:ind w:left="3600" w:hanging="360"/>
      </w:pPr>
      <w:rPr>
        <w:rFonts w:ascii="Courier New" w:hAnsi="Courier New" w:hint="default"/>
      </w:rPr>
    </w:lvl>
    <w:lvl w:ilvl="5" w:tplc="DC986B6C" w:tentative="1">
      <w:start w:val="1"/>
      <w:numFmt w:val="bullet"/>
      <w:lvlText w:val=""/>
      <w:lvlJc w:val="left"/>
      <w:pPr>
        <w:tabs>
          <w:tab w:val="num" w:pos="4320"/>
        </w:tabs>
        <w:ind w:left="4320" w:hanging="360"/>
      </w:pPr>
      <w:rPr>
        <w:rFonts w:ascii="Wingdings" w:hAnsi="Wingdings" w:hint="default"/>
      </w:rPr>
    </w:lvl>
    <w:lvl w:ilvl="6" w:tplc="904E689E" w:tentative="1">
      <w:start w:val="1"/>
      <w:numFmt w:val="bullet"/>
      <w:lvlText w:val=""/>
      <w:lvlJc w:val="left"/>
      <w:pPr>
        <w:tabs>
          <w:tab w:val="num" w:pos="5040"/>
        </w:tabs>
        <w:ind w:left="5040" w:hanging="360"/>
      </w:pPr>
      <w:rPr>
        <w:rFonts w:ascii="Symbol" w:hAnsi="Symbol" w:hint="default"/>
      </w:rPr>
    </w:lvl>
    <w:lvl w:ilvl="7" w:tplc="04267C90" w:tentative="1">
      <w:start w:val="1"/>
      <w:numFmt w:val="bullet"/>
      <w:lvlText w:val="o"/>
      <w:lvlJc w:val="left"/>
      <w:pPr>
        <w:tabs>
          <w:tab w:val="num" w:pos="5760"/>
        </w:tabs>
        <w:ind w:left="5760" w:hanging="360"/>
      </w:pPr>
      <w:rPr>
        <w:rFonts w:ascii="Courier New" w:hAnsi="Courier New" w:hint="default"/>
      </w:rPr>
    </w:lvl>
    <w:lvl w:ilvl="8" w:tplc="23D88BAC" w:tentative="1">
      <w:start w:val="1"/>
      <w:numFmt w:val="bullet"/>
      <w:lvlText w:val=""/>
      <w:lvlJc w:val="left"/>
      <w:pPr>
        <w:tabs>
          <w:tab w:val="num" w:pos="6480"/>
        </w:tabs>
        <w:ind w:left="6480" w:hanging="360"/>
      </w:pPr>
      <w:rPr>
        <w:rFonts w:ascii="Wingdings" w:hAnsi="Wingdings" w:hint="default"/>
      </w:rPr>
    </w:lvl>
  </w:abstractNum>
  <w:abstractNum w:abstractNumId="14">
    <w:nsid w:val="3BE74AFC"/>
    <w:multiLevelType w:val="hybridMultilevel"/>
    <w:tmpl w:val="0854C120"/>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1156F9"/>
    <w:multiLevelType w:val="hybridMultilevel"/>
    <w:tmpl w:val="77F2F46A"/>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2A92147"/>
    <w:multiLevelType w:val="hybridMultilevel"/>
    <w:tmpl w:val="7A6CE040"/>
    <w:lvl w:ilvl="0" w:tplc="D8D02BD2">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7A8402C"/>
    <w:multiLevelType w:val="hybridMultilevel"/>
    <w:tmpl w:val="3572D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03F58BA"/>
    <w:multiLevelType w:val="hybridMultilevel"/>
    <w:tmpl w:val="4132A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64A1E3B"/>
    <w:multiLevelType w:val="hybridMultilevel"/>
    <w:tmpl w:val="0032D4C0"/>
    <w:lvl w:ilvl="0" w:tplc="45009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CA452AE"/>
    <w:multiLevelType w:val="hybridMultilevel"/>
    <w:tmpl w:val="0032D4C0"/>
    <w:lvl w:ilvl="0" w:tplc="45009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5A82596"/>
    <w:multiLevelType w:val="hybridMultilevel"/>
    <w:tmpl w:val="3F24AE66"/>
    <w:lvl w:ilvl="0" w:tplc="119ABA14">
      <w:start w:val="17"/>
      <w:numFmt w:val="decimal"/>
      <w:lvlText w:val="%1."/>
      <w:lvlJc w:val="left"/>
      <w:pPr>
        <w:ind w:left="927" w:hanging="360"/>
      </w:pPr>
      <w:rPr>
        <w:rFonts w:hint="default"/>
        <w:i/>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2">
    <w:nsid w:val="68623D9D"/>
    <w:multiLevelType w:val="singleLevel"/>
    <w:tmpl w:val="557288F6"/>
    <w:lvl w:ilvl="0">
      <w:start w:val="133"/>
      <w:numFmt w:val="bullet"/>
      <w:lvlText w:val="-"/>
      <w:lvlJc w:val="left"/>
      <w:pPr>
        <w:tabs>
          <w:tab w:val="num" w:pos="360"/>
        </w:tabs>
        <w:ind w:left="360" w:hanging="360"/>
      </w:pPr>
      <w:rPr>
        <w:rFonts w:ascii="Times New Roman" w:hAnsi="Times New Roman" w:hint="default"/>
      </w:rPr>
    </w:lvl>
  </w:abstractNum>
  <w:abstractNum w:abstractNumId="23">
    <w:nsid w:val="6A03337C"/>
    <w:multiLevelType w:val="hybridMultilevel"/>
    <w:tmpl w:val="56CC3F06"/>
    <w:lvl w:ilvl="0" w:tplc="3D10DD16">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6A424096"/>
    <w:multiLevelType w:val="hybridMultilevel"/>
    <w:tmpl w:val="F490E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D216421"/>
    <w:multiLevelType w:val="hybridMultilevel"/>
    <w:tmpl w:val="1604E0BA"/>
    <w:lvl w:ilvl="0" w:tplc="45009F76">
      <w:start w:val="1"/>
      <w:numFmt w:val="decimal"/>
      <w:lvlText w:val="(%1)"/>
      <w:lvlJc w:val="left"/>
      <w:pPr>
        <w:ind w:left="1212" w:hanging="360"/>
      </w:pPr>
      <w:rPr>
        <w:rFonts w:hint="default"/>
      </w:r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6">
    <w:nsid w:val="70E84464"/>
    <w:multiLevelType w:val="hybridMultilevel"/>
    <w:tmpl w:val="27FC3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5FD3ED9"/>
    <w:multiLevelType w:val="hybridMultilevel"/>
    <w:tmpl w:val="1B8E7650"/>
    <w:lvl w:ilvl="0" w:tplc="3A4E46F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2"/>
  </w:num>
  <w:num w:numId="4">
    <w:abstractNumId w:val="23"/>
  </w:num>
  <w:num w:numId="5">
    <w:abstractNumId w:val="10"/>
  </w:num>
  <w:num w:numId="6">
    <w:abstractNumId w:val="27"/>
  </w:num>
  <w:num w:numId="7">
    <w:abstractNumId w:val="3"/>
  </w:num>
  <w:num w:numId="8">
    <w:abstractNumId w:val="25"/>
  </w:num>
  <w:num w:numId="9">
    <w:abstractNumId w:val="19"/>
  </w:num>
  <w:num w:numId="10">
    <w:abstractNumId w:val="20"/>
  </w:num>
  <w:num w:numId="11">
    <w:abstractNumId w:val="2"/>
  </w:num>
  <w:num w:numId="12">
    <w:abstractNumId w:val="18"/>
  </w:num>
  <w:num w:numId="13">
    <w:abstractNumId w:val="4"/>
  </w:num>
  <w:num w:numId="14">
    <w:abstractNumId w:val="24"/>
  </w:num>
  <w:num w:numId="15">
    <w:abstractNumId w:val="7"/>
  </w:num>
  <w:num w:numId="16">
    <w:abstractNumId w:val="1"/>
  </w:num>
  <w:num w:numId="17">
    <w:abstractNumId w:val="17"/>
  </w:num>
  <w:num w:numId="18">
    <w:abstractNumId w:val="12"/>
  </w:num>
  <w:num w:numId="19">
    <w:abstractNumId w:val="6"/>
  </w:num>
  <w:num w:numId="20">
    <w:abstractNumId w:val="5"/>
  </w:num>
  <w:num w:numId="21">
    <w:abstractNumId w:val="9"/>
  </w:num>
  <w:num w:numId="22">
    <w:abstractNumId w:val="16"/>
  </w:num>
  <w:num w:numId="23">
    <w:abstractNumId w:val="0"/>
  </w:num>
  <w:num w:numId="24">
    <w:abstractNumId w:val="26"/>
  </w:num>
  <w:num w:numId="25">
    <w:abstractNumId w:val="14"/>
  </w:num>
  <w:num w:numId="26">
    <w:abstractNumId w:val="15"/>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F"/>
    <w:rsid w:val="00485333"/>
    <w:rsid w:val="004F79F1"/>
    <w:rsid w:val="009E7070"/>
    <w:rsid w:val="00A54391"/>
    <w:rsid w:val="00F6226F"/>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226F"/>
    <w:rPr>
      <w:rFonts w:ascii="Arial" w:hAnsi="Arial" w:cs="Arial"/>
      <w:szCs w:val="24"/>
    </w:rPr>
  </w:style>
  <w:style w:type="paragraph" w:styleId="Kop1">
    <w:name w:val="heading 1"/>
    <w:basedOn w:val="Standaard"/>
    <w:next w:val="Standaard"/>
    <w:link w:val="Kop1Char"/>
    <w:qFormat/>
    <w:rsid w:val="00F6226F"/>
    <w:pPr>
      <w:keepNext/>
      <w:outlineLvl w:val="0"/>
    </w:pPr>
    <w:rPr>
      <w:sz w:val="24"/>
      <w:lang w:val="en-US"/>
    </w:rPr>
  </w:style>
  <w:style w:type="paragraph" w:styleId="Kop2">
    <w:name w:val="heading 2"/>
    <w:basedOn w:val="Standaard"/>
    <w:next w:val="Standaard"/>
    <w:link w:val="Kop2Char"/>
    <w:qFormat/>
    <w:rsid w:val="00F6226F"/>
    <w:pPr>
      <w:keepNext/>
      <w:outlineLvl w:val="1"/>
    </w:pPr>
    <w:rPr>
      <w:i/>
      <w:sz w:val="24"/>
    </w:rPr>
  </w:style>
  <w:style w:type="paragraph" w:styleId="Kop3">
    <w:name w:val="heading 3"/>
    <w:basedOn w:val="Standaard"/>
    <w:next w:val="Standaard"/>
    <w:link w:val="Kop3Char"/>
    <w:qFormat/>
    <w:rsid w:val="00F6226F"/>
    <w:pPr>
      <w:keepNext/>
      <w:outlineLvl w:val="2"/>
    </w:pPr>
    <w:rPr>
      <w:b/>
      <w:sz w:val="22"/>
    </w:rPr>
  </w:style>
  <w:style w:type="paragraph" w:styleId="Kop4">
    <w:name w:val="heading 4"/>
    <w:aliases w:val="tekst 4e niveau,tussenkop 4e niveau"/>
    <w:basedOn w:val="Standaard"/>
    <w:next w:val="Standaard"/>
    <w:link w:val="Kop4Char"/>
    <w:qFormat/>
    <w:rsid w:val="00F6226F"/>
    <w:pPr>
      <w:keepNext/>
      <w:outlineLvl w:val="3"/>
    </w:pPr>
    <w:rPr>
      <w:sz w:val="52"/>
    </w:rPr>
  </w:style>
  <w:style w:type="paragraph" w:styleId="Kop5">
    <w:name w:val="heading 5"/>
    <w:basedOn w:val="Standaard"/>
    <w:next w:val="Standaard"/>
    <w:link w:val="Kop5Char"/>
    <w:qFormat/>
    <w:rsid w:val="00F6226F"/>
    <w:pPr>
      <w:keepNext/>
      <w:jc w:val="both"/>
      <w:outlineLvl w:val="4"/>
    </w:pPr>
    <w:rPr>
      <w:i/>
    </w:rPr>
  </w:style>
  <w:style w:type="paragraph" w:styleId="Kop6">
    <w:name w:val="heading 6"/>
    <w:basedOn w:val="Standaard"/>
    <w:next w:val="Standaard"/>
    <w:link w:val="Kop6Char"/>
    <w:qFormat/>
    <w:rsid w:val="00F6226F"/>
    <w:pPr>
      <w:keepNext/>
      <w:jc w:val="both"/>
      <w:outlineLvl w:val="5"/>
    </w:pPr>
    <w:rPr>
      <w:b/>
      <w:sz w:val="22"/>
    </w:rPr>
  </w:style>
  <w:style w:type="paragraph" w:styleId="Kop7">
    <w:name w:val="heading 7"/>
    <w:basedOn w:val="Standaard"/>
    <w:next w:val="Standaard"/>
    <w:link w:val="Kop7Char"/>
    <w:qFormat/>
    <w:rsid w:val="00F6226F"/>
    <w:pPr>
      <w:keepNext/>
      <w:jc w:val="both"/>
      <w:outlineLvl w:val="6"/>
    </w:pPr>
    <w:rPr>
      <w:i/>
      <w:sz w:val="22"/>
    </w:rPr>
  </w:style>
  <w:style w:type="paragraph" w:styleId="Kop8">
    <w:name w:val="heading 8"/>
    <w:basedOn w:val="Standaard"/>
    <w:next w:val="Standaard"/>
    <w:link w:val="Kop8Char"/>
    <w:qFormat/>
    <w:rsid w:val="00F6226F"/>
    <w:pPr>
      <w:keepNext/>
      <w:outlineLvl w:val="7"/>
    </w:pPr>
    <w:rPr>
      <w:i/>
      <w:sz w:val="22"/>
      <w:lang w:val="en-US"/>
    </w:rPr>
  </w:style>
  <w:style w:type="paragraph" w:styleId="Kop9">
    <w:name w:val="heading 9"/>
    <w:basedOn w:val="Standaard"/>
    <w:next w:val="Standaard"/>
    <w:link w:val="Kop9Char"/>
    <w:qFormat/>
    <w:rsid w:val="00F6226F"/>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6226F"/>
    <w:rPr>
      <w:rFonts w:ascii="Arial" w:hAnsi="Arial" w:cs="Arial"/>
      <w:sz w:val="24"/>
      <w:szCs w:val="24"/>
      <w:lang w:val="en-US"/>
    </w:rPr>
  </w:style>
  <w:style w:type="character" w:customStyle="1" w:styleId="Kop2Char">
    <w:name w:val="Kop 2 Char"/>
    <w:basedOn w:val="Standaardalinea-lettertype"/>
    <w:link w:val="Kop2"/>
    <w:rsid w:val="00F6226F"/>
    <w:rPr>
      <w:rFonts w:ascii="Arial" w:hAnsi="Arial" w:cs="Arial"/>
      <w:i/>
      <w:sz w:val="24"/>
      <w:szCs w:val="24"/>
    </w:rPr>
  </w:style>
  <w:style w:type="character" w:customStyle="1" w:styleId="Kop3Char">
    <w:name w:val="Kop 3 Char"/>
    <w:basedOn w:val="Standaardalinea-lettertype"/>
    <w:link w:val="Kop3"/>
    <w:rsid w:val="00F6226F"/>
    <w:rPr>
      <w:rFonts w:ascii="Arial" w:hAnsi="Arial" w:cs="Arial"/>
      <w:b/>
      <w:sz w:val="22"/>
      <w:szCs w:val="24"/>
    </w:rPr>
  </w:style>
  <w:style w:type="character" w:customStyle="1" w:styleId="Kop4Char">
    <w:name w:val="Kop 4 Char"/>
    <w:basedOn w:val="Standaardalinea-lettertype"/>
    <w:link w:val="Kop4"/>
    <w:rsid w:val="00F6226F"/>
    <w:rPr>
      <w:rFonts w:ascii="Arial" w:hAnsi="Arial" w:cs="Arial"/>
      <w:sz w:val="52"/>
      <w:szCs w:val="24"/>
    </w:rPr>
  </w:style>
  <w:style w:type="character" w:customStyle="1" w:styleId="Kop5Char">
    <w:name w:val="Kop 5 Char"/>
    <w:basedOn w:val="Standaardalinea-lettertype"/>
    <w:link w:val="Kop5"/>
    <w:rsid w:val="00F6226F"/>
    <w:rPr>
      <w:rFonts w:ascii="Arial" w:hAnsi="Arial" w:cs="Arial"/>
      <w:i/>
      <w:szCs w:val="24"/>
    </w:rPr>
  </w:style>
  <w:style w:type="character" w:customStyle="1" w:styleId="Kop6Char">
    <w:name w:val="Kop 6 Char"/>
    <w:basedOn w:val="Standaardalinea-lettertype"/>
    <w:link w:val="Kop6"/>
    <w:rsid w:val="00F6226F"/>
    <w:rPr>
      <w:rFonts w:ascii="Arial" w:hAnsi="Arial" w:cs="Arial"/>
      <w:b/>
      <w:sz w:val="22"/>
      <w:szCs w:val="24"/>
    </w:rPr>
  </w:style>
  <w:style w:type="character" w:customStyle="1" w:styleId="Kop7Char">
    <w:name w:val="Kop 7 Char"/>
    <w:basedOn w:val="Standaardalinea-lettertype"/>
    <w:link w:val="Kop7"/>
    <w:rsid w:val="00F6226F"/>
    <w:rPr>
      <w:rFonts w:ascii="Arial" w:hAnsi="Arial" w:cs="Arial"/>
      <w:i/>
      <w:sz w:val="22"/>
      <w:szCs w:val="24"/>
    </w:rPr>
  </w:style>
  <w:style w:type="character" w:customStyle="1" w:styleId="Kop8Char">
    <w:name w:val="Kop 8 Char"/>
    <w:basedOn w:val="Standaardalinea-lettertype"/>
    <w:link w:val="Kop8"/>
    <w:rsid w:val="00F6226F"/>
    <w:rPr>
      <w:rFonts w:ascii="Arial" w:hAnsi="Arial" w:cs="Arial"/>
      <w:i/>
      <w:sz w:val="22"/>
      <w:szCs w:val="24"/>
      <w:lang w:val="en-US"/>
    </w:rPr>
  </w:style>
  <w:style w:type="character" w:customStyle="1" w:styleId="Kop9Char">
    <w:name w:val="Kop 9 Char"/>
    <w:basedOn w:val="Standaardalinea-lettertype"/>
    <w:link w:val="Kop9"/>
    <w:rsid w:val="00F6226F"/>
    <w:rPr>
      <w:rFonts w:ascii="Arial" w:hAnsi="Arial" w:cs="Arial"/>
      <w:b/>
      <w:snapToGrid w:val="0"/>
      <w:color w:val="000000"/>
      <w:sz w:val="18"/>
      <w:szCs w:val="24"/>
    </w:rPr>
  </w:style>
  <w:style w:type="paragraph" w:styleId="Plattetekst">
    <w:name w:val="Body Text"/>
    <w:basedOn w:val="Standaard"/>
    <w:link w:val="PlattetekstChar"/>
    <w:rsid w:val="00F6226F"/>
    <w:rPr>
      <w:sz w:val="24"/>
    </w:rPr>
  </w:style>
  <w:style w:type="character" w:customStyle="1" w:styleId="PlattetekstChar">
    <w:name w:val="Platte tekst Char"/>
    <w:basedOn w:val="Standaardalinea-lettertype"/>
    <w:link w:val="Plattetekst"/>
    <w:rsid w:val="00F6226F"/>
    <w:rPr>
      <w:rFonts w:ascii="Arial" w:hAnsi="Arial" w:cs="Arial"/>
      <w:sz w:val="24"/>
      <w:szCs w:val="24"/>
    </w:rPr>
  </w:style>
  <w:style w:type="paragraph" w:styleId="Voettekst">
    <w:name w:val="footer"/>
    <w:basedOn w:val="Standaard"/>
    <w:link w:val="VoettekstChar"/>
    <w:rsid w:val="00F6226F"/>
    <w:pPr>
      <w:tabs>
        <w:tab w:val="center" w:pos="4536"/>
        <w:tab w:val="right" w:pos="9072"/>
      </w:tabs>
    </w:pPr>
  </w:style>
  <w:style w:type="character" w:customStyle="1" w:styleId="VoettekstChar">
    <w:name w:val="Voettekst Char"/>
    <w:basedOn w:val="Standaardalinea-lettertype"/>
    <w:link w:val="Voettekst"/>
    <w:rsid w:val="00F6226F"/>
    <w:rPr>
      <w:rFonts w:ascii="Arial" w:hAnsi="Arial" w:cs="Arial"/>
      <w:szCs w:val="24"/>
    </w:rPr>
  </w:style>
  <w:style w:type="character" w:styleId="Paginanummer">
    <w:name w:val="page number"/>
    <w:basedOn w:val="Standaardalinea-lettertype"/>
    <w:rsid w:val="00F6226F"/>
  </w:style>
  <w:style w:type="paragraph" w:styleId="Plattetekst2">
    <w:name w:val="Body Text 2"/>
    <w:basedOn w:val="Standaard"/>
    <w:link w:val="Plattetekst2Char"/>
    <w:rsid w:val="00F6226F"/>
    <w:pPr>
      <w:jc w:val="center"/>
    </w:pPr>
    <w:rPr>
      <w:color w:val="FFFFFF"/>
      <w:sz w:val="16"/>
    </w:rPr>
  </w:style>
  <w:style w:type="character" w:customStyle="1" w:styleId="Plattetekst2Char">
    <w:name w:val="Platte tekst 2 Char"/>
    <w:basedOn w:val="Standaardalinea-lettertype"/>
    <w:link w:val="Plattetekst2"/>
    <w:rsid w:val="00F6226F"/>
    <w:rPr>
      <w:rFonts w:ascii="Arial" w:hAnsi="Arial" w:cs="Arial"/>
      <w:color w:val="FFFFFF"/>
      <w:sz w:val="16"/>
      <w:szCs w:val="24"/>
    </w:rPr>
  </w:style>
  <w:style w:type="paragraph" w:styleId="Plattetekst3">
    <w:name w:val="Body Text 3"/>
    <w:basedOn w:val="Standaard"/>
    <w:link w:val="Plattetekst3Char"/>
    <w:rsid w:val="00F6226F"/>
    <w:pPr>
      <w:jc w:val="both"/>
    </w:pPr>
    <w:rPr>
      <w:sz w:val="22"/>
    </w:rPr>
  </w:style>
  <w:style w:type="character" w:customStyle="1" w:styleId="Plattetekst3Char">
    <w:name w:val="Platte tekst 3 Char"/>
    <w:basedOn w:val="Standaardalinea-lettertype"/>
    <w:link w:val="Plattetekst3"/>
    <w:rsid w:val="00F6226F"/>
    <w:rPr>
      <w:rFonts w:ascii="Arial" w:hAnsi="Arial" w:cs="Arial"/>
      <w:sz w:val="22"/>
      <w:szCs w:val="24"/>
    </w:rPr>
  </w:style>
  <w:style w:type="paragraph" w:customStyle="1" w:styleId="xl24">
    <w:name w:val="xl24"/>
    <w:basedOn w:val="Standaard"/>
    <w:rsid w:val="00F6226F"/>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F6226F"/>
    <w:pPr>
      <w:spacing w:before="100" w:beforeAutospacing="1" w:after="100" w:afterAutospacing="1"/>
    </w:pPr>
    <w:rPr>
      <w:b/>
      <w:bCs/>
      <w:sz w:val="16"/>
      <w:szCs w:val="16"/>
    </w:rPr>
  </w:style>
  <w:style w:type="paragraph" w:customStyle="1" w:styleId="xl26">
    <w:name w:val="xl26"/>
    <w:basedOn w:val="Standaard"/>
    <w:rsid w:val="00F6226F"/>
    <w:pPr>
      <w:spacing w:before="100" w:beforeAutospacing="1" w:after="100" w:afterAutospacing="1"/>
    </w:pPr>
    <w:rPr>
      <w:sz w:val="16"/>
      <w:szCs w:val="16"/>
    </w:rPr>
  </w:style>
  <w:style w:type="paragraph" w:customStyle="1" w:styleId="xl27">
    <w:name w:val="xl27"/>
    <w:basedOn w:val="Standaard"/>
    <w:rsid w:val="00F6226F"/>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F6226F"/>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F6226F"/>
    <w:pPr>
      <w:spacing w:before="100" w:beforeAutospacing="1" w:after="100" w:afterAutospacing="1"/>
    </w:pPr>
    <w:rPr>
      <w:sz w:val="16"/>
      <w:szCs w:val="16"/>
    </w:rPr>
  </w:style>
  <w:style w:type="paragraph" w:customStyle="1" w:styleId="xl30">
    <w:name w:val="xl30"/>
    <w:basedOn w:val="Standaard"/>
    <w:rsid w:val="00F6226F"/>
    <w:pPr>
      <w:spacing w:before="100" w:beforeAutospacing="1" w:after="100" w:afterAutospacing="1"/>
    </w:pPr>
    <w:rPr>
      <w:b/>
      <w:bCs/>
      <w:color w:val="000000"/>
      <w:sz w:val="16"/>
      <w:szCs w:val="16"/>
    </w:rPr>
  </w:style>
  <w:style w:type="paragraph" w:customStyle="1" w:styleId="xl31">
    <w:name w:val="xl31"/>
    <w:basedOn w:val="Standaard"/>
    <w:rsid w:val="00F6226F"/>
    <w:pPr>
      <w:spacing w:before="100" w:beforeAutospacing="1" w:after="100" w:afterAutospacing="1"/>
    </w:pPr>
    <w:rPr>
      <w:color w:val="000000"/>
      <w:sz w:val="16"/>
      <w:szCs w:val="16"/>
    </w:rPr>
  </w:style>
  <w:style w:type="paragraph" w:customStyle="1" w:styleId="xl32">
    <w:name w:val="xl32"/>
    <w:basedOn w:val="Standaard"/>
    <w:rsid w:val="00F6226F"/>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F6226F"/>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F6226F"/>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F6226F"/>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F6226F"/>
    <w:pPr>
      <w:ind w:left="-540"/>
    </w:pPr>
  </w:style>
  <w:style w:type="character" w:customStyle="1" w:styleId="PlattetekstinspringenChar">
    <w:name w:val="Platte tekst inspringen Char"/>
    <w:basedOn w:val="Standaardalinea-lettertype"/>
    <w:link w:val="Plattetekstinspringen"/>
    <w:rsid w:val="00F6226F"/>
    <w:rPr>
      <w:rFonts w:ascii="Arial" w:hAnsi="Arial" w:cs="Arial"/>
      <w:szCs w:val="24"/>
    </w:rPr>
  </w:style>
  <w:style w:type="paragraph" w:customStyle="1" w:styleId="MinDefBodytekst">
    <w:name w:val="MinDef: Body tekst"/>
    <w:rsid w:val="00F6226F"/>
    <w:pPr>
      <w:spacing w:line="280" w:lineRule="exact"/>
      <w:ind w:left="1320" w:right="226"/>
    </w:pPr>
    <w:rPr>
      <w:rFonts w:ascii="Arial" w:hAnsi="Arial"/>
    </w:rPr>
  </w:style>
  <w:style w:type="paragraph" w:styleId="Bloktekst">
    <w:name w:val="Block Text"/>
    <w:basedOn w:val="Standaard"/>
    <w:rsid w:val="00F6226F"/>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F6226F"/>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F6226F"/>
    <w:rPr>
      <w:rFonts w:ascii="CG Times" w:hAnsi="CG Times" w:cs="Arial"/>
      <w:snapToGrid w:val="0"/>
      <w:sz w:val="24"/>
      <w:szCs w:val="24"/>
    </w:rPr>
  </w:style>
  <w:style w:type="paragraph" w:customStyle="1" w:styleId="MinDefDocumentnaam">
    <w:name w:val="MinDef: Documentnaam"/>
    <w:basedOn w:val="MinDefBodytekst"/>
    <w:next w:val="MinDefBodytekst"/>
    <w:rsid w:val="00F6226F"/>
    <w:pPr>
      <w:ind w:left="0" w:right="0"/>
    </w:pPr>
    <w:rPr>
      <w:b/>
      <w:sz w:val="28"/>
    </w:rPr>
  </w:style>
  <w:style w:type="paragraph" w:customStyle="1" w:styleId="MinDefRubricering">
    <w:name w:val="MinDef: Rubricering"/>
    <w:basedOn w:val="MinDefBodytekst"/>
    <w:next w:val="MinDefBodytekst"/>
    <w:rsid w:val="00F6226F"/>
    <w:pPr>
      <w:spacing w:line="240" w:lineRule="exact"/>
      <w:ind w:left="0" w:right="0"/>
    </w:pPr>
    <w:rPr>
      <w:b/>
      <w:caps/>
      <w:sz w:val="24"/>
    </w:rPr>
  </w:style>
  <w:style w:type="paragraph" w:customStyle="1" w:styleId="MinDefAfzenderMinDef">
    <w:name w:val="MinDef: Afzender MinDef"/>
    <w:basedOn w:val="MinDefBodytekst"/>
    <w:next w:val="MinDefBodytekst"/>
    <w:rsid w:val="00F6226F"/>
    <w:pPr>
      <w:spacing w:line="240" w:lineRule="exact"/>
      <w:ind w:left="0" w:right="0"/>
    </w:pPr>
    <w:rPr>
      <w:b/>
      <w:sz w:val="15"/>
    </w:rPr>
  </w:style>
  <w:style w:type="paragraph" w:customStyle="1" w:styleId="MinDefAfzendergegevens">
    <w:name w:val="MinDef: Afzendergegevens"/>
    <w:basedOn w:val="MinDefBodytekst"/>
    <w:next w:val="MinDefBodytekst"/>
    <w:rsid w:val="00F6226F"/>
    <w:pPr>
      <w:spacing w:line="210" w:lineRule="exact"/>
      <w:ind w:left="0" w:right="0"/>
    </w:pPr>
    <w:rPr>
      <w:sz w:val="15"/>
    </w:rPr>
  </w:style>
  <w:style w:type="paragraph" w:customStyle="1" w:styleId="MinDefReferentiekopjes">
    <w:name w:val="MinDef: Referentiekopjes"/>
    <w:basedOn w:val="MinDefBodytekst"/>
    <w:rsid w:val="00F6226F"/>
    <w:pPr>
      <w:ind w:left="0" w:right="0"/>
    </w:pPr>
    <w:rPr>
      <w:sz w:val="15"/>
    </w:rPr>
  </w:style>
  <w:style w:type="paragraph" w:customStyle="1" w:styleId="MinDefReferentiegegevens">
    <w:name w:val="MinDef: Referentiegegevens"/>
    <w:basedOn w:val="MinDefBodytekst"/>
    <w:rsid w:val="00F6226F"/>
    <w:pPr>
      <w:ind w:left="0" w:right="0"/>
    </w:pPr>
  </w:style>
  <w:style w:type="paragraph" w:customStyle="1" w:styleId="MinDefAdressering">
    <w:name w:val="MinDef: Adressering"/>
    <w:basedOn w:val="MinDefBodytekst"/>
    <w:rsid w:val="00F6226F"/>
    <w:pPr>
      <w:ind w:left="0" w:right="0"/>
    </w:pPr>
  </w:style>
  <w:style w:type="paragraph" w:customStyle="1" w:styleId="MinDefAfzenderOnderdeel">
    <w:name w:val="MinDef: Afzender Onderdeel"/>
    <w:basedOn w:val="MinDefAfzenderMinDef"/>
    <w:rsid w:val="00F6226F"/>
    <w:pPr>
      <w:spacing w:line="210" w:lineRule="exact"/>
    </w:pPr>
  </w:style>
  <w:style w:type="paragraph" w:customStyle="1" w:styleId="MinDefAanhef">
    <w:name w:val="MinDef: Aanhef"/>
    <w:basedOn w:val="MinDefBodytekst"/>
    <w:rsid w:val="00F6226F"/>
    <w:pPr>
      <w:ind w:left="0" w:right="0"/>
    </w:pPr>
  </w:style>
  <w:style w:type="paragraph" w:styleId="Voetnoottekst">
    <w:name w:val="footnote text"/>
    <w:basedOn w:val="Standaard"/>
    <w:link w:val="VoetnoottekstChar"/>
    <w:rsid w:val="00F6226F"/>
    <w:rPr>
      <w:rFonts w:ascii="Times New Roman" w:hAnsi="Times New Roman"/>
    </w:rPr>
  </w:style>
  <w:style w:type="character" w:customStyle="1" w:styleId="VoetnoottekstChar">
    <w:name w:val="Voetnoottekst Char"/>
    <w:basedOn w:val="Standaardalinea-lettertype"/>
    <w:link w:val="Voetnoottekst"/>
    <w:rsid w:val="00F6226F"/>
    <w:rPr>
      <w:rFonts w:cs="Arial"/>
      <w:szCs w:val="24"/>
    </w:rPr>
  </w:style>
  <w:style w:type="character" w:styleId="Voetnootmarkering">
    <w:name w:val="footnote reference"/>
    <w:basedOn w:val="Standaardalinea-lettertype"/>
    <w:rsid w:val="00F6226F"/>
    <w:rPr>
      <w:vertAlign w:val="superscript"/>
    </w:rPr>
  </w:style>
  <w:style w:type="paragraph" w:customStyle="1" w:styleId="Verslag">
    <w:name w:val="Verslag"/>
    <w:basedOn w:val="Plattetekstinspringen"/>
    <w:rsid w:val="00F6226F"/>
    <w:pPr>
      <w:tabs>
        <w:tab w:val="left" w:pos="454"/>
        <w:tab w:val="num" w:pos="720"/>
        <w:tab w:val="left" w:pos="794"/>
        <w:tab w:val="left" w:pos="1134"/>
        <w:tab w:val="left" w:pos="1474"/>
        <w:tab w:val="left" w:pos="5670"/>
      </w:tabs>
      <w:spacing w:after="120"/>
      <w:ind w:left="720" w:hanging="360"/>
    </w:pPr>
    <w:rPr>
      <w:rFonts w:ascii="Times New Roman" w:hAnsi="Times New Roman"/>
      <w:sz w:val="22"/>
    </w:rPr>
  </w:style>
  <w:style w:type="paragraph" w:styleId="Plattetekstinspringen2">
    <w:name w:val="Body Text Indent 2"/>
    <w:basedOn w:val="Standaard"/>
    <w:link w:val="Plattetekstinspringen2Char"/>
    <w:rsid w:val="00F6226F"/>
    <w:pPr>
      <w:ind w:left="1080"/>
    </w:pPr>
  </w:style>
  <w:style w:type="character" w:customStyle="1" w:styleId="Plattetekstinspringen2Char">
    <w:name w:val="Platte tekst inspringen 2 Char"/>
    <w:basedOn w:val="Standaardalinea-lettertype"/>
    <w:link w:val="Plattetekstinspringen2"/>
    <w:rsid w:val="00F6226F"/>
    <w:rPr>
      <w:rFonts w:ascii="Arial" w:hAnsi="Arial" w:cs="Arial"/>
      <w:szCs w:val="24"/>
    </w:rPr>
  </w:style>
  <w:style w:type="character" w:styleId="Verwijzingopmerking">
    <w:name w:val="annotation reference"/>
    <w:basedOn w:val="Standaardalinea-lettertype"/>
    <w:rsid w:val="00F6226F"/>
    <w:rPr>
      <w:sz w:val="16"/>
    </w:rPr>
  </w:style>
  <w:style w:type="paragraph" w:styleId="Tekstopmerking">
    <w:name w:val="annotation text"/>
    <w:basedOn w:val="Standaard"/>
    <w:link w:val="TekstopmerkingChar"/>
    <w:rsid w:val="00F6226F"/>
  </w:style>
  <w:style w:type="character" w:customStyle="1" w:styleId="TekstopmerkingChar">
    <w:name w:val="Tekst opmerking Char"/>
    <w:basedOn w:val="Standaardalinea-lettertype"/>
    <w:link w:val="Tekstopmerking"/>
    <w:rsid w:val="00F6226F"/>
    <w:rPr>
      <w:rFonts w:ascii="Arial" w:hAnsi="Arial" w:cs="Arial"/>
      <w:szCs w:val="24"/>
    </w:rPr>
  </w:style>
  <w:style w:type="paragraph" w:styleId="Ballontekst">
    <w:name w:val="Balloon Text"/>
    <w:basedOn w:val="Standaard"/>
    <w:link w:val="BallontekstChar"/>
    <w:rsid w:val="00F6226F"/>
    <w:rPr>
      <w:rFonts w:ascii="Tahoma" w:hAnsi="Tahoma" w:cs="Tahoma"/>
      <w:sz w:val="16"/>
      <w:szCs w:val="16"/>
    </w:rPr>
  </w:style>
  <w:style w:type="character" w:customStyle="1" w:styleId="BallontekstChar">
    <w:name w:val="Ballontekst Char"/>
    <w:basedOn w:val="Standaardalinea-lettertype"/>
    <w:link w:val="Ballontekst"/>
    <w:rsid w:val="00F6226F"/>
    <w:rPr>
      <w:rFonts w:ascii="Tahoma" w:hAnsi="Tahoma" w:cs="Tahoma"/>
      <w:sz w:val="16"/>
      <w:szCs w:val="16"/>
    </w:rPr>
  </w:style>
  <w:style w:type="character" w:styleId="Zwaar">
    <w:name w:val="Strong"/>
    <w:basedOn w:val="Standaardalinea-lettertype"/>
    <w:qFormat/>
    <w:rsid w:val="00F6226F"/>
    <w:rPr>
      <w:b/>
      <w:bCs/>
    </w:rPr>
  </w:style>
  <w:style w:type="paragraph" w:styleId="Onderwerpvanopmerking">
    <w:name w:val="annotation subject"/>
    <w:basedOn w:val="Tekstopmerking"/>
    <w:next w:val="Tekstopmerking"/>
    <w:link w:val="OnderwerpvanopmerkingChar"/>
    <w:rsid w:val="00F6226F"/>
    <w:rPr>
      <w:b/>
      <w:bCs/>
      <w:szCs w:val="20"/>
    </w:rPr>
  </w:style>
  <w:style w:type="character" w:customStyle="1" w:styleId="OnderwerpvanopmerkingChar">
    <w:name w:val="Onderwerp van opmerking Char"/>
    <w:basedOn w:val="TekstopmerkingChar"/>
    <w:link w:val="Onderwerpvanopmerking"/>
    <w:rsid w:val="00F6226F"/>
    <w:rPr>
      <w:rFonts w:ascii="Arial" w:hAnsi="Arial" w:cs="Arial"/>
      <w:b/>
      <w:bCs/>
      <w:szCs w:val="24"/>
    </w:rPr>
  </w:style>
  <w:style w:type="paragraph" w:styleId="Documentstructuur">
    <w:name w:val="Document Map"/>
    <w:basedOn w:val="Standaard"/>
    <w:link w:val="DocumentstructuurChar"/>
    <w:rsid w:val="00F6226F"/>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F6226F"/>
    <w:rPr>
      <w:rFonts w:ascii="Tahoma" w:hAnsi="Tahoma" w:cs="Tahoma"/>
      <w:shd w:val="clear" w:color="auto" w:fill="000080"/>
    </w:rPr>
  </w:style>
  <w:style w:type="character" w:customStyle="1" w:styleId="Voetnoottekens">
    <w:name w:val="Voetnoottekens"/>
    <w:basedOn w:val="Standaardalinea-lettertype"/>
    <w:rsid w:val="00F6226F"/>
    <w:rPr>
      <w:rFonts w:cs="Times New Roman"/>
      <w:vertAlign w:val="superscript"/>
    </w:rPr>
  </w:style>
  <w:style w:type="paragraph" w:styleId="Lijstalinea">
    <w:name w:val="List Paragraph"/>
    <w:basedOn w:val="Standaard"/>
    <w:uiPriority w:val="34"/>
    <w:qFormat/>
    <w:rsid w:val="00F6226F"/>
    <w:pPr>
      <w:spacing w:after="120" w:line="274" w:lineRule="auto"/>
      <w:ind w:left="720"/>
      <w:contextualSpacing/>
    </w:pPr>
    <w:rPr>
      <w:rFonts w:ascii="Verdana" w:hAnsi="Verdana" w:cs="Times New Roman"/>
      <w:sz w:val="18"/>
      <w:lang w:eastAsia="bg-BG"/>
    </w:rPr>
  </w:style>
  <w:style w:type="paragraph" w:customStyle="1" w:styleId="CharCharCharCharCharCharCharCharCharChar">
    <w:name w:val="Char Char Char Char Char Char Char Char Char Char"/>
    <w:basedOn w:val="Standaard"/>
    <w:rsid w:val="00F6226F"/>
    <w:pPr>
      <w:spacing w:after="160" w:line="240" w:lineRule="exact"/>
    </w:pPr>
    <w:rPr>
      <w:rFonts w:ascii="Tahoma" w:hAnsi="Tahoma" w:cs="Times New Roman"/>
      <w:szCs w:val="20"/>
      <w:lang w:val="en-US" w:eastAsia="en-US"/>
    </w:rPr>
  </w:style>
  <w:style w:type="paragraph" w:styleId="Revisie">
    <w:name w:val="Revision"/>
    <w:hidden/>
    <w:uiPriority w:val="99"/>
    <w:semiHidden/>
    <w:rsid w:val="00F6226F"/>
    <w:rPr>
      <w:rFonts w:ascii="Arial" w:hAnsi="Arial" w:cs="Arial"/>
      <w:szCs w:val="24"/>
    </w:rPr>
  </w:style>
  <w:style w:type="paragraph" w:customStyle="1" w:styleId="Default">
    <w:name w:val="Default"/>
    <w:rsid w:val="00F6226F"/>
    <w:pPr>
      <w:autoSpaceDE w:val="0"/>
      <w:autoSpaceDN w:val="0"/>
      <w:adjustRightInd w:val="0"/>
    </w:pPr>
    <w:rPr>
      <w:rFonts w:ascii="Arial" w:hAnsi="Arial" w:cs="Arial"/>
      <w:color w:val="000000"/>
      <w:sz w:val="24"/>
      <w:szCs w:val="24"/>
      <w:lang w:eastAsia="en-US"/>
    </w:rPr>
  </w:style>
  <w:style w:type="paragraph" w:customStyle="1" w:styleId="Toelichting">
    <w:name w:val="Toelichting"/>
    <w:basedOn w:val="Standaard"/>
    <w:rsid w:val="00F6226F"/>
    <w:pPr>
      <w:spacing w:line="240" w:lineRule="atLeast"/>
      <w:ind w:left="851" w:hanging="851"/>
    </w:pPr>
    <w:rPr>
      <w:rFonts w:ascii="Book Antiqua" w:eastAsiaTheme="minorHAnsi" w:hAnsi="Book Antiqua" w:cs="Times New Roman"/>
      <w:sz w:val="22"/>
      <w:szCs w:val="22"/>
    </w:rPr>
  </w:style>
  <w:style w:type="paragraph" w:styleId="Bijschrift">
    <w:name w:val="caption"/>
    <w:basedOn w:val="Standaard"/>
    <w:next w:val="Standaard"/>
    <w:unhideWhenUsed/>
    <w:qFormat/>
    <w:rsid w:val="00F6226F"/>
    <w:pPr>
      <w:spacing w:after="200"/>
    </w:pPr>
    <w:rPr>
      <w:b/>
      <w:bCs/>
      <w:i/>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226F"/>
    <w:rPr>
      <w:rFonts w:ascii="Arial" w:hAnsi="Arial" w:cs="Arial"/>
      <w:szCs w:val="24"/>
    </w:rPr>
  </w:style>
  <w:style w:type="paragraph" w:styleId="Kop1">
    <w:name w:val="heading 1"/>
    <w:basedOn w:val="Standaard"/>
    <w:next w:val="Standaard"/>
    <w:link w:val="Kop1Char"/>
    <w:qFormat/>
    <w:rsid w:val="00F6226F"/>
    <w:pPr>
      <w:keepNext/>
      <w:outlineLvl w:val="0"/>
    </w:pPr>
    <w:rPr>
      <w:sz w:val="24"/>
      <w:lang w:val="en-US"/>
    </w:rPr>
  </w:style>
  <w:style w:type="paragraph" w:styleId="Kop2">
    <w:name w:val="heading 2"/>
    <w:basedOn w:val="Standaard"/>
    <w:next w:val="Standaard"/>
    <w:link w:val="Kop2Char"/>
    <w:qFormat/>
    <w:rsid w:val="00F6226F"/>
    <w:pPr>
      <w:keepNext/>
      <w:outlineLvl w:val="1"/>
    </w:pPr>
    <w:rPr>
      <w:i/>
      <w:sz w:val="24"/>
    </w:rPr>
  </w:style>
  <w:style w:type="paragraph" w:styleId="Kop3">
    <w:name w:val="heading 3"/>
    <w:basedOn w:val="Standaard"/>
    <w:next w:val="Standaard"/>
    <w:link w:val="Kop3Char"/>
    <w:qFormat/>
    <w:rsid w:val="00F6226F"/>
    <w:pPr>
      <w:keepNext/>
      <w:outlineLvl w:val="2"/>
    </w:pPr>
    <w:rPr>
      <w:b/>
      <w:sz w:val="22"/>
    </w:rPr>
  </w:style>
  <w:style w:type="paragraph" w:styleId="Kop4">
    <w:name w:val="heading 4"/>
    <w:aliases w:val="tekst 4e niveau,tussenkop 4e niveau"/>
    <w:basedOn w:val="Standaard"/>
    <w:next w:val="Standaard"/>
    <w:link w:val="Kop4Char"/>
    <w:qFormat/>
    <w:rsid w:val="00F6226F"/>
    <w:pPr>
      <w:keepNext/>
      <w:outlineLvl w:val="3"/>
    </w:pPr>
    <w:rPr>
      <w:sz w:val="52"/>
    </w:rPr>
  </w:style>
  <w:style w:type="paragraph" w:styleId="Kop5">
    <w:name w:val="heading 5"/>
    <w:basedOn w:val="Standaard"/>
    <w:next w:val="Standaard"/>
    <w:link w:val="Kop5Char"/>
    <w:qFormat/>
    <w:rsid w:val="00F6226F"/>
    <w:pPr>
      <w:keepNext/>
      <w:jc w:val="both"/>
      <w:outlineLvl w:val="4"/>
    </w:pPr>
    <w:rPr>
      <w:i/>
    </w:rPr>
  </w:style>
  <w:style w:type="paragraph" w:styleId="Kop6">
    <w:name w:val="heading 6"/>
    <w:basedOn w:val="Standaard"/>
    <w:next w:val="Standaard"/>
    <w:link w:val="Kop6Char"/>
    <w:qFormat/>
    <w:rsid w:val="00F6226F"/>
    <w:pPr>
      <w:keepNext/>
      <w:jc w:val="both"/>
      <w:outlineLvl w:val="5"/>
    </w:pPr>
    <w:rPr>
      <w:b/>
      <w:sz w:val="22"/>
    </w:rPr>
  </w:style>
  <w:style w:type="paragraph" w:styleId="Kop7">
    <w:name w:val="heading 7"/>
    <w:basedOn w:val="Standaard"/>
    <w:next w:val="Standaard"/>
    <w:link w:val="Kop7Char"/>
    <w:qFormat/>
    <w:rsid w:val="00F6226F"/>
    <w:pPr>
      <w:keepNext/>
      <w:jc w:val="both"/>
      <w:outlineLvl w:val="6"/>
    </w:pPr>
    <w:rPr>
      <w:i/>
      <w:sz w:val="22"/>
    </w:rPr>
  </w:style>
  <w:style w:type="paragraph" w:styleId="Kop8">
    <w:name w:val="heading 8"/>
    <w:basedOn w:val="Standaard"/>
    <w:next w:val="Standaard"/>
    <w:link w:val="Kop8Char"/>
    <w:qFormat/>
    <w:rsid w:val="00F6226F"/>
    <w:pPr>
      <w:keepNext/>
      <w:outlineLvl w:val="7"/>
    </w:pPr>
    <w:rPr>
      <w:i/>
      <w:sz w:val="22"/>
      <w:lang w:val="en-US"/>
    </w:rPr>
  </w:style>
  <w:style w:type="paragraph" w:styleId="Kop9">
    <w:name w:val="heading 9"/>
    <w:basedOn w:val="Standaard"/>
    <w:next w:val="Standaard"/>
    <w:link w:val="Kop9Char"/>
    <w:qFormat/>
    <w:rsid w:val="00F6226F"/>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6226F"/>
    <w:rPr>
      <w:rFonts w:ascii="Arial" w:hAnsi="Arial" w:cs="Arial"/>
      <w:sz w:val="24"/>
      <w:szCs w:val="24"/>
      <w:lang w:val="en-US"/>
    </w:rPr>
  </w:style>
  <w:style w:type="character" w:customStyle="1" w:styleId="Kop2Char">
    <w:name w:val="Kop 2 Char"/>
    <w:basedOn w:val="Standaardalinea-lettertype"/>
    <w:link w:val="Kop2"/>
    <w:rsid w:val="00F6226F"/>
    <w:rPr>
      <w:rFonts w:ascii="Arial" w:hAnsi="Arial" w:cs="Arial"/>
      <w:i/>
      <w:sz w:val="24"/>
      <w:szCs w:val="24"/>
    </w:rPr>
  </w:style>
  <w:style w:type="character" w:customStyle="1" w:styleId="Kop3Char">
    <w:name w:val="Kop 3 Char"/>
    <w:basedOn w:val="Standaardalinea-lettertype"/>
    <w:link w:val="Kop3"/>
    <w:rsid w:val="00F6226F"/>
    <w:rPr>
      <w:rFonts w:ascii="Arial" w:hAnsi="Arial" w:cs="Arial"/>
      <w:b/>
      <w:sz w:val="22"/>
      <w:szCs w:val="24"/>
    </w:rPr>
  </w:style>
  <w:style w:type="character" w:customStyle="1" w:styleId="Kop4Char">
    <w:name w:val="Kop 4 Char"/>
    <w:basedOn w:val="Standaardalinea-lettertype"/>
    <w:link w:val="Kop4"/>
    <w:rsid w:val="00F6226F"/>
    <w:rPr>
      <w:rFonts w:ascii="Arial" w:hAnsi="Arial" w:cs="Arial"/>
      <w:sz w:val="52"/>
      <w:szCs w:val="24"/>
    </w:rPr>
  </w:style>
  <w:style w:type="character" w:customStyle="1" w:styleId="Kop5Char">
    <w:name w:val="Kop 5 Char"/>
    <w:basedOn w:val="Standaardalinea-lettertype"/>
    <w:link w:val="Kop5"/>
    <w:rsid w:val="00F6226F"/>
    <w:rPr>
      <w:rFonts w:ascii="Arial" w:hAnsi="Arial" w:cs="Arial"/>
      <w:i/>
      <w:szCs w:val="24"/>
    </w:rPr>
  </w:style>
  <w:style w:type="character" w:customStyle="1" w:styleId="Kop6Char">
    <w:name w:val="Kop 6 Char"/>
    <w:basedOn w:val="Standaardalinea-lettertype"/>
    <w:link w:val="Kop6"/>
    <w:rsid w:val="00F6226F"/>
    <w:rPr>
      <w:rFonts w:ascii="Arial" w:hAnsi="Arial" w:cs="Arial"/>
      <w:b/>
      <w:sz w:val="22"/>
      <w:szCs w:val="24"/>
    </w:rPr>
  </w:style>
  <w:style w:type="character" w:customStyle="1" w:styleId="Kop7Char">
    <w:name w:val="Kop 7 Char"/>
    <w:basedOn w:val="Standaardalinea-lettertype"/>
    <w:link w:val="Kop7"/>
    <w:rsid w:val="00F6226F"/>
    <w:rPr>
      <w:rFonts w:ascii="Arial" w:hAnsi="Arial" w:cs="Arial"/>
      <w:i/>
      <w:sz w:val="22"/>
      <w:szCs w:val="24"/>
    </w:rPr>
  </w:style>
  <w:style w:type="character" w:customStyle="1" w:styleId="Kop8Char">
    <w:name w:val="Kop 8 Char"/>
    <w:basedOn w:val="Standaardalinea-lettertype"/>
    <w:link w:val="Kop8"/>
    <w:rsid w:val="00F6226F"/>
    <w:rPr>
      <w:rFonts w:ascii="Arial" w:hAnsi="Arial" w:cs="Arial"/>
      <w:i/>
      <w:sz w:val="22"/>
      <w:szCs w:val="24"/>
      <w:lang w:val="en-US"/>
    </w:rPr>
  </w:style>
  <w:style w:type="character" w:customStyle="1" w:styleId="Kop9Char">
    <w:name w:val="Kop 9 Char"/>
    <w:basedOn w:val="Standaardalinea-lettertype"/>
    <w:link w:val="Kop9"/>
    <w:rsid w:val="00F6226F"/>
    <w:rPr>
      <w:rFonts w:ascii="Arial" w:hAnsi="Arial" w:cs="Arial"/>
      <w:b/>
      <w:snapToGrid w:val="0"/>
      <w:color w:val="000000"/>
      <w:sz w:val="18"/>
      <w:szCs w:val="24"/>
    </w:rPr>
  </w:style>
  <w:style w:type="paragraph" w:styleId="Plattetekst">
    <w:name w:val="Body Text"/>
    <w:basedOn w:val="Standaard"/>
    <w:link w:val="PlattetekstChar"/>
    <w:rsid w:val="00F6226F"/>
    <w:rPr>
      <w:sz w:val="24"/>
    </w:rPr>
  </w:style>
  <w:style w:type="character" w:customStyle="1" w:styleId="PlattetekstChar">
    <w:name w:val="Platte tekst Char"/>
    <w:basedOn w:val="Standaardalinea-lettertype"/>
    <w:link w:val="Plattetekst"/>
    <w:rsid w:val="00F6226F"/>
    <w:rPr>
      <w:rFonts w:ascii="Arial" w:hAnsi="Arial" w:cs="Arial"/>
      <w:sz w:val="24"/>
      <w:szCs w:val="24"/>
    </w:rPr>
  </w:style>
  <w:style w:type="paragraph" w:styleId="Voettekst">
    <w:name w:val="footer"/>
    <w:basedOn w:val="Standaard"/>
    <w:link w:val="VoettekstChar"/>
    <w:rsid w:val="00F6226F"/>
    <w:pPr>
      <w:tabs>
        <w:tab w:val="center" w:pos="4536"/>
        <w:tab w:val="right" w:pos="9072"/>
      </w:tabs>
    </w:pPr>
  </w:style>
  <w:style w:type="character" w:customStyle="1" w:styleId="VoettekstChar">
    <w:name w:val="Voettekst Char"/>
    <w:basedOn w:val="Standaardalinea-lettertype"/>
    <w:link w:val="Voettekst"/>
    <w:rsid w:val="00F6226F"/>
    <w:rPr>
      <w:rFonts w:ascii="Arial" w:hAnsi="Arial" w:cs="Arial"/>
      <w:szCs w:val="24"/>
    </w:rPr>
  </w:style>
  <w:style w:type="character" w:styleId="Paginanummer">
    <w:name w:val="page number"/>
    <w:basedOn w:val="Standaardalinea-lettertype"/>
    <w:rsid w:val="00F6226F"/>
  </w:style>
  <w:style w:type="paragraph" w:styleId="Plattetekst2">
    <w:name w:val="Body Text 2"/>
    <w:basedOn w:val="Standaard"/>
    <w:link w:val="Plattetekst2Char"/>
    <w:rsid w:val="00F6226F"/>
    <w:pPr>
      <w:jc w:val="center"/>
    </w:pPr>
    <w:rPr>
      <w:color w:val="FFFFFF"/>
      <w:sz w:val="16"/>
    </w:rPr>
  </w:style>
  <w:style w:type="character" w:customStyle="1" w:styleId="Plattetekst2Char">
    <w:name w:val="Platte tekst 2 Char"/>
    <w:basedOn w:val="Standaardalinea-lettertype"/>
    <w:link w:val="Plattetekst2"/>
    <w:rsid w:val="00F6226F"/>
    <w:rPr>
      <w:rFonts w:ascii="Arial" w:hAnsi="Arial" w:cs="Arial"/>
      <w:color w:val="FFFFFF"/>
      <w:sz w:val="16"/>
      <w:szCs w:val="24"/>
    </w:rPr>
  </w:style>
  <w:style w:type="paragraph" w:styleId="Plattetekst3">
    <w:name w:val="Body Text 3"/>
    <w:basedOn w:val="Standaard"/>
    <w:link w:val="Plattetekst3Char"/>
    <w:rsid w:val="00F6226F"/>
    <w:pPr>
      <w:jc w:val="both"/>
    </w:pPr>
    <w:rPr>
      <w:sz w:val="22"/>
    </w:rPr>
  </w:style>
  <w:style w:type="character" w:customStyle="1" w:styleId="Plattetekst3Char">
    <w:name w:val="Platte tekst 3 Char"/>
    <w:basedOn w:val="Standaardalinea-lettertype"/>
    <w:link w:val="Plattetekst3"/>
    <w:rsid w:val="00F6226F"/>
    <w:rPr>
      <w:rFonts w:ascii="Arial" w:hAnsi="Arial" w:cs="Arial"/>
      <w:sz w:val="22"/>
      <w:szCs w:val="24"/>
    </w:rPr>
  </w:style>
  <w:style w:type="paragraph" w:customStyle="1" w:styleId="xl24">
    <w:name w:val="xl24"/>
    <w:basedOn w:val="Standaard"/>
    <w:rsid w:val="00F6226F"/>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F6226F"/>
    <w:pPr>
      <w:spacing w:before="100" w:beforeAutospacing="1" w:after="100" w:afterAutospacing="1"/>
    </w:pPr>
    <w:rPr>
      <w:b/>
      <w:bCs/>
      <w:sz w:val="16"/>
      <w:szCs w:val="16"/>
    </w:rPr>
  </w:style>
  <w:style w:type="paragraph" w:customStyle="1" w:styleId="xl26">
    <w:name w:val="xl26"/>
    <w:basedOn w:val="Standaard"/>
    <w:rsid w:val="00F6226F"/>
    <w:pPr>
      <w:spacing w:before="100" w:beforeAutospacing="1" w:after="100" w:afterAutospacing="1"/>
    </w:pPr>
    <w:rPr>
      <w:sz w:val="16"/>
      <w:szCs w:val="16"/>
    </w:rPr>
  </w:style>
  <w:style w:type="paragraph" w:customStyle="1" w:styleId="xl27">
    <w:name w:val="xl27"/>
    <w:basedOn w:val="Standaard"/>
    <w:rsid w:val="00F6226F"/>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F6226F"/>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F6226F"/>
    <w:pPr>
      <w:spacing w:before="100" w:beforeAutospacing="1" w:after="100" w:afterAutospacing="1"/>
    </w:pPr>
    <w:rPr>
      <w:sz w:val="16"/>
      <w:szCs w:val="16"/>
    </w:rPr>
  </w:style>
  <w:style w:type="paragraph" w:customStyle="1" w:styleId="xl30">
    <w:name w:val="xl30"/>
    <w:basedOn w:val="Standaard"/>
    <w:rsid w:val="00F6226F"/>
    <w:pPr>
      <w:spacing w:before="100" w:beforeAutospacing="1" w:after="100" w:afterAutospacing="1"/>
    </w:pPr>
    <w:rPr>
      <w:b/>
      <w:bCs/>
      <w:color w:val="000000"/>
      <w:sz w:val="16"/>
      <w:szCs w:val="16"/>
    </w:rPr>
  </w:style>
  <w:style w:type="paragraph" w:customStyle="1" w:styleId="xl31">
    <w:name w:val="xl31"/>
    <w:basedOn w:val="Standaard"/>
    <w:rsid w:val="00F6226F"/>
    <w:pPr>
      <w:spacing w:before="100" w:beforeAutospacing="1" w:after="100" w:afterAutospacing="1"/>
    </w:pPr>
    <w:rPr>
      <w:color w:val="000000"/>
      <w:sz w:val="16"/>
      <w:szCs w:val="16"/>
    </w:rPr>
  </w:style>
  <w:style w:type="paragraph" w:customStyle="1" w:styleId="xl32">
    <w:name w:val="xl32"/>
    <w:basedOn w:val="Standaard"/>
    <w:rsid w:val="00F6226F"/>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F6226F"/>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F6226F"/>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F6226F"/>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F6226F"/>
    <w:pPr>
      <w:ind w:left="-540"/>
    </w:pPr>
  </w:style>
  <w:style w:type="character" w:customStyle="1" w:styleId="PlattetekstinspringenChar">
    <w:name w:val="Platte tekst inspringen Char"/>
    <w:basedOn w:val="Standaardalinea-lettertype"/>
    <w:link w:val="Plattetekstinspringen"/>
    <w:rsid w:val="00F6226F"/>
    <w:rPr>
      <w:rFonts w:ascii="Arial" w:hAnsi="Arial" w:cs="Arial"/>
      <w:szCs w:val="24"/>
    </w:rPr>
  </w:style>
  <w:style w:type="paragraph" w:customStyle="1" w:styleId="MinDefBodytekst">
    <w:name w:val="MinDef: Body tekst"/>
    <w:rsid w:val="00F6226F"/>
    <w:pPr>
      <w:spacing w:line="280" w:lineRule="exact"/>
      <w:ind w:left="1320" w:right="226"/>
    </w:pPr>
    <w:rPr>
      <w:rFonts w:ascii="Arial" w:hAnsi="Arial"/>
    </w:rPr>
  </w:style>
  <w:style w:type="paragraph" w:styleId="Bloktekst">
    <w:name w:val="Block Text"/>
    <w:basedOn w:val="Standaard"/>
    <w:rsid w:val="00F6226F"/>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F6226F"/>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F6226F"/>
    <w:rPr>
      <w:rFonts w:ascii="CG Times" w:hAnsi="CG Times" w:cs="Arial"/>
      <w:snapToGrid w:val="0"/>
      <w:sz w:val="24"/>
      <w:szCs w:val="24"/>
    </w:rPr>
  </w:style>
  <w:style w:type="paragraph" w:customStyle="1" w:styleId="MinDefDocumentnaam">
    <w:name w:val="MinDef: Documentnaam"/>
    <w:basedOn w:val="MinDefBodytekst"/>
    <w:next w:val="MinDefBodytekst"/>
    <w:rsid w:val="00F6226F"/>
    <w:pPr>
      <w:ind w:left="0" w:right="0"/>
    </w:pPr>
    <w:rPr>
      <w:b/>
      <w:sz w:val="28"/>
    </w:rPr>
  </w:style>
  <w:style w:type="paragraph" w:customStyle="1" w:styleId="MinDefRubricering">
    <w:name w:val="MinDef: Rubricering"/>
    <w:basedOn w:val="MinDefBodytekst"/>
    <w:next w:val="MinDefBodytekst"/>
    <w:rsid w:val="00F6226F"/>
    <w:pPr>
      <w:spacing w:line="240" w:lineRule="exact"/>
      <w:ind w:left="0" w:right="0"/>
    </w:pPr>
    <w:rPr>
      <w:b/>
      <w:caps/>
      <w:sz w:val="24"/>
    </w:rPr>
  </w:style>
  <w:style w:type="paragraph" w:customStyle="1" w:styleId="MinDefAfzenderMinDef">
    <w:name w:val="MinDef: Afzender MinDef"/>
    <w:basedOn w:val="MinDefBodytekst"/>
    <w:next w:val="MinDefBodytekst"/>
    <w:rsid w:val="00F6226F"/>
    <w:pPr>
      <w:spacing w:line="240" w:lineRule="exact"/>
      <w:ind w:left="0" w:right="0"/>
    </w:pPr>
    <w:rPr>
      <w:b/>
      <w:sz w:val="15"/>
    </w:rPr>
  </w:style>
  <w:style w:type="paragraph" w:customStyle="1" w:styleId="MinDefAfzendergegevens">
    <w:name w:val="MinDef: Afzendergegevens"/>
    <w:basedOn w:val="MinDefBodytekst"/>
    <w:next w:val="MinDefBodytekst"/>
    <w:rsid w:val="00F6226F"/>
    <w:pPr>
      <w:spacing w:line="210" w:lineRule="exact"/>
      <w:ind w:left="0" w:right="0"/>
    </w:pPr>
    <w:rPr>
      <w:sz w:val="15"/>
    </w:rPr>
  </w:style>
  <w:style w:type="paragraph" w:customStyle="1" w:styleId="MinDefReferentiekopjes">
    <w:name w:val="MinDef: Referentiekopjes"/>
    <w:basedOn w:val="MinDefBodytekst"/>
    <w:rsid w:val="00F6226F"/>
    <w:pPr>
      <w:ind w:left="0" w:right="0"/>
    </w:pPr>
    <w:rPr>
      <w:sz w:val="15"/>
    </w:rPr>
  </w:style>
  <w:style w:type="paragraph" w:customStyle="1" w:styleId="MinDefReferentiegegevens">
    <w:name w:val="MinDef: Referentiegegevens"/>
    <w:basedOn w:val="MinDefBodytekst"/>
    <w:rsid w:val="00F6226F"/>
    <w:pPr>
      <w:ind w:left="0" w:right="0"/>
    </w:pPr>
  </w:style>
  <w:style w:type="paragraph" w:customStyle="1" w:styleId="MinDefAdressering">
    <w:name w:val="MinDef: Adressering"/>
    <w:basedOn w:val="MinDefBodytekst"/>
    <w:rsid w:val="00F6226F"/>
    <w:pPr>
      <w:ind w:left="0" w:right="0"/>
    </w:pPr>
  </w:style>
  <w:style w:type="paragraph" w:customStyle="1" w:styleId="MinDefAfzenderOnderdeel">
    <w:name w:val="MinDef: Afzender Onderdeel"/>
    <w:basedOn w:val="MinDefAfzenderMinDef"/>
    <w:rsid w:val="00F6226F"/>
    <w:pPr>
      <w:spacing w:line="210" w:lineRule="exact"/>
    </w:pPr>
  </w:style>
  <w:style w:type="paragraph" w:customStyle="1" w:styleId="MinDefAanhef">
    <w:name w:val="MinDef: Aanhef"/>
    <w:basedOn w:val="MinDefBodytekst"/>
    <w:rsid w:val="00F6226F"/>
    <w:pPr>
      <w:ind w:left="0" w:right="0"/>
    </w:pPr>
  </w:style>
  <w:style w:type="paragraph" w:styleId="Voetnoottekst">
    <w:name w:val="footnote text"/>
    <w:basedOn w:val="Standaard"/>
    <w:link w:val="VoetnoottekstChar"/>
    <w:rsid w:val="00F6226F"/>
    <w:rPr>
      <w:rFonts w:ascii="Times New Roman" w:hAnsi="Times New Roman"/>
    </w:rPr>
  </w:style>
  <w:style w:type="character" w:customStyle="1" w:styleId="VoetnoottekstChar">
    <w:name w:val="Voetnoottekst Char"/>
    <w:basedOn w:val="Standaardalinea-lettertype"/>
    <w:link w:val="Voetnoottekst"/>
    <w:rsid w:val="00F6226F"/>
    <w:rPr>
      <w:rFonts w:cs="Arial"/>
      <w:szCs w:val="24"/>
    </w:rPr>
  </w:style>
  <w:style w:type="character" w:styleId="Voetnootmarkering">
    <w:name w:val="footnote reference"/>
    <w:basedOn w:val="Standaardalinea-lettertype"/>
    <w:rsid w:val="00F6226F"/>
    <w:rPr>
      <w:vertAlign w:val="superscript"/>
    </w:rPr>
  </w:style>
  <w:style w:type="paragraph" w:customStyle="1" w:styleId="Verslag">
    <w:name w:val="Verslag"/>
    <w:basedOn w:val="Plattetekstinspringen"/>
    <w:rsid w:val="00F6226F"/>
    <w:pPr>
      <w:tabs>
        <w:tab w:val="left" w:pos="454"/>
        <w:tab w:val="num" w:pos="720"/>
        <w:tab w:val="left" w:pos="794"/>
        <w:tab w:val="left" w:pos="1134"/>
        <w:tab w:val="left" w:pos="1474"/>
        <w:tab w:val="left" w:pos="5670"/>
      </w:tabs>
      <w:spacing w:after="120"/>
      <w:ind w:left="720" w:hanging="360"/>
    </w:pPr>
    <w:rPr>
      <w:rFonts w:ascii="Times New Roman" w:hAnsi="Times New Roman"/>
      <w:sz w:val="22"/>
    </w:rPr>
  </w:style>
  <w:style w:type="paragraph" w:styleId="Plattetekstinspringen2">
    <w:name w:val="Body Text Indent 2"/>
    <w:basedOn w:val="Standaard"/>
    <w:link w:val="Plattetekstinspringen2Char"/>
    <w:rsid w:val="00F6226F"/>
    <w:pPr>
      <w:ind w:left="1080"/>
    </w:pPr>
  </w:style>
  <w:style w:type="character" w:customStyle="1" w:styleId="Plattetekstinspringen2Char">
    <w:name w:val="Platte tekst inspringen 2 Char"/>
    <w:basedOn w:val="Standaardalinea-lettertype"/>
    <w:link w:val="Plattetekstinspringen2"/>
    <w:rsid w:val="00F6226F"/>
    <w:rPr>
      <w:rFonts w:ascii="Arial" w:hAnsi="Arial" w:cs="Arial"/>
      <w:szCs w:val="24"/>
    </w:rPr>
  </w:style>
  <w:style w:type="character" w:styleId="Verwijzingopmerking">
    <w:name w:val="annotation reference"/>
    <w:basedOn w:val="Standaardalinea-lettertype"/>
    <w:rsid w:val="00F6226F"/>
    <w:rPr>
      <w:sz w:val="16"/>
    </w:rPr>
  </w:style>
  <w:style w:type="paragraph" w:styleId="Tekstopmerking">
    <w:name w:val="annotation text"/>
    <w:basedOn w:val="Standaard"/>
    <w:link w:val="TekstopmerkingChar"/>
    <w:rsid w:val="00F6226F"/>
  </w:style>
  <w:style w:type="character" w:customStyle="1" w:styleId="TekstopmerkingChar">
    <w:name w:val="Tekst opmerking Char"/>
    <w:basedOn w:val="Standaardalinea-lettertype"/>
    <w:link w:val="Tekstopmerking"/>
    <w:rsid w:val="00F6226F"/>
    <w:rPr>
      <w:rFonts w:ascii="Arial" w:hAnsi="Arial" w:cs="Arial"/>
      <w:szCs w:val="24"/>
    </w:rPr>
  </w:style>
  <w:style w:type="paragraph" w:styleId="Ballontekst">
    <w:name w:val="Balloon Text"/>
    <w:basedOn w:val="Standaard"/>
    <w:link w:val="BallontekstChar"/>
    <w:rsid w:val="00F6226F"/>
    <w:rPr>
      <w:rFonts w:ascii="Tahoma" w:hAnsi="Tahoma" w:cs="Tahoma"/>
      <w:sz w:val="16"/>
      <w:szCs w:val="16"/>
    </w:rPr>
  </w:style>
  <w:style w:type="character" w:customStyle="1" w:styleId="BallontekstChar">
    <w:name w:val="Ballontekst Char"/>
    <w:basedOn w:val="Standaardalinea-lettertype"/>
    <w:link w:val="Ballontekst"/>
    <w:rsid w:val="00F6226F"/>
    <w:rPr>
      <w:rFonts w:ascii="Tahoma" w:hAnsi="Tahoma" w:cs="Tahoma"/>
      <w:sz w:val="16"/>
      <w:szCs w:val="16"/>
    </w:rPr>
  </w:style>
  <w:style w:type="character" w:styleId="Zwaar">
    <w:name w:val="Strong"/>
    <w:basedOn w:val="Standaardalinea-lettertype"/>
    <w:qFormat/>
    <w:rsid w:val="00F6226F"/>
    <w:rPr>
      <w:b/>
      <w:bCs/>
    </w:rPr>
  </w:style>
  <w:style w:type="paragraph" w:styleId="Onderwerpvanopmerking">
    <w:name w:val="annotation subject"/>
    <w:basedOn w:val="Tekstopmerking"/>
    <w:next w:val="Tekstopmerking"/>
    <w:link w:val="OnderwerpvanopmerkingChar"/>
    <w:rsid w:val="00F6226F"/>
    <w:rPr>
      <w:b/>
      <w:bCs/>
      <w:szCs w:val="20"/>
    </w:rPr>
  </w:style>
  <w:style w:type="character" w:customStyle="1" w:styleId="OnderwerpvanopmerkingChar">
    <w:name w:val="Onderwerp van opmerking Char"/>
    <w:basedOn w:val="TekstopmerkingChar"/>
    <w:link w:val="Onderwerpvanopmerking"/>
    <w:rsid w:val="00F6226F"/>
    <w:rPr>
      <w:rFonts w:ascii="Arial" w:hAnsi="Arial" w:cs="Arial"/>
      <w:b/>
      <w:bCs/>
      <w:szCs w:val="24"/>
    </w:rPr>
  </w:style>
  <w:style w:type="paragraph" w:styleId="Documentstructuur">
    <w:name w:val="Document Map"/>
    <w:basedOn w:val="Standaard"/>
    <w:link w:val="DocumentstructuurChar"/>
    <w:rsid w:val="00F6226F"/>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F6226F"/>
    <w:rPr>
      <w:rFonts w:ascii="Tahoma" w:hAnsi="Tahoma" w:cs="Tahoma"/>
      <w:shd w:val="clear" w:color="auto" w:fill="000080"/>
    </w:rPr>
  </w:style>
  <w:style w:type="character" w:customStyle="1" w:styleId="Voetnoottekens">
    <w:name w:val="Voetnoottekens"/>
    <w:basedOn w:val="Standaardalinea-lettertype"/>
    <w:rsid w:val="00F6226F"/>
    <w:rPr>
      <w:rFonts w:cs="Times New Roman"/>
      <w:vertAlign w:val="superscript"/>
    </w:rPr>
  </w:style>
  <w:style w:type="paragraph" w:styleId="Lijstalinea">
    <w:name w:val="List Paragraph"/>
    <w:basedOn w:val="Standaard"/>
    <w:uiPriority w:val="34"/>
    <w:qFormat/>
    <w:rsid w:val="00F6226F"/>
    <w:pPr>
      <w:spacing w:after="120" w:line="274" w:lineRule="auto"/>
      <w:ind w:left="720"/>
      <w:contextualSpacing/>
    </w:pPr>
    <w:rPr>
      <w:rFonts w:ascii="Verdana" w:hAnsi="Verdana" w:cs="Times New Roman"/>
      <w:sz w:val="18"/>
      <w:lang w:eastAsia="bg-BG"/>
    </w:rPr>
  </w:style>
  <w:style w:type="paragraph" w:customStyle="1" w:styleId="CharCharCharCharCharCharCharCharCharChar">
    <w:name w:val="Char Char Char Char Char Char Char Char Char Char"/>
    <w:basedOn w:val="Standaard"/>
    <w:rsid w:val="00F6226F"/>
    <w:pPr>
      <w:spacing w:after="160" w:line="240" w:lineRule="exact"/>
    </w:pPr>
    <w:rPr>
      <w:rFonts w:ascii="Tahoma" w:hAnsi="Tahoma" w:cs="Times New Roman"/>
      <w:szCs w:val="20"/>
      <w:lang w:val="en-US" w:eastAsia="en-US"/>
    </w:rPr>
  </w:style>
  <w:style w:type="paragraph" w:styleId="Revisie">
    <w:name w:val="Revision"/>
    <w:hidden/>
    <w:uiPriority w:val="99"/>
    <w:semiHidden/>
    <w:rsid w:val="00F6226F"/>
    <w:rPr>
      <w:rFonts w:ascii="Arial" w:hAnsi="Arial" w:cs="Arial"/>
      <w:szCs w:val="24"/>
    </w:rPr>
  </w:style>
  <w:style w:type="paragraph" w:customStyle="1" w:styleId="Default">
    <w:name w:val="Default"/>
    <w:rsid w:val="00F6226F"/>
    <w:pPr>
      <w:autoSpaceDE w:val="0"/>
      <w:autoSpaceDN w:val="0"/>
      <w:adjustRightInd w:val="0"/>
    </w:pPr>
    <w:rPr>
      <w:rFonts w:ascii="Arial" w:hAnsi="Arial" w:cs="Arial"/>
      <w:color w:val="000000"/>
      <w:sz w:val="24"/>
      <w:szCs w:val="24"/>
      <w:lang w:eastAsia="en-US"/>
    </w:rPr>
  </w:style>
  <w:style w:type="paragraph" w:customStyle="1" w:styleId="Toelichting">
    <w:name w:val="Toelichting"/>
    <w:basedOn w:val="Standaard"/>
    <w:rsid w:val="00F6226F"/>
    <w:pPr>
      <w:spacing w:line="240" w:lineRule="atLeast"/>
      <w:ind w:left="851" w:hanging="851"/>
    </w:pPr>
    <w:rPr>
      <w:rFonts w:ascii="Book Antiqua" w:eastAsiaTheme="minorHAnsi" w:hAnsi="Book Antiqua" w:cs="Times New Roman"/>
      <w:sz w:val="22"/>
      <w:szCs w:val="22"/>
    </w:rPr>
  </w:style>
  <w:style w:type="paragraph" w:styleId="Bijschrift">
    <w:name w:val="caption"/>
    <w:basedOn w:val="Standaard"/>
    <w:next w:val="Standaard"/>
    <w:unhideWhenUsed/>
    <w:qFormat/>
    <w:rsid w:val="00F6226F"/>
    <w:pPr>
      <w:spacing w:after="200"/>
    </w:pPr>
    <w:rPr>
      <w:b/>
      <w:bCs/>
      <w: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2E630-C0E6-452F-B759-416857766B81}"/>
</file>

<file path=customXml/itemProps2.xml><?xml version="1.0" encoding="utf-8"?>
<ds:datastoreItem xmlns:ds="http://schemas.openxmlformats.org/officeDocument/2006/customXml" ds:itemID="{2FA801A6-A73E-4AF0-B5E0-8C8AB7C876D9}"/>
</file>

<file path=customXml/itemProps3.xml><?xml version="1.0" encoding="utf-8"?>
<ds:datastoreItem xmlns:ds="http://schemas.openxmlformats.org/officeDocument/2006/customXml" ds:itemID="{2099DB61-9BB6-45A3-9010-263E769B74FB}"/>
</file>

<file path=docProps/app.xml><?xml version="1.0" encoding="utf-8"?>
<Properties xmlns="http://schemas.openxmlformats.org/officeDocument/2006/extended-properties" xmlns:vt="http://schemas.openxmlformats.org/officeDocument/2006/docPropsVTypes">
  <Template>CF57014C.dotm</Template>
  <TotalTime>0</TotalTime>
  <Pages>34</Pages>
  <Words>10476</Words>
  <Characters>57618</Characters>
  <Application>Microsoft Office Word</Application>
  <DocSecurity>0</DocSecurity>
  <Lines>480</Lines>
  <Paragraphs>135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2015-06-01T16:15:00Z</dcterms:created>
  <dcterms:modified xsi:type="dcterms:W3CDTF">2015-06-01T16:15:00Z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