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AD" w:rsidRDefault="006E37AD" w:rsidP="00037C22">
      <w:pPr>
        <w:widowControl w:val="0"/>
        <w:autoSpaceDE w:val="0"/>
        <w:autoSpaceDN w:val="0"/>
        <w:adjustRightInd w:val="0"/>
        <w:rPr>
          <w:rFonts w:ascii="Verdana" w:hAnsi="Verdana" w:cs="Arial"/>
          <w:b/>
          <w:bCs/>
          <w:sz w:val="18"/>
          <w:szCs w:val="18"/>
        </w:rPr>
      </w:pPr>
    </w:p>
    <w:p w:rsidR="00037C22" w:rsidRPr="00D8263A" w:rsidRDefault="00037C22" w:rsidP="00037C22">
      <w:pPr>
        <w:widowControl w:val="0"/>
        <w:autoSpaceDE w:val="0"/>
        <w:autoSpaceDN w:val="0"/>
        <w:adjustRightInd w:val="0"/>
        <w:rPr>
          <w:rFonts w:ascii="Verdana" w:hAnsi="Verdana" w:cs="Arial"/>
          <w:sz w:val="18"/>
          <w:szCs w:val="18"/>
        </w:rPr>
      </w:pPr>
      <w:r w:rsidRPr="00D8263A">
        <w:rPr>
          <w:rFonts w:ascii="Verdana" w:hAnsi="Verdana" w:cs="Arial"/>
          <w:b/>
          <w:bCs/>
          <w:sz w:val="18"/>
          <w:szCs w:val="18"/>
        </w:rPr>
        <w:t>A. ARTIKELSGEWIJZE TOELICHTING BIJ HET WETSVOORSTEL</w:t>
      </w:r>
    </w:p>
    <w:p w:rsidR="00037C22" w:rsidRDefault="00037C22" w:rsidP="00037C22">
      <w:pPr>
        <w:widowControl w:val="0"/>
        <w:autoSpaceDE w:val="0"/>
        <w:autoSpaceDN w:val="0"/>
        <w:adjustRightInd w:val="0"/>
        <w:rPr>
          <w:rFonts w:ascii="Arial" w:hAnsi="Arial" w:cs="Arial"/>
        </w:rPr>
      </w:pPr>
      <w:r>
        <w:rPr>
          <w:rFonts w:ascii="Arial" w:hAnsi="Arial" w:cs="Arial"/>
        </w:rPr>
        <w:t> </w:t>
      </w:r>
    </w:p>
    <w:p w:rsidR="00037C22" w:rsidRPr="00D8263A" w:rsidRDefault="00037C22" w:rsidP="00037C22">
      <w:pPr>
        <w:widowControl w:val="0"/>
        <w:autoSpaceDE w:val="0"/>
        <w:autoSpaceDN w:val="0"/>
        <w:adjustRightInd w:val="0"/>
        <w:rPr>
          <w:rFonts w:ascii="Verdana" w:hAnsi="Verdana" w:cs="Arial"/>
          <w:sz w:val="18"/>
          <w:szCs w:val="18"/>
        </w:rPr>
      </w:pPr>
      <w:r w:rsidRPr="00D8263A">
        <w:rPr>
          <w:rFonts w:ascii="Verdana" w:hAnsi="Verdana" w:cs="Arial"/>
          <w:b/>
          <w:bCs/>
          <w:sz w:val="18"/>
          <w:szCs w:val="18"/>
        </w:rPr>
        <w:t>Wetsartikelen 1 tot en met 3</w:t>
      </w:r>
    </w:p>
    <w:p w:rsidR="00037C22" w:rsidRPr="00D8263A" w:rsidRDefault="00037C22" w:rsidP="00037C22">
      <w:pPr>
        <w:widowControl w:val="0"/>
        <w:autoSpaceDE w:val="0"/>
        <w:autoSpaceDN w:val="0"/>
        <w:adjustRightInd w:val="0"/>
        <w:rPr>
          <w:rFonts w:ascii="Verdana" w:hAnsi="Verdana" w:cs="Arial"/>
          <w:sz w:val="18"/>
          <w:szCs w:val="18"/>
        </w:rPr>
      </w:pPr>
      <w:r w:rsidRPr="00D8263A">
        <w:rPr>
          <w:rFonts w:ascii="Verdana" w:hAnsi="Verdana" w:cs="Arial"/>
          <w:sz w:val="18"/>
          <w:szCs w:val="18"/>
        </w:rPr>
        <w:t> </w:t>
      </w:r>
    </w:p>
    <w:p w:rsidR="00037C22" w:rsidRPr="00D8263A" w:rsidRDefault="00037C22" w:rsidP="00037C22">
      <w:pPr>
        <w:widowControl w:val="0"/>
        <w:autoSpaceDE w:val="0"/>
        <w:autoSpaceDN w:val="0"/>
        <w:adjustRightInd w:val="0"/>
        <w:rPr>
          <w:rFonts w:ascii="Verdana" w:hAnsi="Verdana" w:cs="Arial"/>
          <w:sz w:val="18"/>
          <w:szCs w:val="18"/>
        </w:rPr>
      </w:pPr>
      <w:r w:rsidRPr="00D8263A">
        <w:rPr>
          <w:rFonts w:ascii="Verdana" w:hAnsi="Verdana" w:cs="Arial"/>
          <w:sz w:val="18"/>
          <w:szCs w:val="18"/>
        </w:rPr>
        <w:t>De begrotingsstaten die onderdeel zijn van de Rijksbegroting, worden op grond van artikel 1, derde lid, van de Comptabiliteitswet 2001 elk afzonderlijk bij de wet vastgesteld en derhalve ook gewijzigd. Het onderhavige wetsvoorstel strekt ertoe om voor het jaar 201</w:t>
      </w:r>
      <w:r w:rsidR="00D8263A" w:rsidRPr="00D8263A">
        <w:rPr>
          <w:rFonts w:ascii="Verdana" w:hAnsi="Verdana" w:cs="Arial"/>
          <w:sz w:val="18"/>
          <w:szCs w:val="18"/>
        </w:rPr>
        <w:t>5</w:t>
      </w:r>
      <w:r w:rsidRPr="00D8263A">
        <w:rPr>
          <w:rFonts w:ascii="Verdana" w:hAnsi="Verdana" w:cs="Arial"/>
          <w:sz w:val="18"/>
          <w:szCs w:val="18"/>
        </w:rPr>
        <w:t xml:space="preserve"> wijzigingen aan te brengen in: </w:t>
      </w:r>
    </w:p>
    <w:p w:rsidR="00037C22" w:rsidRPr="00D8263A" w:rsidRDefault="00037C22" w:rsidP="00037C22">
      <w:pPr>
        <w:widowControl w:val="0"/>
        <w:autoSpaceDE w:val="0"/>
        <w:autoSpaceDN w:val="0"/>
        <w:adjustRightInd w:val="0"/>
        <w:rPr>
          <w:rFonts w:ascii="Verdana" w:hAnsi="Verdana" w:cs="Arial"/>
          <w:sz w:val="18"/>
          <w:szCs w:val="18"/>
        </w:rPr>
      </w:pPr>
      <w:r w:rsidRPr="00D8263A">
        <w:rPr>
          <w:rFonts w:ascii="Verdana" w:hAnsi="Verdana" w:cs="Arial"/>
          <w:sz w:val="18"/>
          <w:szCs w:val="18"/>
        </w:rPr>
        <w:t> </w:t>
      </w:r>
    </w:p>
    <w:p w:rsidR="00037C22" w:rsidRPr="00D8263A" w:rsidRDefault="00956DB4" w:rsidP="00866E57">
      <w:pPr>
        <w:widowControl w:val="0"/>
        <w:autoSpaceDE w:val="0"/>
        <w:autoSpaceDN w:val="0"/>
        <w:adjustRightInd w:val="0"/>
        <w:spacing w:after="200"/>
        <w:ind w:left="320"/>
        <w:jc w:val="both"/>
        <w:rPr>
          <w:rFonts w:ascii="Verdana" w:hAnsi="Verdana" w:cs="Arial"/>
          <w:sz w:val="18"/>
          <w:szCs w:val="18"/>
        </w:rPr>
      </w:pPr>
      <w:r w:rsidRPr="00D8263A">
        <w:rPr>
          <w:rFonts w:ascii="Verdana" w:hAnsi="Verdana" w:cs="Arial"/>
          <w:sz w:val="18"/>
          <w:szCs w:val="18"/>
        </w:rPr>
        <w:t>de departementale begrotingsstaat voor Buitenlandse Handel en Ontwikkelingssamenwerking (XVII)</w:t>
      </w:r>
      <w:r w:rsidR="00037C22" w:rsidRPr="00D8263A">
        <w:rPr>
          <w:rFonts w:ascii="Verdana" w:hAnsi="Verdana" w:cs="Arial"/>
          <w:sz w:val="18"/>
          <w:szCs w:val="18"/>
        </w:rPr>
        <w:t xml:space="preserve">; </w:t>
      </w:r>
    </w:p>
    <w:p w:rsidR="00037C22" w:rsidRPr="00D8263A" w:rsidRDefault="00037C22" w:rsidP="00037C22">
      <w:pPr>
        <w:widowControl w:val="0"/>
        <w:autoSpaceDE w:val="0"/>
        <w:autoSpaceDN w:val="0"/>
        <w:adjustRightInd w:val="0"/>
        <w:rPr>
          <w:rFonts w:ascii="Verdana" w:hAnsi="Verdana" w:cs="Arial"/>
          <w:sz w:val="18"/>
          <w:szCs w:val="18"/>
        </w:rPr>
      </w:pPr>
      <w:r w:rsidRPr="00D8263A">
        <w:rPr>
          <w:rFonts w:ascii="Verdana" w:hAnsi="Verdana" w:cs="Arial"/>
          <w:sz w:val="18"/>
          <w:szCs w:val="18"/>
        </w:rPr>
        <w:t> </w:t>
      </w:r>
    </w:p>
    <w:p w:rsidR="00037C22" w:rsidRPr="00D8263A" w:rsidRDefault="00037C22" w:rsidP="00037C22">
      <w:pPr>
        <w:widowControl w:val="0"/>
        <w:autoSpaceDE w:val="0"/>
        <w:autoSpaceDN w:val="0"/>
        <w:adjustRightInd w:val="0"/>
        <w:rPr>
          <w:rFonts w:ascii="Verdana" w:hAnsi="Verdana" w:cs="Arial"/>
          <w:sz w:val="18"/>
          <w:szCs w:val="18"/>
        </w:rPr>
      </w:pPr>
      <w:r w:rsidRPr="00D8263A">
        <w:rPr>
          <w:rFonts w:ascii="Verdana" w:hAnsi="Verdana" w:cs="Arial"/>
          <w:sz w:val="18"/>
          <w:szCs w:val="18"/>
        </w:rPr>
        <w:t>De in de begrotingssta</w:t>
      </w:r>
      <w:r w:rsidR="004A3990" w:rsidRPr="00D8263A">
        <w:rPr>
          <w:rFonts w:ascii="Verdana" w:hAnsi="Verdana" w:cs="Arial"/>
          <w:sz w:val="18"/>
          <w:szCs w:val="18"/>
        </w:rPr>
        <w:t>a</w:t>
      </w:r>
      <w:r w:rsidRPr="00D8263A">
        <w:rPr>
          <w:rFonts w:ascii="Verdana" w:hAnsi="Verdana" w:cs="Arial"/>
          <w:sz w:val="18"/>
          <w:szCs w:val="18"/>
        </w:rPr>
        <w:t xml:space="preserve">t opgenomen begrotingsartikelen worden in onderdeel B van deze memorie van toelichting toegelicht (de zgn. begrotingstoelichting). </w:t>
      </w:r>
    </w:p>
    <w:p w:rsidR="00037C22" w:rsidRPr="00D8263A" w:rsidRDefault="00037C22" w:rsidP="00037C22">
      <w:pPr>
        <w:widowControl w:val="0"/>
        <w:autoSpaceDE w:val="0"/>
        <w:autoSpaceDN w:val="0"/>
        <w:adjustRightInd w:val="0"/>
        <w:rPr>
          <w:rFonts w:ascii="Verdana" w:hAnsi="Verdana" w:cs="Arial"/>
          <w:sz w:val="18"/>
          <w:szCs w:val="18"/>
        </w:rPr>
      </w:pPr>
    </w:p>
    <w:p w:rsidR="00037C22" w:rsidRPr="00D8263A" w:rsidRDefault="00037C22" w:rsidP="00037C22">
      <w:pPr>
        <w:widowControl w:val="0"/>
        <w:autoSpaceDE w:val="0"/>
        <w:autoSpaceDN w:val="0"/>
        <w:adjustRightInd w:val="0"/>
        <w:rPr>
          <w:rFonts w:ascii="Verdana" w:hAnsi="Verdana" w:cs="Arial"/>
          <w:sz w:val="18"/>
          <w:szCs w:val="18"/>
        </w:rPr>
      </w:pPr>
    </w:p>
    <w:p w:rsidR="00037C22" w:rsidRPr="00D8263A" w:rsidRDefault="00037C22" w:rsidP="00037C22">
      <w:pPr>
        <w:widowControl w:val="0"/>
        <w:autoSpaceDE w:val="0"/>
        <w:autoSpaceDN w:val="0"/>
        <w:adjustRightInd w:val="0"/>
        <w:rPr>
          <w:rFonts w:ascii="Verdana" w:hAnsi="Verdana" w:cs="Arial"/>
          <w:sz w:val="18"/>
          <w:szCs w:val="18"/>
        </w:rPr>
      </w:pPr>
      <w:r w:rsidRPr="00D8263A">
        <w:rPr>
          <w:rFonts w:ascii="Verdana" w:hAnsi="Verdana" w:cs="Arial"/>
          <w:sz w:val="18"/>
          <w:szCs w:val="18"/>
        </w:rPr>
        <w:t> </w:t>
      </w:r>
    </w:p>
    <w:p w:rsidR="00037C22" w:rsidRPr="00D8263A" w:rsidRDefault="00037C22" w:rsidP="00037C22">
      <w:pPr>
        <w:widowControl w:val="0"/>
        <w:autoSpaceDE w:val="0"/>
        <w:autoSpaceDN w:val="0"/>
        <w:adjustRightInd w:val="0"/>
        <w:rPr>
          <w:rFonts w:ascii="Verdana" w:hAnsi="Verdana" w:cs="Arial"/>
          <w:sz w:val="18"/>
          <w:szCs w:val="18"/>
        </w:rPr>
      </w:pPr>
      <w:r w:rsidRPr="00D8263A">
        <w:rPr>
          <w:rFonts w:ascii="Verdana" w:hAnsi="Verdana" w:cs="Arial"/>
          <w:sz w:val="18"/>
          <w:szCs w:val="18"/>
        </w:rPr>
        <w:t> </w:t>
      </w:r>
    </w:p>
    <w:p w:rsidR="00037C22" w:rsidRPr="00D8263A" w:rsidRDefault="00037C22" w:rsidP="00037C22">
      <w:pPr>
        <w:widowControl w:val="0"/>
        <w:autoSpaceDE w:val="0"/>
        <w:autoSpaceDN w:val="0"/>
        <w:adjustRightInd w:val="0"/>
        <w:rPr>
          <w:rFonts w:ascii="Verdana" w:hAnsi="Verdana" w:cs="Arial"/>
          <w:sz w:val="18"/>
          <w:szCs w:val="18"/>
        </w:rPr>
      </w:pPr>
      <w:r w:rsidRPr="00D8263A">
        <w:rPr>
          <w:rFonts w:ascii="Verdana" w:hAnsi="Verdana" w:cs="Arial"/>
          <w:sz w:val="18"/>
          <w:szCs w:val="18"/>
        </w:rPr>
        <w:t xml:space="preserve">De </w:t>
      </w:r>
      <w:r w:rsidR="00717331" w:rsidRPr="00D8263A">
        <w:rPr>
          <w:rFonts w:ascii="Verdana" w:hAnsi="Verdana" w:cs="Arial"/>
          <w:sz w:val="18"/>
          <w:szCs w:val="18"/>
        </w:rPr>
        <w:t>m</w:t>
      </w:r>
      <w:r w:rsidRPr="00D8263A">
        <w:rPr>
          <w:rFonts w:ascii="Verdana" w:hAnsi="Verdana" w:cs="Arial"/>
          <w:sz w:val="18"/>
          <w:szCs w:val="18"/>
        </w:rPr>
        <w:t>inister v</w:t>
      </w:r>
      <w:r w:rsidR="00956DB4" w:rsidRPr="00D8263A">
        <w:rPr>
          <w:rFonts w:ascii="Verdana" w:hAnsi="Verdana" w:cs="Arial"/>
          <w:sz w:val="18"/>
          <w:szCs w:val="18"/>
        </w:rPr>
        <w:t>oor Buitenlandse Handel en Ontwikkelingssamenwerking</w:t>
      </w:r>
    </w:p>
    <w:p w:rsidR="003A4649" w:rsidRDefault="003A4649" w:rsidP="00037C22">
      <w:pPr>
        <w:widowControl w:val="0"/>
        <w:autoSpaceDE w:val="0"/>
        <w:autoSpaceDN w:val="0"/>
        <w:adjustRightInd w:val="0"/>
        <w:rPr>
          <w:rFonts w:ascii="Arial" w:hAnsi="Arial" w:cs="Arial"/>
          <w:sz w:val="20"/>
          <w:szCs w:val="20"/>
        </w:rPr>
      </w:pPr>
    </w:p>
    <w:p w:rsidR="003A4649" w:rsidRDefault="003A4649" w:rsidP="00037C22">
      <w:pPr>
        <w:widowControl w:val="0"/>
        <w:autoSpaceDE w:val="0"/>
        <w:autoSpaceDN w:val="0"/>
        <w:adjustRightInd w:val="0"/>
        <w:rPr>
          <w:rFonts w:ascii="Arial" w:hAnsi="Arial" w:cs="Arial"/>
          <w:sz w:val="20"/>
          <w:szCs w:val="20"/>
        </w:rPr>
      </w:pPr>
    </w:p>
    <w:p w:rsidR="003A4649" w:rsidRDefault="003A4649" w:rsidP="00037C22">
      <w:pPr>
        <w:widowControl w:val="0"/>
        <w:autoSpaceDE w:val="0"/>
        <w:autoSpaceDN w:val="0"/>
        <w:adjustRightInd w:val="0"/>
        <w:rPr>
          <w:rFonts w:ascii="Arial" w:hAnsi="Arial" w:cs="Arial"/>
          <w:sz w:val="20"/>
          <w:szCs w:val="20"/>
        </w:rPr>
      </w:pPr>
    </w:p>
    <w:p w:rsidR="003A4649" w:rsidRDefault="003A4649" w:rsidP="00037C22">
      <w:pPr>
        <w:widowControl w:val="0"/>
        <w:autoSpaceDE w:val="0"/>
        <w:autoSpaceDN w:val="0"/>
        <w:adjustRightInd w:val="0"/>
        <w:rPr>
          <w:rFonts w:ascii="Arial" w:hAnsi="Arial" w:cs="Arial"/>
          <w:sz w:val="20"/>
          <w:szCs w:val="20"/>
        </w:rPr>
      </w:pPr>
    </w:p>
    <w:p w:rsidR="000724F8" w:rsidRPr="00EF730F" w:rsidRDefault="000724F8" w:rsidP="000724F8">
      <w:pPr>
        <w:pStyle w:val="Kop2"/>
        <w:tabs>
          <w:tab w:val="left" w:pos="5293"/>
        </w:tabs>
        <w:rPr>
          <w:rFonts w:ascii="Verdana" w:hAnsi="Verdana"/>
          <w:sz w:val="18"/>
          <w:szCs w:val="18"/>
        </w:rPr>
      </w:pPr>
      <w:r>
        <w:rPr>
          <w:sz w:val="20"/>
          <w:szCs w:val="20"/>
        </w:rPr>
        <w:br w:type="page"/>
      </w:r>
      <w:r w:rsidRPr="00EF730F">
        <w:rPr>
          <w:rFonts w:ascii="Verdana" w:hAnsi="Verdana" w:cs="Times New Roman"/>
          <w:i w:val="0"/>
          <w:sz w:val="18"/>
          <w:szCs w:val="18"/>
        </w:rPr>
        <w:lastRenderedPageBreak/>
        <w:t>B) BEGROTINGSTOELICHTING</w:t>
      </w:r>
    </w:p>
    <w:p w:rsidR="000724F8" w:rsidRDefault="000724F8" w:rsidP="00AD59E9">
      <w:pPr>
        <w:widowControl w:val="0"/>
        <w:autoSpaceDE w:val="0"/>
        <w:autoSpaceDN w:val="0"/>
        <w:adjustRightInd w:val="0"/>
        <w:rPr>
          <w:rFonts w:ascii="Arial" w:hAnsi="Arial" w:cs="Arial"/>
        </w:rPr>
      </w:pPr>
    </w:p>
    <w:p w:rsidR="00163471" w:rsidRPr="00163471" w:rsidRDefault="00163471" w:rsidP="00163471">
      <w:pPr>
        <w:pStyle w:val="Lijstalinea"/>
        <w:widowControl w:val="0"/>
        <w:numPr>
          <w:ilvl w:val="0"/>
          <w:numId w:val="10"/>
        </w:numPr>
        <w:autoSpaceDE w:val="0"/>
        <w:autoSpaceDN w:val="0"/>
        <w:adjustRightInd w:val="0"/>
        <w:spacing w:line="276" w:lineRule="auto"/>
        <w:rPr>
          <w:rFonts w:ascii="Verdana" w:hAnsi="Verdana"/>
          <w:b/>
          <w:sz w:val="18"/>
          <w:szCs w:val="18"/>
        </w:rPr>
      </w:pPr>
      <w:r w:rsidRPr="00163471">
        <w:rPr>
          <w:rFonts w:ascii="Verdana" w:hAnsi="Verdana"/>
          <w:b/>
          <w:sz w:val="18"/>
          <w:szCs w:val="18"/>
        </w:rPr>
        <w:t>Voorstel van Wet</w:t>
      </w:r>
    </w:p>
    <w:p w:rsidR="00163471" w:rsidRPr="00163471" w:rsidRDefault="00163471" w:rsidP="00163471">
      <w:pPr>
        <w:widowControl w:val="0"/>
        <w:autoSpaceDE w:val="0"/>
        <w:autoSpaceDN w:val="0"/>
        <w:adjustRightInd w:val="0"/>
        <w:rPr>
          <w:rFonts w:ascii="Verdana" w:hAnsi="Verdana"/>
          <w:b/>
          <w:iCs/>
          <w:sz w:val="18"/>
          <w:szCs w:val="18"/>
        </w:rPr>
      </w:pPr>
      <w:r w:rsidRPr="00163471">
        <w:rPr>
          <w:rFonts w:ascii="Verdana" w:hAnsi="Verdana"/>
          <w:sz w:val="18"/>
          <w:szCs w:val="18"/>
        </w:rPr>
        <w:t>Door middel van het onderhavige wetsvoorstel wordt voorgesteld de uitgaven van de begroting 201</w:t>
      </w:r>
      <w:r w:rsidR="00D8263A">
        <w:rPr>
          <w:rFonts w:ascii="Verdana" w:hAnsi="Verdana"/>
          <w:sz w:val="18"/>
          <w:szCs w:val="18"/>
        </w:rPr>
        <w:t>5</w:t>
      </w:r>
      <w:r w:rsidRPr="00163471">
        <w:rPr>
          <w:rFonts w:ascii="Verdana" w:hAnsi="Verdana"/>
          <w:sz w:val="18"/>
          <w:szCs w:val="18"/>
        </w:rPr>
        <w:t xml:space="preserve"> van Buitenlandse </w:t>
      </w:r>
      <w:r w:rsidR="00956DB4">
        <w:rPr>
          <w:rFonts w:ascii="Verdana" w:hAnsi="Verdana"/>
          <w:sz w:val="18"/>
          <w:szCs w:val="18"/>
        </w:rPr>
        <w:t>Handel en Ontwikkelingssamenwerking</w:t>
      </w:r>
      <w:r w:rsidRPr="00163471">
        <w:rPr>
          <w:rFonts w:ascii="Verdana" w:hAnsi="Verdana"/>
          <w:sz w:val="18"/>
          <w:szCs w:val="18"/>
        </w:rPr>
        <w:t xml:space="preserve"> (</w:t>
      </w:r>
      <w:r w:rsidR="00956DB4">
        <w:rPr>
          <w:rFonts w:ascii="Verdana" w:hAnsi="Verdana"/>
          <w:sz w:val="18"/>
          <w:szCs w:val="18"/>
        </w:rPr>
        <w:t>X</w:t>
      </w:r>
      <w:r w:rsidRPr="00163471">
        <w:rPr>
          <w:rFonts w:ascii="Verdana" w:hAnsi="Verdana"/>
          <w:sz w:val="18"/>
          <w:szCs w:val="18"/>
        </w:rPr>
        <w:t>V</w:t>
      </w:r>
      <w:r w:rsidR="00956DB4">
        <w:rPr>
          <w:rFonts w:ascii="Verdana" w:hAnsi="Verdana"/>
          <w:sz w:val="18"/>
          <w:szCs w:val="18"/>
        </w:rPr>
        <w:t>II</w:t>
      </w:r>
      <w:r w:rsidRPr="00163471">
        <w:rPr>
          <w:rFonts w:ascii="Verdana" w:hAnsi="Verdana"/>
          <w:sz w:val="18"/>
          <w:szCs w:val="18"/>
        </w:rPr>
        <w:t xml:space="preserve">) met </w:t>
      </w:r>
      <w:r w:rsidRPr="008518F7">
        <w:rPr>
          <w:rFonts w:ascii="Verdana" w:hAnsi="Verdana"/>
          <w:sz w:val="18"/>
          <w:szCs w:val="18"/>
        </w:rPr>
        <w:t xml:space="preserve">EUR </w:t>
      </w:r>
      <w:r w:rsidR="00AA5072" w:rsidRPr="008518F7">
        <w:rPr>
          <w:rFonts w:ascii="Verdana" w:hAnsi="Verdana"/>
          <w:sz w:val="18"/>
          <w:szCs w:val="18"/>
        </w:rPr>
        <w:t>2</w:t>
      </w:r>
      <w:r w:rsidR="00ED3D7B" w:rsidRPr="008518F7">
        <w:rPr>
          <w:rFonts w:ascii="Verdana" w:hAnsi="Verdana"/>
          <w:sz w:val="18"/>
          <w:szCs w:val="18"/>
        </w:rPr>
        <w:t>39</w:t>
      </w:r>
      <w:r w:rsidR="00A9158A" w:rsidRPr="008518F7">
        <w:rPr>
          <w:rFonts w:ascii="Verdana" w:hAnsi="Verdana"/>
          <w:sz w:val="18"/>
          <w:szCs w:val="18"/>
        </w:rPr>
        <w:t xml:space="preserve"> </w:t>
      </w:r>
      <w:r w:rsidRPr="008518F7">
        <w:rPr>
          <w:rFonts w:ascii="Verdana" w:hAnsi="Verdana"/>
          <w:sz w:val="18"/>
          <w:szCs w:val="18"/>
        </w:rPr>
        <w:t xml:space="preserve">miljoen te </w:t>
      </w:r>
      <w:r w:rsidR="009D0193">
        <w:rPr>
          <w:rFonts w:ascii="Verdana" w:hAnsi="Verdana"/>
          <w:sz w:val="18"/>
          <w:szCs w:val="18"/>
        </w:rPr>
        <w:t>verhogen</w:t>
      </w:r>
      <w:r w:rsidRPr="00163471">
        <w:rPr>
          <w:rFonts w:ascii="Verdana" w:hAnsi="Verdana"/>
          <w:sz w:val="18"/>
          <w:szCs w:val="18"/>
        </w:rPr>
        <w:t xml:space="preserve"> </w:t>
      </w:r>
    </w:p>
    <w:p w:rsidR="00163471" w:rsidRPr="00163471" w:rsidRDefault="00163471" w:rsidP="00163471">
      <w:pPr>
        <w:widowControl w:val="0"/>
        <w:autoSpaceDE w:val="0"/>
        <w:autoSpaceDN w:val="0"/>
        <w:adjustRightInd w:val="0"/>
        <w:rPr>
          <w:rFonts w:ascii="Verdana" w:hAnsi="Verdana"/>
          <w:b/>
          <w:iCs/>
          <w:sz w:val="18"/>
          <w:szCs w:val="18"/>
        </w:rPr>
      </w:pPr>
    </w:p>
    <w:p w:rsidR="00FC62D2" w:rsidRPr="00FC62D2" w:rsidRDefault="00FC62D2" w:rsidP="00FC62D2">
      <w:pPr>
        <w:pStyle w:val="Lijstalinea"/>
        <w:widowControl w:val="0"/>
        <w:numPr>
          <w:ilvl w:val="0"/>
          <w:numId w:val="10"/>
        </w:numPr>
        <w:autoSpaceDE w:val="0"/>
        <w:autoSpaceDN w:val="0"/>
        <w:adjustRightInd w:val="0"/>
        <w:rPr>
          <w:rFonts w:ascii="Verdana" w:hAnsi="Verdana"/>
          <w:b/>
          <w:iCs/>
          <w:sz w:val="18"/>
          <w:szCs w:val="18"/>
        </w:rPr>
      </w:pPr>
      <w:r w:rsidRPr="00FC62D2">
        <w:rPr>
          <w:rFonts w:ascii="Verdana" w:hAnsi="Verdana"/>
          <w:b/>
          <w:iCs/>
          <w:sz w:val="18"/>
          <w:szCs w:val="18"/>
        </w:rPr>
        <w:t>Leeswijzer</w:t>
      </w:r>
    </w:p>
    <w:p w:rsidR="00FC62D2" w:rsidRDefault="00FC62D2" w:rsidP="00FC62D2">
      <w:pPr>
        <w:widowControl w:val="0"/>
        <w:autoSpaceDE w:val="0"/>
        <w:autoSpaceDN w:val="0"/>
        <w:adjustRightInd w:val="0"/>
        <w:rPr>
          <w:rFonts w:ascii="Verdana" w:hAnsi="Verdana"/>
          <w:iCs/>
          <w:sz w:val="18"/>
          <w:szCs w:val="18"/>
        </w:rPr>
      </w:pPr>
    </w:p>
    <w:p w:rsidR="00122A6A" w:rsidRPr="00FC62D2" w:rsidRDefault="000724F8" w:rsidP="00FC62D2">
      <w:pPr>
        <w:widowControl w:val="0"/>
        <w:autoSpaceDE w:val="0"/>
        <w:autoSpaceDN w:val="0"/>
        <w:adjustRightInd w:val="0"/>
        <w:rPr>
          <w:rFonts w:ascii="Verdana" w:hAnsi="Verdana"/>
          <w:iCs/>
          <w:sz w:val="18"/>
          <w:szCs w:val="18"/>
        </w:rPr>
      </w:pPr>
      <w:r w:rsidRPr="00FC62D2">
        <w:rPr>
          <w:rFonts w:ascii="Verdana" w:hAnsi="Verdana"/>
          <w:iCs/>
          <w:sz w:val="18"/>
          <w:szCs w:val="18"/>
        </w:rPr>
        <w:t xml:space="preserve">De voorliggende suppletoire begroting bevat de voorgestelde wijzigingen ten opzichte van de </w:t>
      </w:r>
      <w:r w:rsidR="004A3990">
        <w:rPr>
          <w:rFonts w:ascii="Verdana" w:hAnsi="Verdana"/>
          <w:iCs/>
          <w:sz w:val="18"/>
          <w:szCs w:val="18"/>
        </w:rPr>
        <w:t>Ontwerpb</w:t>
      </w:r>
      <w:r w:rsidR="003A4649">
        <w:rPr>
          <w:rFonts w:ascii="Verdana" w:hAnsi="Verdana"/>
          <w:iCs/>
          <w:sz w:val="18"/>
          <w:szCs w:val="18"/>
        </w:rPr>
        <w:t>egroting</w:t>
      </w:r>
      <w:r w:rsidRPr="00FC62D2">
        <w:rPr>
          <w:rFonts w:ascii="Verdana" w:hAnsi="Verdana"/>
          <w:iCs/>
          <w:sz w:val="18"/>
          <w:szCs w:val="18"/>
        </w:rPr>
        <w:t xml:space="preserve"> 201</w:t>
      </w:r>
      <w:r w:rsidR="00D8263A">
        <w:rPr>
          <w:rFonts w:ascii="Verdana" w:hAnsi="Verdana"/>
          <w:iCs/>
          <w:sz w:val="18"/>
          <w:szCs w:val="18"/>
        </w:rPr>
        <w:t>5</w:t>
      </w:r>
      <w:r w:rsidR="00833FAC" w:rsidRPr="00FC62D2">
        <w:rPr>
          <w:rFonts w:ascii="Verdana" w:hAnsi="Verdana"/>
          <w:iCs/>
          <w:sz w:val="18"/>
          <w:szCs w:val="18"/>
        </w:rPr>
        <w:t xml:space="preserve"> van hoofdstuk </w:t>
      </w:r>
      <w:r w:rsidR="00956DB4">
        <w:rPr>
          <w:rFonts w:ascii="Verdana" w:hAnsi="Verdana"/>
          <w:iCs/>
          <w:sz w:val="18"/>
          <w:szCs w:val="18"/>
        </w:rPr>
        <w:t>X</w:t>
      </w:r>
      <w:r w:rsidR="00833FAC" w:rsidRPr="00FC62D2">
        <w:rPr>
          <w:rFonts w:ascii="Verdana" w:hAnsi="Verdana"/>
          <w:iCs/>
          <w:sz w:val="18"/>
          <w:szCs w:val="18"/>
        </w:rPr>
        <w:t>V</w:t>
      </w:r>
      <w:r w:rsidR="00956DB4">
        <w:rPr>
          <w:rFonts w:ascii="Verdana" w:hAnsi="Verdana"/>
          <w:iCs/>
          <w:sz w:val="18"/>
          <w:szCs w:val="18"/>
        </w:rPr>
        <w:t>II</w:t>
      </w:r>
      <w:r w:rsidR="00833FAC" w:rsidRPr="00FC62D2">
        <w:rPr>
          <w:rFonts w:ascii="Verdana" w:hAnsi="Verdana"/>
          <w:iCs/>
          <w:sz w:val="18"/>
          <w:szCs w:val="18"/>
        </w:rPr>
        <w:t xml:space="preserve"> van de begroting van het Rijk. </w:t>
      </w:r>
    </w:p>
    <w:p w:rsidR="00165EA7" w:rsidRDefault="00165EA7" w:rsidP="00833FAC">
      <w:pPr>
        <w:widowControl w:val="0"/>
        <w:autoSpaceDE w:val="0"/>
        <w:autoSpaceDN w:val="0"/>
        <w:adjustRightInd w:val="0"/>
        <w:rPr>
          <w:rFonts w:ascii="Verdana" w:hAnsi="Verdana"/>
          <w:iCs/>
          <w:sz w:val="18"/>
          <w:szCs w:val="18"/>
        </w:rPr>
      </w:pPr>
    </w:p>
    <w:p w:rsidR="00165EA7" w:rsidRDefault="00037C22" w:rsidP="00833FAC">
      <w:pPr>
        <w:widowControl w:val="0"/>
        <w:autoSpaceDE w:val="0"/>
        <w:autoSpaceDN w:val="0"/>
        <w:adjustRightInd w:val="0"/>
        <w:rPr>
          <w:rFonts w:ascii="Verdana" w:hAnsi="Verdana"/>
          <w:iCs/>
          <w:sz w:val="18"/>
          <w:szCs w:val="18"/>
        </w:rPr>
      </w:pPr>
      <w:r>
        <w:rPr>
          <w:rFonts w:ascii="Verdana" w:hAnsi="Verdana"/>
          <w:iCs/>
          <w:sz w:val="18"/>
          <w:szCs w:val="18"/>
        </w:rPr>
        <w:t xml:space="preserve">In de toelichting worden </w:t>
      </w:r>
      <w:r w:rsidR="00F2587D">
        <w:rPr>
          <w:rFonts w:ascii="Verdana" w:hAnsi="Verdana"/>
          <w:iCs/>
          <w:sz w:val="18"/>
          <w:szCs w:val="18"/>
        </w:rPr>
        <w:t>de belangrijkste mutaties</w:t>
      </w:r>
      <w:r w:rsidR="00F87B7C">
        <w:rPr>
          <w:rFonts w:ascii="Verdana" w:hAnsi="Verdana"/>
          <w:iCs/>
          <w:sz w:val="18"/>
          <w:szCs w:val="18"/>
        </w:rPr>
        <w:t xml:space="preserve"> op de begroting van Buitenlandse </w:t>
      </w:r>
      <w:r w:rsidR="00956DB4">
        <w:rPr>
          <w:rFonts w:ascii="Verdana" w:hAnsi="Verdana"/>
          <w:iCs/>
          <w:sz w:val="18"/>
          <w:szCs w:val="18"/>
        </w:rPr>
        <w:t>Handel en Ontwikkelingssamenwerking</w:t>
      </w:r>
      <w:r>
        <w:rPr>
          <w:rFonts w:ascii="Verdana" w:hAnsi="Verdana"/>
          <w:iCs/>
          <w:sz w:val="18"/>
          <w:szCs w:val="18"/>
        </w:rPr>
        <w:t xml:space="preserve"> toegelicht</w:t>
      </w:r>
      <w:r w:rsidR="002811DE">
        <w:rPr>
          <w:rFonts w:ascii="Verdana" w:hAnsi="Verdana"/>
          <w:iCs/>
          <w:sz w:val="18"/>
          <w:szCs w:val="18"/>
        </w:rPr>
        <w:t xml:space="preserve">. </w:t>
      </w:r>
      <w:r w:rsidR="00F2587D">
        <w:rPr>
          <w:rFonts w:ascii="Verdana" w:hAnsi="Verdana"/>
          <w:iCs/>
          <w:sz w:val="18"/>
          <w:szCs w:val="18"/>
        </w:rPr>
        <w:t>T</w:t>
      </w:r>
      <w:r w:rsidR="00EB71BD">
        <w:rPr>
          <w:rFonts w:ascii="Verdana" w:hAnsi="Verdana"/>
          <w:iCs/>
          <w:sz w:val="18"/>
          <w:szCs w:val="18"/>
        </w:rPr>
        <w:t xml:space="preserve">en slotte volgt per artikel de nieuwe stand en een toelichting op de </w:t>
      </w:r>
      <w:r w:rsidR="0094343F">
        <w:rPr>
          <w:rFonts w:ascii="Verdana" w:hAnsi="Verdana"/>
          <w:iCs/>
          <w:sz w:val="18"/>
          <w:szCs w:val="18"/>
        </w:rPr>
        <w:t>opmerkelijke verschillen</w:t>
      </w:r>
      <w:r w:rsidR="00EB71BD">
        <w:rPr>
          <w:rFonts w:ascii="Verdana" w:hAnsi="Verdana"/>
          <w:iCs/>
          <w:sz w:val="18"/>
          <w:szCs w:val="18"/>
        </w:rPr>
        <w:t xml:space="preserve">. </w:t>
      </w:r>
    </w:p>
    <w:p w:rsidR="00FD06C8" w:rsidRDefault="00FD06C8" w:rsidP="00833FAC">
      <w:pPr>
        <w:widowControl w:val="0"/>
        <w:autoSpaceDE w:val="0"/>
        <w:autoSpaceDN w:val="0"/>
        <w:adjustRightInd w:val="0"/>
        <w:rPr>
          <w:rFonts w:ascii="Verdana" w:hAnsi="Verdana"/>
          <w:iCs/>
          <w:sz w:val="18"/>
          <w:szCs w:val="18"/>
        </w:rPr>
      </w:pPr>
    </w:p>
    <w:p w:rsidR="00FD06C8" w:rsidRDefault="002358F5" w:rsidP="00833FAC">
      <w:pPr>
        <w:widowControl w:val="0"/>
        <w:autoSpaceDE w:val="0"/>
        <w:autoSpaceDN w:val="0"/>
        <w:adjustRightInd w:val="0"/>
        <w:rPr>
          <w:rFonts w:ascii="Verdana" w:hAnsi="Verdana" w:cs="Arial"/>
          <w:sz w:val="18"/>
          <w:szCs w:val="18"/>
        </w:rPr>
      </w:pPr>
      <w:r>
        <w:rPr>
          <w:rFonts w:ascii="Verdana" w:hAnsi="Verdana" w:cs="Arial"/>
          <w:sz w:val="18"/>
          <w:szCs w:val="18"/>
        </w:rPr>
        <w:t xml:space="preserve">Per artikel is een tabel opgenomen met de mutaties. </w:t>
      </w:r>
      <w:r w:rsidR="00BE21F4">
        <w:rPr>
          <w:rFonts w:ascii="Verdana" w:hAnsi="Verdana" w:cs="Arial"/>
          <w:sz w:val="18"/>
          <w:szCs w:val="18"/>
        </w:rPr>
        <w:t>De toelichting per beleidsartikel heeft betrekking op de kolom mutaties suppletoire begroting.</w:t>
      </w:r>
      <w:r w:rsidR="005F6994">
        <w:rPr>
          <w:rFonts w:ascii="Verdana" w:hAnsi="Verdana" w:cs="Arial"/>
          <w:sz w:val="18"/>
          <w:szCs w:val="18"/>
        </w:rPr>
        <w:t xml:space="preserve"> </w:t>
      </w:r>
      <w:r w:rsidR="00A51F92">
        <w:rPr>
          <w:rFonts w:ascii="Verdana" w:eastAsia="Calibri" w:hAnsi="Verdana"/>
          <w:sz w:val="18"/>
          <w:szCs w:val="18"/>
        </w:rPr>
        <w:t>Het aantal activiteiten en het</w:t>
      </w:r>
      <w:r w:rsidR="00A51F92" w:rsidRPr="00403BD2">
        <w:rPr>
          <w:rFonts w:ascii="Verdana" w:eastAsia="Calibri" w:hAnsi="Verdana"/>
          <w:sz w:val="18"/>
          <w:szCs w:val="18"/>
        </w:rPr>
        <w:t xml:space="preserve"> aantal </w:t>
      </w:r>
      <w:r w:rsidR="00A51F92">
        <w:rPr>
          <w:rFonts w:ascii="Verdana" w:eastAsia="Calibri" w:hAnsi="Verdana"/>
          <w:sz w:val="18"/>
          <w:szCs w:val="18"/>
        </w:rPr>
        <w:t xml:space="preserve">financiële </w:t>
      </w:r>
      <w:r w:rsidR="00A51F92" w:rsidRPr="00403BD2">
        <w:rPr>
          <w:rFonts w:ascii="Verdana" w:eastAsia="Calibri" w:hAnsi="Verdana"/>
          <w:sz w:val="18"/>
          <w:szCs w:val="18"/>
        </w:rPr>
        <w:t xml:space="preserve">instrumenten </w:t>
      </w:r>
      <w:r w:rsidR="00A51F92">
        <w:rPr>
          <w:rFonts w:ascii="Verdana" w:eastAsia="Calibri" w:hAnsi="Verdana"/>
          <w:sz w:val="18"/>
          <w:szCs w:val="18"/>
        </w:rPr>
        <w:t xml:space="preserve">van </w:t>
      </w:r>
      <w:r w:rsidR="00956DB4">
        <w:rPr>
          <w:rFonts w:ascii="Verdana" w:eastAsia="Calibri" w:hAnsi="Verdana"/>
          <w:sz w:val="18"/>
          <w:szCs w:val="18"/>
        </w:rPr>
        <w:t>Buitenlandse Handel en Ontwikkelingssamenwerking</w:t>
      </w:r>
      <w:r w:rsidR="00A51F92">
        <w:rPr>
          <w:rFonts w:ascii="Verdana" w:eastAsia="Calibri" w:hAnsi="Verdana"/>
          <w:sz w:val="18"/>
          <w:szCs w:val="18"/>
        </w:rPr>
        <w:t xml:space="preserve"> is </w:t>
      </w:r>
      <w:r w:rsidR="00A51F92" w:rsidRPr="00403BD2">
        <w:rPr>
          <w:rFonts w:ascii="Verdana" w:eastAsia="Calibri" w:hAnsi="Verdana"/>
          <w:sz w:val="18"/>
          <w:szCs w:val="18"/>
        </w:rPr>
        <w:t xml:space="preserve">aanzienlijk. </w:t>
      </w:r>
      <w:r w:rsidR="00A51F92">
        <w:rPr>
          <w:rFonts w:ascii="Verdana" w:eastAsia="Calibri" w:hAnsi="Verdana"/>
          <w:sz w:val="18"/>
          <w:szCs w:val="18"/>
        </w:rPr>
        <w:t>Om de leesbaarheid te waarborgen worden daarom alleen de financiële instrumenten die meer dan 3 procent van het artikelonderdeel uitmaken opgenomen in de financiële tabel. Dat betekent dat er in sommige gevallen geen uitputtende opsomming is van de financiële instrumenten per artikelonderdeel.</w:t>
      </w:r>
    </w:p>
    <w:p w:rsidR="00900EC1" w:rsidRDefault="00900EC1" w:rsidP="00833FAC">
      <w:pPr>
        <w:widowControl w:val="0"/>
        <w:autoSpaceDE w:val="0"/>
        <w:autoSpaceDN w:val="0"/>
        <w:adjustRightInd w:val="0"/>
        <w:rPr>
          <w:rFonts w:ascii="Verdana" w:hAnsi="Verdana" w:cs="Arial"/>
          <w:sz w:val="18"/>
          <w:szCs w:val="18"/>
        </w:rPr>
      </w:pPr>
    </w:p>
    <w:p w:rsidR="00EC6CAF" w:rsidRDefault="00900EC1" w:rsidP="00833FAC">
      <w:pPr>
        <w:widowControl w:val="0"/>
        <w:autoSpaceDE w:val="0"/>
        <w:autoSpaceDN w:val="0"/>
        <w:adjustRightInd w:val="0"/>
        <w:rPr>
          <w:rFonts w:ascii="Verdana" w:hAnsi="Verdana" w:cs="Arial"/>
          <w:sz w:val="18"/>
          <w:szCs w:val="18"/>
        </w:rPr>
      </w:pPr>
      <w:r>
        <w:rPr>
          <w:rFonts w:ascii="Verdana" w:hAnsi="Verdana" w:cs="Arial"/>
          <w:sz w:val="18"/>
          <w:szCs w:val="18"/>
        </w:rPr>
        <w:t>Conform de Rijksbegrotingsvoorschriften en de Comp</w:t>
      </w:r>
      <w:r w:rsidR="00B50BB3">
        <w:rPr>
          <w:rFonts w:ascii="Verdana" w:hAnsi="Verdana" w:cs="Arial"/>
          <w:sz w:val="18"/>
          <w:szCs w:val="18"/>
        </w:rPr>
        <w:t>t</w:t>
      </w:r>
      <w:r>
        <w:rPr>
          <w:rFonts w:ascii="Verdana" w:hAnsi="Verdana" w:cs="Arial"/>
          <w:sz w:val="18"/>
          <w:szCs w:val="18"/>
        </w:rPr>
        <w:t>abiliteitswet van 20</w:t>
      </w:r>
      <w:r w:rsidR="006E09EE">
        <w:rPr>
          <w:rFonts w:ascii="Verdana" w:hAnsi="Verdana" w:cs="Arial"/>
          <w:sz w:val="18"/>
          <w:szCs w:val="18"/>
        </w:rPr>
        <w:t>0</w:t>
      </w:r>
      <w:r>
        <w:rPr>
          <w:rFonts w:ascii="Verdana" w:hAnsi="Verdana" w:cs="Arial"/>
          <w:sz w:val="18"/>
          <w:szCs w:val="18"/>
        </w:rPr>
        <w:t xml:space="preserve">1 dienen de opmerkelijke verschillen tussen de oorspronkelijke en huidige raming te worden toegelicht. </w:t>
      </w:r>
      <w:r w:rsidR="008514C1" w:rsidRPr="00A51F92">
        <w:rPr>
          <w:rFonts w:ascii="Verdana" w:hAnsi="Verdana" w:cs="Arial"/>
          <w:sz w:val="18"/>
          <w:szCs w:val="18"/>
        </w:rPr>
        <w:t>Op uitgavenniveau is v</w:t>
      </w:r>
      <w:r w:rsidRPr="00A51F92">
        <w:rPr>
          <w:rFonts w:ascii="Verdana" w:hAnsi="Verdana" w:cs="Arial"/>
          <w:sz w:val="18"/>
          <w:szCs w:val="18"/>
        </w:rPr>
        <w:t>oor deze toelichting een norm gehanteerd waarbij voor de beleidsartikelen afwijkingen van 10% of meer</w:t>
      </w:r>
      <w:r w:rsidR="006E09EE" w:rsidRPr="00A51F92">
        <w:rPr>
          <w:rFonts w:ascii="Verdana" w:hAnsi="Verdana" w:cs="Arial"/>
          <w:sz w:val="18"/>
          <w:szCs w:val="18"/>
        </w:rPr>
        <w:t>, met een minimum van EUR 2 miljoen,</w:t>
      </w:r>
      <w:r w:rsidRPr="00A51F92">
        <w:rPr>
          <w:rFonts w:ascii="Verdana" w:hAnsi="Verdana" w:cs="Arial"/>
          <w:sz w:val="18"/>
          <w:szCs w:val="18"/>
        </w:rPr>
        <w:t xml:space="preserve"> ten opzichte van de </w:t>
      </w:r>
      <w:r w:rsidR="00EC6CAF">
        <w:rPr>
          <w:rFonts w:ascii="Verdana" w:hAnsi="Verdana" w:cs="Arial"/>
          <w:sz w:val="18"/>
          <w:szCs w:val="18"/>
        </w:rPr>
        <w:t xml:space="preserve">stand van de </w:t>
      </w:r>
      <w:r w:rsidR="00E64351">
        <w:rPr>
          <w:rFonts w:ascii="Verdana" w:hAnsi="Verdana" w:cs="Arial"/>
          <w:sz w:val="18"/>
          <w:szCs w:val="18"/>
        </w:rPr>
        <w:t>Ontwerpbegroting 2015</w:t>
      </w:r>
      <w:r w:rsidR="00EC6CAF">
        <w:rPr>
          <w:rFonts w:ascii="Verdana" w:hAnsi="Verdana" w:cs="Arial"/>
          <w:sz w:val="18"/>
          <w:szCs w:val="18"/>
        </w:rPr>
        <w:t xml:space="preserve"> </w:t>
      </w:r>
      <w:r w:rsidR="00B74F21">
        <w:rPr>
          <w:rFonts w:ascii="Verdana" w:hAnsi="Verdana" w:cs="Arial"/>
          <w:sz w:val="18"/>
          <w:szCs w:val="18"/>
        </w:rPr>
        <w:t>op sub-artikel</w:t>
      </w:r>
      <w:r w:rsidR="008514C1" w:rsidRPr="00A51F92">
        <w:rPr>
          <w:rFonts w:ascii="Verdana" w:hAnsi="Verdana" w:cs="Arial"/>
          <w:sz w:val="18"/>
          <w:szCs w:val="18"/>
        </w:rPr>
        <w:t xml:space="preserve">niveau </w:t>
      </w:r>
      <w:r w:rsidRPr="00A51F92">
        <w:rPr>
          <w:rFonts w:ascii="Verdana" w:hAnsi="Verdana" w:cs="Arial"/>
          <w:sz w:val="18"/>
          <w:szCs w:val="18"/>
        </w:rPr>
        <w:t xml:space="preserve">zijn opgenomen. </w:t>
      </w:r>
      <w:r w:rsidR="00495C81" w:rsidRPr="00A51F92">
        <w:rPr>
          <w:rFonts w:ascii="Verdana" w:hAnsi="Verdana" w:cs="Arial"/>
          <w:sz w:val="18"/>
          <w:szCs w:val="18"/>
        </w:rPr>
        <w:t xml:space="preserve">Voor </w:t>
      </w:r>
      <w:r w:rsidR="008514C1" w:rsidRPr="00A51F92">
        <w:rPr>
          <w:rFonts w:ascii="Verdana" w:hAnsi="Verdana" w:cs="Arial"/>
          <w:sz w:val="18"/>
          <w:szCs w:val="18"/>
        </w:rPr>
        <w:t>verplichtingen w</w:t>
      </w:r>
      <w:r w:rsidR="00B74F21">
        <w:rPr>
          <w:rFonts w:ascii="Verdana" w:hAnsi="Verdana" w:cs="Arial"/>
          <w:sz w:val="18"/>
          <w:szCs w:val="18"/>
        </w:rPr>
        <w:t>ordt de norm van 10% op artikel</w:t>
      </w:r>
      <w:r w:rsidR="008514C1" w:rsidRPr="00A51F92">
        <w:rPr>
          <w:rFonts w:ascii="Verdana" w:hAnsi="Verdana" w:cs="Arial"/>
          <w:sz w:val="18"/>
          <w:szCs w:val="18"/>
        </w:rPr>
        <w:t>niveau aangehouden.</w:t>
      </w:r>
      <w:r w:rsidR="00A51F92">
        <w:rPr>
          <w:rFonts w:ascii="Verdana" w:hAnsi="Verdana" w:cs="Arial"/>
          <w:sz w:val="18"/>
          <w:szCs w:val="18"/>
        </w:rPr>
        <w:t xml:space="preserve"> </w:t>
      </w:r>
    </w:p>
    <w:p w:rsidR="00A96FF0" w:rsidRDefault="00A96FF0" w:rsidP="00833FAC">
      <w:pPr>
        <w:widowControl w:val="0"/>
        <w:autoSpaceDE w:val="0"/>
        <w:autoSpaceDN w:val="0"/>
        <w:adjustRightInd w:val="0"/>
        <w:rPr>
          <w:rFonts w:ascii="Verdana" w:hAnsi="Verdana" w:cs="Arial"/>
          <w:sz w:val="18"/>
          <w:szCs w:val="18"/>
        </w:rPr>
      </w:pPr>
      <w:bookmarkStart w:id="0" w:name="_GoBack"/>
      <w:bookmarkEnd w:id="0"/>
    </w:p>
    <w:p w:rsidR="004F6F69" w:rsidRDefault="004F6F69" w:rsidP="00833FAC">
      <w:pPr>
        <w:widowControl w:val="0"/>
        <w:autoSpaceDE w:val="0"/>
        <w:autoSpaceDN w:val="0"/>
        <w:adjustRightInd w:val="0"/>
        <w:rPr>
          <w:rFonts w:ascii="Verdana" w:hAnsi="Verdana" w:cs="Arial"/>
          <w:sz w:val="18"/>
          <w:szCs w:val="18"/>
        </w:rPr>
      </w:pPr>
    </w:p>
    <w:p w:rsidR="00834074" w:rsidRPr="00834074" w:rsidRDefault="002F1D5D" w:rsidP="00834074">
      <w:pPr>
        <w:widowControl w:val="0"/>
        <w:autoSpaceDE w:val="0"/>
        <w:autoSpaceDN w:val="0"/>
        <w:adjustRightInd w:val="0"/>
        <w:rPr>
          <w:rFonts w:ascii="Verdana" w:hAnsi="Verdana" w:cs="Arial"/>
          <w:sz w:val="18"/>
          <w:szCs w:val="18"/>
        </w:rPr>
      </w:pPr>
      <w:r>
        <w:rPr>
          <w:rFonts w:ascii="Verdana" w:hAnsi="Verdana"/>
          <w:sz w:val="18"/>
          <w:szCs w:val="18"/>
        </w:rPr>
        <w:t xml:space="preserve"> </w:t>
      </w:r>
    </w:p>
    <w:p w:rsidR="00D83ECB" w:rsidRDefault="00D83ECB" w:rsidP="00833FAC">
      <w:pPr>
        <w:widowControl w:val="0"/>
        <w:autoSpaceDE w:val="0"/>
        <w:autoSpaceDN w:val="0"/>
        <w:adjustRightInd w:val="0"/>
        <w:rPr>
          <w:rFonts w:ascii="Verdana" w:hAnsi="Verdana" w:cs="Arial"/>
          <w:sz w:val="18"/>
          <w:szCs w:val="18"/>
        </w:rPr>
      </w:pPr>
    </w:p>
    <w:p w:rsidR="00C34AE8" w:rsidRPr="006B2886" w:rsidRDefault="00C34AE8" w:rsidP="00C34AE8">
      <w:pPr>
        <w:spacing w:after="200"/>
        <w:rPr>
          <w:rFonts w:ascii="Verdana" w:eastAsiaTheme="minorHAnsi" w:hAnsi="Verdana" w:cstheme="minorBidi"/>
          <w:sz w:val="16"/>
          <w:szCs w:val="16"/>
          <w:lang w:eastAsia="en-US"/>
        </w:rPr>
      </w:pPr>
    </w:p>
    <w:p w:rsidR="00C34AE8" w:rsidRPr="006B2886" w:rsidRDefault="00C34AE8" w:rsidP="00C34AE8">
      <w:pPr>
        <w:spacing w:after="200"/>
        <w:rPr>
          <w:rFonts w:ascii="Verdana" w:eastAsiaTheme="minorHAnsi" w:hAnsi="Verdana" w:cstheme="minorBidi"/>
          <w:sz w:val="16"/>
          <w:szCs w:val="16"/>
          <w:lang w:eastAsia="en-US"/>
        </w:rPr>
      </w:pPr>
    </w:p>
    <w:p w:rsidR="00C34AE8" w:rsidRPr="006B2886" w:rsidRDefault="00C34AE8" w:rsidP="00C34AE8">
      <w:pPr>
        <w:spacing w:after="200"/>
        <w:rPr>
          <w:rFonts w:ascii="Verdana" w:eastAsiaTheme="minorHAnsi" w:hAnsi="Verdana" w:cstheme="minorBidi"/>
          <w:sz w:val="16"/>
          <w:szCs w:val="16"/>
          <w:lang w:eastAsia="en-US"/>
        </w:rPr>
      </w:pPr>
    </w:p>
    <w:p w:rsidR="004754BE" w:rsidRDefault="004754BE">
      <w:pPr>
        <w:rPr>
          <w:rFonts w:ascii="Verdana" w:hAnsi="Verdana"/>
          <w:b/>
          <w:sz w:val="18"/>
          <w:szCs w:val="18"/>
        </w:rPr>
      </w:pPr>
      <w:r>
        <w:rPr>
          <w:rFonts w:ascii="Verdana" w:hAnsi="Verdana"/>
          <w:b/>
          <w:sz w:val="18"/>
          <w:szCs w:val="18"/>
        </w:rPr>
        <w:br w:type="page"/>
      </w:r>
    </w:p>
    <w:p w:rsidR="0088461B" w:rsidRPr="00956DB4" w:rsidRDefault="001D7A55" w:rsidP="00956DB4">
      <w:pPr>
        <w:pStyle w:val="Lijstalinea"/>
        <w:numPr>
          <w:ilvl w:val="0"/>
          <w:numId w:val="10"/>
        </w:numPr>
        <w:autoSpaceDE w:val="0"/>
        <w:autoSpaceDN w:val="0"/>
        <w:adjustRightInd w:val="0"/>
        <w:rPr>
          <w:rFonts w:ascii="Verdana" w:hAnsi="Verdana"/>
          <w:b/>
          <w:sz w:val="18"/>
          <w:szCs w:val="18"/>
        </w:rPr>
      </w:pPr>
      <w:r w:rsidRPr="00956DB4">
        <w:rPr>
          <w:rFonts w:ascii="Verdana" w:hAnsi="Verdana"/>
          <w:b/>
          <w:sz w:val="18"/>
          <w:szCs w:val="18"/>
        </w:rPr>
        <w:lastRenderedPageBreak/>
        <w:t xml:space="preserve">Overzicht belangrijkste </w:t>
      </w:r>
      <w:r w:rsidR="00542E23" w:rsidRPr="00956DB4">
        <w:rPr>
          <w:rFonts w:ascii="Verdana" w:hAnsi="Verdana"/>
          <w:b/>
          <w:sz w:val="18"/>
          <w:szCs w:val="18"/>
        </w:rPr>
        <w:t>suppletoire uitgavenmutaties 201</w:t>
      </w:r>
      <w:r w:rsidR="00F1010B" w:rsidRPr="00956DB4">
        <w:rPr>
          <w:rFonts w:ascii="Verdana" w:hAnsi="Verdana"/>
          <w:b/>
          <w:sz w:val="18"/>
          <w:szCs w:val="18"/>
        </w:rPr>
        <w:t>4</w:t>
      </w:r>
    </w:p>
    <w:p w:rsidR="005F032C" w:rsidRDefault="005F032C" w:rsidP="005F032C">
      <w:pPr>
        <w:autoSpaceDE w:val="0"/>
        <w:autoSpaceDN w:val="0"/>
        <w:adjustRightInd w:val="0"/>
        <w:rPr>
          <w:rFonts w:ascii="Verdana" w:hAnsi="Verdana" w:cs="Courier New"/>
          <w:sz w:val="18"/>
          <w:szCs w:val="18"/>
        </w:rPr>
      </w:pPr>
    </w:p>
    <w:p w:rsidR="00956DB4" w:rsidRPr="00E87C6D" w:rsidRDefault="00956DB4" w:rsidP="00956DB4">
      <w:pPr>
        <w:pStyle w:val="Plattetekst2"/>
        <w:tabs>
          <w:tab w:val="left" w:pos="709"/>
        </w:tabs>
        <w:outlineLvl w:val="0"/>
        <w:rPr>
          <w:rFonts w:ascii="Verdana" w:hAnsi="Verdana"/>
          <w:b/>
          <w:iCs/>
          <w:sz w:val="18"/>
          <w:szCs w:val="18"/>
        </w:rPr>
      </w:pPr>
      <w:r w:rsidRPr="00E87C6D">
        <w:rPr>
          <w:rFonts w:ascii="Verdana" w:hAnsi="Verdana"/>
          <w:b/>
          <w:iCs/>
          <w:sz w:val="18"/>
          <w:szCs w:val="18"/>
        </w:rPr>
        <w:t xml:space="preserve">Buitenlandse </w:t>
      </w:r>
      <w:r>
        <w:rPr>
          <w:rFonts w:ascii="Verdana" w:hAnsi="Verdana"/>
          <w:b/>
          <w:iCs/>
          <w:sz w:val="18"/>
          <w:szCs w:val="18"/>
        </w:rPr>
        <w:t>Handel en Ontwikkelingssamenwerking</w:t>
      </w:r>
      <w:r w:rsidRPr="00E87C6D">
        <w:rPr>
          <w:rFonts w:ascii="Verdana" w:hAnsi="Verdana"/>
          <w:b/>
          <w:iCs/>
          <w:sz w:val="18"/>
          <w:szCs w:val="18"/>
        </w:rPr>
        <w:t xml:space="preserve"> (</w:t>
      </w:r>
      <w:r>
        <w:rPr>
          <w:rFonts w:ascii="Verdana" w:hAnsi="Verdana"/>
          <w:b/>
          <w:iCs/>
          <w:sz w:val="18"/>
          <w:szCs w:val="18"/>
        </w:rPr>
        <w:t>X</w:t>
      </w:r>
      <w:r w:rsidRPr="00E87C6D">
        <w:rPr>
          <w:rFonts w:ascii="Verdana" w:hAnsi="Verdana"/>
          <w:b/>
          <w:iCs/>
          <w:sz w:val="18"/>
          <w:szCs w:val="18"/>
        </w:rPr>
        <w:t>V</w:t>
      </w:r>
      <w:r>
        <w:rPr>
          <w:rFonts w:ascii="Verdana" w:hAnsi="Verdana"/>
          <w:b/>
          <w:iCs/>
          <w:sz w:val="18"/>
          <w:szCs w:val="18"/>
        </w:rPr>
        <w:t>II</w:t>
      </w:r>
      <w:r w:rsidRPr="00E87C6D">
        <w:rPr>
          <w:rFonts w:ascii="Verdana" w:hAnsi="Verdana"/>
          <w:b/>
          <w:iCs/>
          <w:sz w:val="18"/>
          <w:szCs w:val="18"/>
        </w:rPr>
        <w:t xml:space="preserve">): </w:t>
      </w:r>
    </w:p>
    <w:p w:rsidR="00AA5072" w:rsidRDefault="00956DB4" w:rsidP="00956DB4">
      <w:pPr>
        <w:pStyle w:val="Plattetekst2"/>
        <w:tabs>
          <w:tab w:val="left" w:pos="709"/>
        </w:tabs>
        <w:outlineLvl w:val="0"/>
        <w:rPr>
          <w:rFonts w:ascii="Verdana" w:hAnsi="Verdana"/>
          <w:iCs/>
          <w:sz w:val="18"/>
          <w:szCs w:val="18"/>
        </w:rPr>
      </w:pPr>
      <w:r>
        <w:rPr>
          <w:rFonts w:ascii="Verdana" w:hAnsi="Verdana"/>
          <w:iCs/>
          <w:sz w:val="18"/>
          <w:szCs w:val="18"/>
        </w:rPr>
        <w:t xml:space="preserve">Het voorstel is om de uitgaven voor 2014 te </w:t>
      </w:r>
      <w:r w:rsidR="009D0193" w:rsidRPr="00AA5072">
        <w:rPr>
          <w:rFonts w:ascii="Verdana" w:hAnsi="Verdana"/>
          <w:iCs/>
          <w:sz w:val="18"/>
          <w:szCs w:val="18"/>
        </w:rPr>
        <w:t>verhogen</w:t>
      </w:r>
      <w:r w:rsidRPr="00AA5072">
        <w:rPr>
          <w:rFonts w:ascii="Verdana" w:hAnsi="Verdana"/>
          <w:iCs/>
          <w:sz w:val="18"/>
          <w:szCs w:val="18"/>
        </w:rPr>
        <w:t xml:space="preserve"> met EUR </w:t>
      </w:r>
      <w:r w:rsidR="00AA5072" w:rsidRPr="00AA5072">
        <w:rPr>
          <w:rFonts w:ascii="Verdana" w:hAnsi="Verdana"/>
          <w:iCs/>
          <w:sz w:val="18"/>
          <w:szCs w:val="18"/>
        </w:rPr>
        <w:t>2</w:t>
      </w:r>
      <w:r w:rsidR="003D1624" w:rsidRPr="00AA5072">
        <w:rPr>
          <w:rFonts w:ascii="Verdana" w:hAnsi="Verdana"/>
          <w:iCs/>
          <w:sz w:val="18"/>
          <w:szCs w:val="18"/>
        </w:rPr>
        <w:t>39</w:t>
      </w:r>
      <w:r w:rsidR="00D85A6B" w:rsidRPr="00AA5072">
        <w:rPr>
          <w:rFonts w:ascii="Verdana" w:hAnsi="Verdana"/>
          <w:iCs/>
          <w:sz w:val="18"/>
          <w:szCs w:val="18"/>
        </w:rPr>
        <w:t xml:space="preserve"> </w:t>
      </w:r>
      <w:r w:rsidRPr="00AA5072">
        <w:rPr>
          <w:rFonts w:ascii="Verdana" w:hAnsi="Verdana"/>
          <w:iCs/>
          <w:sz w:val="18"/>
          <w:szCs w:val="18"/>
        </w:rPr>
        <w:t>miljoen</w:t>
      </w:r>
      <w:r w:rsidRPr="00C05635">
        <w:rPr>
          <w:rFonts w:ascii="Verdana" w:hAnsi="Verdana"/>
          <w:iCs/>
          <w:sz w:val="18"/>
          <w:szCs w:val="18"/>
        </w:rPr>
        <w:t xml:space="preserve">. </w:t>
      </w:r>
      <w:r w:rsidR="00AA5072">
        <w:rPr>
          <w:rFonts w:ascii="Verdana" w:hAnsi="Verdana"/>
          <w:iCs/>
          <w:sz w:val="18"/>
          <w:szCs w:val="18"/>
        </w:rPr>
        <w:t>De stijging wordt grotendeels veroorzaakt door het Noodhulpfonds waarvan het budget voor 2015 is vastgesteld op EUR 170 miljoen.</w:t>
      </w:r>
    </w:p>
    <w:p w:rsidR="00AA5072" w:rsidRDefault="00AA5072" w:rsidP="00956DB4">
      <w:pPr>
        <w:pStyle w:val="Plattetekst2"/>
        <w:tabs>
          <w:tab w:val="left" w:pos="709"/>
        </w:tabs>
        <w:outlineLvl w:val="0"/>
        <w:rPr>
          <w:rFonts w:ascii="Verdana" w:hAnsi="Verdana"/>
          <w:iCs/>
          <w:sz w:val="18"/>
          <w:szCs w:val="18"/>
        </w:rPr>
      </w:pPr>
    </w:p>
    <w:p w:rsidR="009E353E" w:rsidRDefault="00AA5072" w:rsidP="00956DB4">
      <w:pPr>
        <w:pStyle w:val="Plattetekst2"/>
        <w:tabs>
          <w:tab w:val="left" w:pos="709"/>
        </w:tabs>
        <w:outlineLvl w:val="0"/>
        <w:rPr>
          <w:rFonts w:ascii="Verdana" w:hAnsi="Verdana"/>
          <w:iCs/>
          <w:sz w:val="18"/>
          <w:szCs w:val="18"/>
        </w:rPr>
      </w:pPr>
      <w:r>
        <w:rPr>
          <w:rFonts w:ascii="Verdana" w:hAnsi="Verdana"/>
          <w:iCs/>
          <w:sz w:val="18"/>
          <w:szCs w:val="18"/>
        </w:rPr>
        <w:t xml:space="preserve">Daarnaast wordt binnen de begroting van BH&amp;OS </w:t>
      </w:r>
      <w:r w:rsidR="00531DA5">
        <w:rPr>
          <w:rFonts w:ascii="Verdana" w:hAnsi="Verdana"/>
          <w:iCs/>
          <w:sz w:val="18"/>
          <w:szCs w:val="18"/>
        </w:rPr>
        <w:t xml:space="preserve">(sub-artikel 5.2) </w:t>
      </w:r>
      <w:r>
        <w:rPr>
          <w:rFonts w:ascii="Verdana" w:hAnsi="Verdana"/>
          <w:iCs/>
          <w:sz w:val="18"/>
          <w:szCs w:val="18"/>
        </w:rPr>
        <w:t>EUR 400 miljoen vrijgemaakt te</w:t>
      </w:r>
      <w:r w:rsidR="006179D1">
        <w:rPr>
          <w:rFonts w:ascii="Verdana" w:hAnsi="Verdana"/>
          <w:iCs/>
          <w:sz w:val="18"/>
          <w:szCs w:val="18"/>
        </w:rPr>
        <w:t>r</w:t>
      </w:r>
      <w:r>
        <w:rPr>
          <w:rFonts w:ascii="Verdana" w:hAnsi="Verdana"/>
          <w:iCs/>
          <w:sz w:val="18"/>
          <w:szCs w:val="18"/>
        </w:rPr>
        <w:t xml:space="preserve"> dekking van de </w:t>
      </w:r>
      <w:r w:rsidR="009D0193">
        <w:rPr>
          <w:rFonts w:ascii="Verdana" w:hAnsi="Verdana"/>
          <w:iCs/>
          <w:sz w:val="18"/>
          <w:szCs w:val="18"/>
        </w:rPr>
        <w:t>sterk toegenomen kosten van de eerstejaars</w:t>
      </w:r>
      <w:r w:rsidR="00A17670">
        <w:rPr>
          <w:rFonts w:ascii="Verdana" w:hAnsi="Verdana"/>
          <w:iCs/>
          <w:sz w:val="18"/>
          <w:szCs w:val="18"/>
        </w:rPr>
        <w:t>opvang van asielzoekers</w:t>
      </w:r>
      <w:r w:rsidR="009E353E">
        <w:rPr>
          <w:rFonts w:ascii="Verdana" w:hAnsi="Verdana"/>
          <w:iCs/>
          <w:sz w:val="18"/>
          <w:szCs w:val="18"/>
        </w:rPr>
        <w:t xml:space="preserve"> uit DAC-landen. Deze kosten worden toegerekend aan het ODA-budget.</w:t>
      </w:r>
    </w:p>
    <w:p w:rsidR="009E353E" w:rsidRDefault="009E353E" w:rsidP="00956DB4">
      <w:pPr>
        <w:pStyle w:val="Plattetekst2"/>
        <w:tabs>
          <w:tab w:val="left" w:pos="709"/>
        </w:tabs>
        <w:outlineLvl w:val="0"/>
        <w:rPr>
          <w:rFonts w:ascii="Verdana" w:hAnsi="Verdana"/>
          <w:iCs/>
          <w:sz w:val="18"/>
          <w:szCs w:val="18"/>
        </w:rPr>
      </w:pPr>
    </w:p>
    <w:p w:rsidR="006C546F" w:rsidRDefault="00AF31B5" w:rsidP="00AF31B5">
      <w:pPr>
        <w:pStyle w:val="Plattetekst2"/>
        <w:tabs>
          <w:tab w:val="left" w:pos="709"/>
        </w:tabs>
        <w:outlineLvl w:val="0"/>
        <w:rPr>
          <w:rFonts w:ascii="Verdana" w:hAnsi="Verdana"/>
          <w:iCs/>
          <w:sz w:val="18"/>
          <w:szCs w:val="18"/>
        </w:rPr>
      </w:pPr>
      <w:r w:rsidRPr="00AF31B5">
        <w:rPr>
          <w:rFonts w:ascii="Verdana" w:hAnsi="Verdana"/>
          <w:iCs/>
          <w:sz w:val="18"/>
          <w:szCs w:val="18"/>
        </w:rPr>
        <w:t xml:space="preserve">De raming voor de asielinstroom is voor de komende jaren naar boven bijgesteld. De aan ODA toerekenbare kosten van de eerstejaarsopvang in 2015 stijgen daardoor naar EUR </w:t>
      </w:r>
      <w:r w:rsidR="006C546F">
        <w:rPr>
          <w:rFonts w:ascii="Verdana" w:hAnsi="Verdana"/>
          <w:iCs/>
          <w:sz w:val="18"/>
          <w:szCs w:val="18"/>
        </w:rPr>
        <w:t>732</w:t>
      </w:r>
      <w:r w:rsidRPr="00AF31B5">
        <w:rPr>
          <w:rFonts w:ascii="Verdana" w:hAnsi="Verdana"/>
          <w:iCs/>
          <w:sz w:val="18"/>
          <w:szCs w:val="18"/>
        </w:rPr>
        <w:t xml:space="preserve"> miljoen. Hiervan was EUR 297 miljoen </w:t>
      </w:r>
      <w:r w:rsidR="00324957">
        <w:rPr>
          <w:rFonts w:ascii="Verdana" w:hAnsi="Verdana"/>
          <w:iCs/>
          <w:sz w:val="18"/>
          <w:szCs w:val="18"/>
        </w:rPr>
        <w:t xml:space="preserve">reeds </w:t>
      </w:r>
      <w:r w:rsidRPr="00AF31B5">
        <w:rPr>
          <w:rFonts w:ascii="Verdana" w:hAnsi="Verdana"/>
          <w:iCs/>
          <w:sz w:val="18"/>
          <w:szCs w:val="18"/>
        </w:rPr>
        <w:t xml:space="preserve">gedekt binnen de huidige BH&amp;OS-begroting. </w:t>
      </w:r>
      <w:r w:rsidR="00324957">
        <w:rPr>
          <w:rFonts w:ascii="Verdana" w:hAnsi="Verdana"/>
          <w:iCs/>
          <w:sz w:val="18"/>
          <w:szCs w:val="18"/>
        </w:rPr>
        <w:t>Daarnaast ko</w:t>
      </w:r>
      <w:r w:rsidR="006C546F" w:rsidRPr="00982445">
        <w:rPr>
          <w:rFonts w:ascii="Verdana" w:hAnsi="Verdana"/>
          <w:iCs/>
          <w:sz w:val="18"/>
          <w:szCs w:val="18"/>
        </w:rPr>
        <w:t xml:space="preserve">n EUR 35 </w:t>
      </w:r>
      <w:r w:rsidR="006C546F">
        <w:rPr>
          <w:rFonts w:ascii="Verdana" w:hAnsi="Verdana"/>
          <w:iCs/>
          <w:sz w:val="18"/>
          <w:szCs w:val="18"/>
        </w:rPr>
        <w:t>miljoen</w:t>
      </w:r>
      <w:r w:rsidR="006C546F" w:rsidRPr="00982445">
        <w:rPr>
          <w:rFonts w:ascii="Verdana" w:hAnsi="Verdana"/>
          <w:iCs/>
          <w:sz w:val="18"/>
          <w:szCs w:val="18"/>
        </w:rPr>
        <w:t xml:space="preserve"> worden gefinancierd uit </w:t>
      </w:r>
      <w:r w:rsidR="00196063">
        <w:rPr>
          <w:rFonts w:ascii="Verdana" w:hAnsi="Verdana"/>
          <w:iCs/>
          <w:sz w:val="18"/>
          <w:szCs w:val="18"/>
        </w:rPr>
        <w:t xml:space="preserve">het restant van </w:t>
      </w:r>
      <w:r w:rsidR="006C546F" w:rsidRPr="00982445">
        <w:rPr>
          <w:rFonts w:ascii="Verdana" w:hAnsi="Verdana"/>
          <w:iCs/>
          <w:sz w:val="18"/>
          <w:szCs w:val="18"/>
        </w:rPr>
        <w:t xml:space="preserve">de EUR 375 </w:t>
      </w:r>
      <w:r w:rsidR="006C546F">
        <w:rPr>
          <w:rFonts w:ascii="Verdana" w:hAnsi="Verdana"/>
          <w:iCs/>
          <w:sz w:val="18"/>
          <w:szCs w:val="18"/>
        </w:rPr>
        <w:t>miljoen</w:t>
      </w:r>
      <w:r w:rsidR="006C546F" w:rsidRPr="00982445">
        <w:rPr>
          <w:rFonts w:ascii="Verdana" w:hAnsi="Verdana"/>
          <w:iCs/>
          <w:sz w:val="18"/>
          <w:szCs w:val="18"/>
        </w:rPr>
        <w:t xml:space="preserve"> die in 2014 éénmalig </w:t>
      </w:r>
      <w:r w:rsidR="00196063">
        <w:rPr>
          <w:rFonts w:ascii="Verdana" w:hAnsi="Verdana"/>
          <w:iCs/>
          <w:sz w:val="18"/>
          <w:szCs w:val="18"/>
        </w:rPr>
        <w:t xml:space="preserve">vanuit ODA is toegerekend aan de </w:t>
      </w:r>
      <w:r w:rsidR="003E16EE">
        <w:rPr>
          <w:rFonts w:ascii="Verdana" w:hAnsi="Verdana"/>
          <w:iCs/>
          <w:sz w:val="18"/>
          <w:szCs w:val="18"/>
        </w:rPr>
        <w:t>kosten voor eerstejaarsopvang van asielzoekers</w:t>
      </w:r>
      <w:r w:rsidR="006C546F">
        <w:rPr>
          <w:rFonts w:ascii="Verdana" w:hAnsi="Verdana"/>
          <w:iCs/>
          <w:sz w:val="18"/>
          <w:szCs w:val="18"/>
        </w:rPr>
        <w:t>.</w:t>
      </w:r>
    </w:p>
    <w:p w:rsidR="006C546F" w:rsidRDefault="006C546F" w:rsidP="00AF31B5">
      <w:pPr>
        <w:pStyle w:val="Plattetekst2"/>
        <w:tabs>
          <w:tab w:val="left" w:pos="709"/>
        </w:tabs>
        <w:outlineLvl w:val="0"/>
        <w:rPr>
          <w:rFonts w:ascii="Verdana" w:hAnsi="Verdana"/>
          <w:iCs/>
          <w:sz w:val="18"/>
          <w:szCs w:val="18"/>
        </w:rPr>
      </w:pPr>
    </w:p>
    <w:p w:rsidR="00AF31B5" w:rsidRPr="00AF31B5" w:rsidRDefault="00FF4DB3" w:rsidP="00AF31B5">
      <w:pPr>
        <w:pStyle w:val="Plattetekst2"/>
        <w:tabs>
          <w:tab w:val="left" w:pos="709"/>
        </w:tabs>
        <w:outlineLvl w:val="0"/>
        <w:rPr>
          <w:rFonts w:ascii="Verdana" w:hAnsi="Verdana"/>
          <w:iCs/>
          <w:sz w:val="18"/>
          <w:szCs w:val="18"/>
        </w:rPr>
      </w:pPr>
      <w:r>
        <w:rPr>
          <w:rFonts w:ascii="Verdana" w:hAnsi="Verdana"/>
          <w:iCs/>
          <w:sz w:val="18"/>
          <w:szCs w:val="18"/>
        </w:rPr>
        <w:t>Binnen de regering is besloten om</w:t>
      </w:r>
      <w:r w:rsidR="00AF31B5" w:rsidRPr="00AF31B5">
        <w:rPr>
          <w:rFonts w:ascii="Verdana" w:hAnsi="Verdana"/>
          <w:iCs/>
          <w:sz w:val="18"/>
          <w:szCs w:val="18"/>
        </w:rPr>
        <w:t xml:space="preserve"> het resterende tekort van EUR </w:t>
      </w:r>
      <w:r w:rsidR="00241E33">
        <w:rPr>
          <w:rFonts w:ascii="Verdana" w:hAnsi="Verdana"/>
          <w:iCs/>
          <w:sz w:val="18"/>
          <w:szCs w:val="18"/>
        </w:rPr>
        <w:t>400</w:t>
      </w:r>
      <w:r w:rsidR="00AF31B5" w:rsidRPr="00AF31B5">
        <w:rPr>
          <w:rFonts w:ascii="Verdana" w:hAnsi="Verdana"/>
          <w:iCs/>
          <w:sz w:val="18"/>
          <w:szCs w:val="18"/>
        </w:rPr>
        <w:t xml:space="preserve"> miljoen </w:t>
      </w:r>
      <w:r>
        <w:rPr>
          <w:rFonts w:ascii="Verdana" w:hAnsi="Verdana"/>
          <w:iCs/>
          <w:sz w:val="18"/>
          <w:szCs w:val="18"/>
        </w:rPr>
        <w:t xml:space="preserve">te dekken </w:t>
      </w:r>
      <w:r w:rsidR="00AF31B5" w:rsidRPr="00AF31B5">
        <w:rPr>
          <w:rFonts w:ascii="Verdana" w:hAnsi="Verdana"/>
          <w:iCs/>
          <w:sz w:val="18"/>
          <w:szCs w:val="18"/>
        </w:rPr>
        <w:t>door middel van de volgende budgettaire mutaties binnen de BHOS begroting:</w:t>
      </w:r>
    </w:p>
    <w:p w:rsidR="00AF31B5" w:rsidRPr="00AF31B5" w:rsidRDefault="00AF31B5" w:rsidP="00AF31B5">
      <w:pPr>
        <w:pStyle w:val="Plattetekst2"/>
        <w:numPr>
          <w:ilvl w:val="0"/>
          <w:numId w:val="21"/>
        </w:numPr>
        <w:tabs>
          <w:tab w:val="left" w:pos="709"/>
        </w:tabs>
        <w:outlineLvl w:val="0"/>
        <w:rPr>
          <w:rFonts w:ascii="Verdana" w:hAnsi="Verdana"/>
          <w:iCs/>
          <w:sz w:val="18"/>
          <w:szCs w:val="18"/>
        </w:rPr>
      </w:pPr>
      <w:r w:rsidRPr="00AF31B5">
        <w:rPr>
          <w:rFonts w:ascii="Verdana" w:hAnsi="Verdana"/>
          <w:iCs/>
          <w:sz w:val="18"/>
          <w:szCs w:val="18"/>
        </w:rPr>
        <w:t>EUR 345 miljoen: een kasschuif van de geraamde BNP-macromeevallers in de periode 2016-2020.</w:t>
      </w:r>
    </w:p>
    <w:p w:rsidR="00AF31B5" w:rsidRPr="00AF31B5" w:rsidRDefault="00324957" w:rsidP="00AF31B5">
      <w:pPr>
        <w:pStyle w:val="Plattetekst2"/>
        <w:numPr>
          <w:ilvl w:val="0"/>
          <w:numId w:val="21"/>
        </w:numPr>
        <w:tabs>
          <w:tab w:val="left" w:pos="709"/>
        </w:tabs>
        <w:outlineLvl w:val="0"/>
        <w:rPr>
          <w:rFonts w:ascii="Verdana" w:hAnsi="Verdana"/>
          <w:iCs/>
          <w:sz w:val="18"/>
          <w:szCs w:val="18"/>
        </w:rPr>
      </w:pPr>
      <w:r>
        <w:rPr>
          <w:rFonts w:ascii="Verdana" w:hAnsi="Verdana"/>
          <w:iCs/>
          <w:sz w:val="18"/>
          <w:szCs w:val="18"/>
        </w:rPr>
        <w:t>EUR 30</w:t>
      </w:r>
      <w:r w:rsidR="00AF31B5" w:rsidRPr="00AF31B5">
        <w:rPr>
          <w:rFonts w:ascii="Verdana" w:hAnsi="Verdana"/>
          <w:iCs/>
          <w:sz w:val="18"/>
          <w:szCs w:val="18"/>
        </w:rPr>
        <w:t xml:space="preserve"> miljoen: </w:t>
      </w:r>
      <w:r w:rsidR="003E16EE">
        <w:rPr>
          <w:rFonts w:ascii="Verdana" w:hAnsi="Verdana"/>
          <w:iCs/>
          <w:sz w:val="18"/>
          <w:szCs w:val="18"/>
        </w:rPr>
        <w:t>door geraamde ODA middelen uit 2020 naar voren te halen en in te zetten in 2015.</w:t>
      </w:r>
    </w:p>
    <w:p w:rsidR="00AF31B5" w:rsidRDefault="00AF31B5" w:rsidP="00AF31B5">
      <w:pPr>
        <w:pStyle w:val="Plattetekst2"/>
        <w:numPr>
          <w:ilvl w:val="0"/>
          <w:numId w:val="21"/>
        </w:numPr>
        <w:tabs>
          <w:tab w:val="left" w:pos="709"/>
        </w:tabs>
        <w:outlineLvl w:val="0"/>
        <w:rPr>
          <w:rFonts w:ascii="Verdana" w:hAnsi="Verdana"/>
          <w:iCs/>
          <w:sz w:val="18"/>
          <w:szCs w:val="18"/>
        </w:rPr>
      </w:pPr>
      <w:r w:rsidRPr="00AF31B5">
        <w:rPr>
          <w:rFonts w:ascii="Verdana" w:hAnsi="Verdana"/>
          <w:iCs/>
          <w:sz w:val="18"/>
          <w:szCs w:val="18"/>
        </w:rPr>
        <w:t>EUR 24 miljoen: het aanwenden van een deel van de non-ODA eindejaarsmarge uit 2014.</w:t>
      </w:r>
    </w:p>
    <w:p w:rsidR="00AF31B5" w:rsidRDefault="00AF31B5" w:rsidP="00E30642">
      <w:pPr>
        <w:pStyle w:val="Plattetekst2"/>
        <w:tabs>
          <w:tab w:val="left" w:pos="709"/>
        </w:tabs>
        <w:outlineLvl w:val="0"/>
        <w:rPr>
          <w:rFonts w:ascii="Verdana" w:hAnsi="Verdana"/>
          <w:iCs/>
          <w:sz w:val="18"/>
          <w:szCs w:val="18"/>
        </w:rPr>
      </w:pPr>
    </w:p>
    <w:p w:rsidR="00E30642" w:rsidRDefault="00D455BD" w:rsidP="00E30642">
      <w:pPr>
        <w:pStyle w:val="Plattetekst2"/>
        <w:tabs>
          <w:tab w:val="left" w:pos="709"/>
        </w:tabs>
        <w:outlineLvl w:val="0"/>
        <w:rPr>
          <w:rFonts w:ascii="Verdana" w:hAnsi="Verdana"/>
          <w:iCs/>
          <w:sz w:val="18"/>
          <w:szCs w:val="18"/>
        </w:rPr>
      </w:pPr>
      <w:r>
        <w:rPr>
          <w:rFonts w:ascii="Verdana" w:hAnsi="Verdana"/>
          <w:iCs/>
          <w:sz w:val="18"/>
          <w:szCs w:val="18"/>
        </w:rPr>
        <w:t xml:space="preserve">Bij </w:t>
      </w:r>
      <w:r w:rsidR="00CD0D87">
        <w:rPr>
          <w:rFonts w:ascii="Verdana" w:hAnsi="Verdana"/>
          <w:iCs/>
          <w:sz w:val="18"/>
          <w:szCs w:val="18"/>
        </w:rPr>
        <w:t>ontwerpbegroting 2016</w:t>
      </w:r>
      <w:r>
        <w:rPr>
          <w:rFonts w:ascii="Verdana" w:hAnsi="Verdana"/>
          <w:iCs/>
          <w:sz w:val="18"/>
          <w:szCs w:val="18"/>
        </w:rPr>
        <w:t xml:space="preserve"> </w:t>
      </w:r>
      <w:r w:rsidR="00982445">
        <w:rPr>
          <w:rFonts w:ascii="Verdana" w:hAnsi="Verdana"/>
          <w:iCs/>
          <w:sz w:val="18"/>
          <w:szCs w:val="18"/>
        </w:rPr>
        <w:t>wordt u</w:t>
      </w:r>
      <w:r>
        <w:rPr>
          <w:rFonts w:ascii="Verdana" w:hAnsi="Verdana"/>
          <w:iCs/>
          <w:sz w:val="18"/>
          <w:szCs w:val="18"/>
        </w:rPr>
        <w:t>w Kamer</w:t>
      </w:r>
      <w:r w:rsidR="00982445">
        <w:rPr>
          <w:rFonts w:ascii="Verdana" w:hAnsi="Verdana"/>
          <w:iCs/>
          <w:sz w:val="18"/>
          <w:szCs w:val="18"/>
        </w:rPr>
        <w:t xml:space="preserve"> </w:t>
      </w:r>
      <w:r w:rsidR="001922A0">
        <w:rPr>
          <w:rFonts w:ascii="Verdana" w:hAnsi="Verdana"/>
          <w:iCs/>
          <w:sz w:val="18"/>
          <w:szCs w:val="18"/>
        </w:rPr>
        <w:t xml:space="preserve">nader </w:t>
      </w:r>
      <w:r w:rsidR="00982445">
        <w:rPr>
          <w:rFonts w:ascii="Verdana" w:hAnsi="Verdana"/>
          <w:iCs/>
          <w:sz w:val="18"/>
          <w:szCs w:val="18"/>
        </w:rPr>
        <w:t xml:space="preserve">geïnformeerd over de </w:t>
      </w:r>
      <w:r w:rsidR="00E30642">
        <w:rPr>
          <w:rFonts w:ascii="Verdana" w:hAnsi="Verdana"/>
          <w:iCs/>
          <w:sz w:val="18"/>
          <w:szCs w:val="18"/>
        </w:rPr>
        <w:t xml:space="preserve">meerjarige consequenties </w:t>
      </w:r>
      <w:r>
        <w:rPr>
          <w:rFonts w:ascii="Verdana" w:hAnsi="Verdana"/>
          <w:iCs/>
          <w:sz w:val="18"/>
          <w:szCs w:val="18"/>
        </w:rPr>
        <w:t xml:space="preserve">(2016 e.v.) </w:t>
      </w:r>
      <w:r w:rsidR="00CD0D87">
        <w:rPr>
          <w:rFonts w:ascii="Verdana" w:hAnsi="Verdana"/>
          <w:iCs/>
          <w:sz w:val="18"/>
          <w:szCs w:val="18"/>
        </w:rPr>
        <w:t xml:space="preserve">van de gestegen asielkosten </w:t>
      </w:r>
      <w:r>
        <w:rPr>
          <w:rFonts w:ascii="Verdana" w:hAnsi="Verdana"/>
          <w:iCs/>
          <w:sz w:val="18"/>
          <w:szCs w:val="18"/>
        </w:rPr>
        <w:t>voor het ODA-budget.</w:t>
      </w:r>
    </w:p>
    <w:p w:rsidR="00521C20" w:rsidRDefault="00521C20" w:rsidP="00956DB4">
      <w:pPr>
        <w:pStyle w:val="Plattetekst2"/>
        <w:tabs>
          <w:tab w:val="left" w:pos="709"/>
        </w:tabs>
        <w:outlineLvl w:val="0"/>
        <w:rPr>
          <w:rFonts w:ascii="Verdana" w:hAnsi="Verdana"/>
          <w:iCs/>
          <w:sz w:val="18"/>
          <w:szCs w:val="18"/>
        </w:rPr>
      </w:pPr>
    </w:p>
    <w:p w:rsidR="009D0193" w:rsidRDefault="002A1DFA" w:rsidP="004E70FE">
      <w:pPr>
        <w:rPr>
          <w:rFonts w:ascii="Verdana" w:hAnsi="Verdana"/>
          <w:iCs/>
          <w:sz w:val="18"/>
          <w:szCs w:val="18"/>
        </w:rPr>
      </w:pPr>
      <w:r w:rsidRPr="00545AAA">
        <w:rPr>
          <w:rFonts w:ascii="Verdana" w:hAnsi="Verdana"/>
          <w:iCs/>
          <w:sz w:val="18"/>
          <w:szCs w:val="18"/>
        </w:rPr>
        <w:t>D</w:t>
      </w:r>
      <w:r w:rsidR="00E00395" w:rsidRPr="00545AAA">
        <w:rPr>
          <w:rFonts w:ascii="Verdana" w:hAnsi="Verdana"/>
          <w:iCs/>
          <w:sz w:val="18"/>
          <w:szCs w:val="18"/>
        </w:rPr>
        <w:t xml:space="preserve">e verwachte </w:t>
      </w:r>
      <w:r w:rsidRPr="00545AAA">
        <w:rPr>
          <w:rFonts w:ascii="Verdana" w:hAnsi="Verdana"/>
          <w:iCs/>
          <w:sz w:val="18"/>
          <w:szCs w:val="18"/>
        </w:rPr>
        <w:t>ODA-prestatie</w:t>
      </w:r>
      <w:r w:rsidR="00545AAA" w:rsidRPr="00545AAA">
        <w:rPr>
          <w:rFonts w:ascii="Verdana" w:hAnsi="Verdana"/>
          <w:iCs/>
          <w:sz w:val="18"/>
          <w:szCs w:val="18"/>
        </w:rPr>
        <w:t xml:space="preserve"> stijgt in 2015</w:t>
      </w:r>
      <w:r w:rsidR="00CD0D87">
        <w:rPr>
          <w:rFonts w:ascii="Verdana" w:hAnsi="Verdana"/>
          <w:iCs/>
          <w:sz w:val="18"/>
          <w:szCs w:val="18"/>
        </w:rPr>
        <w:t xml:space="preserve"> naar </w:t>
      </w:r>
      <w:r w:rsidR="00CD0D87" w:rsidRPr="006179D1">
        <w:rPr>
          <w:rFonts w:ascii="Verdana" w:hAnsi="Verdana"/>
          <w:iCs/>
          <w:sz w:val="18"/>
          <w:szCs w:val="18"/>
        </w:rPr>
        <w:t>0,66</w:t>
      </w:r>
      <w:r w:rsidR="00E00395" w:rsidRPr="006179D1">
        <w:rPr>
          <w:rFonts w:ascii="Verdana" w:hAnsi="Verdana"/>
          <w:iCs/>
          <w:sz w:val="18"/>
          <w:szCs w:val="18"/>
        </w:rPr>
        <w:t>%</w:t>
      </w:r>
      <w:r w:rsidR="003E16EE">
        <w:rPr>
          <w:rFonts w:ascii="Verdana" w:hAnsi="Verdana"/>
          <w:iCs/>
          <w:sz w:val="18"/>
          <w:szCs w:val="18"/>
        </w:rPr>
        <w:t>, met name als gevolg van de hogere asielkosten.</w:t>
      </w:r>
    </w:p>
    <w:p w:rsidR="009D0193" w:rsidRDefault="009D0193" w:rsidP="004E70FE">
      <w:pPr>
        <w:rPr>
          <w:rFonts w:ascii="Verdana" w:hAnsi="Verdana"/>
          <w:iCs/>
          <w:sz w:val="18"/>
          <w:szCs w:val="18"/>
        </w:rPr>
      </w:pPr>
    </w:p>
    <w:p w:rsidR="00956DB4" w:rsidRDefault="00531DA5" w:rsidP="00956DB4">
      <w:pPr>
        <w:autoSpaceDE w:val="0"/>
        <w:autoSpaceDN w:val="0"/>
        <w:adjustRightInd w:val="0"/>
        <w:rPr>
          <w:rFonts w:ascii="Verdana" w:hAnsi="Verdana"/>
          <w:sz w:val="18"/>
          <w:szCs w:val="18"/>
        </w:rPr>
      </w:pPr>
      <w:r>
        <w:rPr>
          <w:rFonts w:ascii="Verdana" w:hAnsi="Verdana"/>
          <w:sz w:val="18"/>
          <w:szCs w:val="18"/>
        </w:rPr>
        <w:t xml:space="preserve">In aanvulling op het bovenstaande vindt u hieronder </w:t>
      </w:r>
      <w:r w:rsidR="0075080D">
        <w:rPr>
          <w:rFonts w:ascii="Verdana" w:hAnsi="Verdana"/>
          <w:sz w:val="18"/>
          <w:szCs w:val="18"/>
        </w:rPr>
        <w:t>een</w:t>
      </w:r>
      <w:r w:rsidR="00956DB4" w:rsidRPr="00EF730F">
        <w:rPr>
          <w:rFonts w:ascii="Verdana" w:hAnsi="Verdana"/>
          <w:sz w:val="18"/>
          <w:szCs w:val="18"/>
        </w:rPr>
        <w:t xml:space="preserve"> overzicht van </w:t>
      </w:r>
      <w:r w:rsidR="00956DB4">
        <w:rPr>
          <w:rFonts w:ascii="Verdana" w:hAnsi="Verdana"/>
          <w:sz w:val="18"/>
          <w:szCs w:val="18"/>
        </w:rPr>
        <w:t>de meest in het oog springende</w:t>
      </w:r>
      <w:r w:rsidR="00956DB4" w:rsidRPr="00EF730F">
        <w:rPr>
          <w:rFonts w:ascii="Verdana" w:hAnsi="Verdana"/>
          <w:sz w:val="18"/>
          <w:szCs w:val="18"/>
        </w:rPr>
        <w:t xml:space="preserve"> wijzigingen ten opzichte van de </w:t>
      </w:r>
      <w:r w:rsidR="00956DB4">
        <w:rPr>
          <w:rFonts w:ascii="Verdana" w:hAnsi="Verdana"/>
          <w:sz w:val="18"/>
          <w:szCs w:val="18"/>
        </w:rPr>
        <w:t>Ontwerpbegroting 20</w:t>
      </w:r>
      <w:r w:rsidR="00E64351">
        <w:rPr>
          <w:rFonts w:ascii="Verdana" w:hAnsi="Verdana"/>
          <w:sz w:val="18"/>
          <w:szCs w:val="18"/>
        </w:rPr>
        <w:t>15</w:t>
      </w:r>
      <w:r w:rsidR="00956DB4" w:rsidRPr="00EF730F">
        <w:rPr>
          <w:rFonts w:ascii="Verdana" w:hAnsi="Verdana"/>
          <w:sz w:val="18"/>
          <w:szCs w:val="18"/>
        </w:rPr>
        <w:t xml:space="preserve"> van Buitenlandse </w:t>
      </w:r>
      <w:r w:rsidR="00956DB4">
        <w:rPr>
          <w:rFonts w:ascii="Verdana" w:hAnsi="Verdana"/>
          <w:sz w:val="18"/>
          <w:szCs w:val="18"/>
        </w:rPr>
        <w:t>Handel en Ontwikkelingssamenwerking (XVII</w:t>
      </w:r>
      <w:r w:rsidR="00A733D8">
        <w:rPr>
          <w:rFonts w:ascii="Verdana" w:hAnsi="Verdana"/>
          <w:sz w:val="18"/>
          <w:szCs w:val="18"/>
        </w:rPr>
        <w:t>)</w:t>
      </w:r>
      <w:r w:rsidR="00B55ABC">
        <w:rPr>
          <w:rFonts w:ascii="Verdana" w:hAnsi="Verdana"/>
          <w:sz w:val="18"/>
          <w:szCs w:val="18"/>
        </w:rPr>
        <w:t>:</w:t>
      </w:r>
    </w:p>
    <w:p w:rsidR="00956DB4" w:rsidRDefault="00956DB4" w:rsidP="00956DB4">
      <w:pPr>
        <w:rPr>
          <w:rFonts w:ascii="Verdana" w:hAnsi="Verdana"/>
          <w:sz w:val="18"/>
          <w:szCs w:val="18"/>
        </w:rPr>
      </w:pPr>
    </w:p>
    <w:p w:rsidR="00956DB4" w:rsidRDefault="00956DB4" w:rsidP="00956DB4">
      <w:pPr>
        <w:pStyle w:val="Plattetekst2"/>
        <w:tabs>
          <w:tab w:val="left" w:pos="709"/>
        </w:tabs>
        <w:outlineLvl w:val="0"/>
        <w:rPr>
          <w:rFonts w:ascii="Verdana" w:hAnsi="Verdana"/>
          <w:b/>
          <w:sz w:val="18"/>
          <w:szCs w:val="18"/>
        </w:rPr>
      </w:pPr>
      <w:r>
        <w:rPr>
          <w:rFonts w:ascii="Verdana" w:hAnsi="Verdana"/>
          <w:b/>
          <w:sz w:val="18"/>
          <w:szCs w:val="18"/>
        </w:rPr>
        <w:t>Toelichting</w:t>
      </w:r>
    </w:p>
    <w:p w:rsidR="00956DB4" w:rsidRDefault="00956DB4" w:rsidP="00956DB4">
      <w:pPr>
        <w:pStyle w:val="Plattetekst2"/>
        <w:tabs>
          <w:tab w:val="left" w:pos="709"/>
        </w:tabs>
        <w:outlineLvl w:val="0"/>
        <w:rPr>
          <w:rFonts w:ascii="Verdana" w:hAnsi="Verdana"/>
          <w:sz w:val="18"/>
          <w:szCs w:val="18"/>
        </w:rPr>
      </w:pPr>
    </w:p>
    <w:p w:rsidR="00982445" w:rsidRPr="00982445" w:rsidRDefault="00982445" w:rsidP="00956DB4">
      <w:pPr>
        <w:pStyle w:val="Plattetekst2"/>
        <w:tabs>
          <w:tab w:val="left" w:pos="709"/>
        </w:tabs>
        <w:outlineLvl w:val="0"/>
        <w:rPr>
          <w:rFonts w:ascii="Verdana" w:hAnsi="Verdana"/>
          <w:sz w:val="18"/>
          <w:szCs w:val="18"/>
          <w:u w:val="single"/>
        </w:rPr>
      </w:pPr>
      <w:r w:rsidRPr="00982445">
        <w:rPr>
          <w:rFonts w:ascii="Verdana" w:hAnsi="Verdana"/>
          <w:sz w:val="18"/>
          <w:szCs w:val="18"/>
          <w:u w:val="single"/>
        </w:rPr>
        <w:t>Artikel 1</w:t>
      </w:r>
    </w:p>
    <w:p w:rsidR="009B3A85" w:rsidRDefault="009B3A85" w:rsidP="00956DB4">
      <w:pPr>
        <w:pStyle w:val="Plattetekst2"/>
        <w:tabs>
          <w:tab w:val="left" w:pos="709"/>
        </w:tabs>
        <w:outlineLvl w:val="0"/>
        <w:rPr>
          <w:rFonts w:ascii="Verdana" w:hAnsi="Verdana"/>
          <w:sz w:val="18"/>
          <w:szCs w:val="18"/>
        </w:rPr>
      </w:pPr>
      <w:r w:rsidRPr="009B3A85">
        <w:rPr>
          <w:rFonts w:ascii="Verdana" w:hAnsi="Verdana"/>
          <w:sz w:val="18"/>
          <w:szCs w:val="18"/>
        </w:rPr>
        <w:t xml:space="preserve">Een adequate uitvoering van het in EU-verband afgesproken sanctiebeleid </w:t>
      </w:r>
      <w:r w:rsidR="0075080D">
        <w:rPr>
          <w:rFonts w:ascii="Verdana" w:hAnsi="Verdana"/>
          <w:sz w:val="18"/>
          <w:szCs w:val="18"/>
        </w:rPr>
        <w:t>aangaande</w:t>
      </w:r>
      <w:r w:rsidRPr="009B3A85">
        <w:rPr>
          <w:rFonts w:ascii="Verdana" w:hAnsi="Verdana"/>
          <w:sz w:val="18"/>
          <w:szCs w:val="18"/>
        </w:rPr>
        <w:t xml:space="preserve"> Rusland vereist in 2015 en 2016 jaarlijks EUR 11 </w:t>
      </w:r>
      <w:r w:rsidR="00823520">
        <w:rPr>
          <w:rFonts w:ascii="Verdana" w:hAnsi="Verdana"/>
          <w:sz w:val="18"/>
          <w:szCs w:val="18"/>
        </w:rPr>
        <w:t>miljoen</w:t>
      </w:r>
      <w:r w:rsidRPr="009B3A85">
        <w:rPr>
          <w:rFonts w:ascii="Verdana" w:hAnsi="Verdana"/>
          <w:sz w:val="18"/>
          <w:szCs w:val="18"/>
        </w:rPr>
        <w:t xml:space="preserve"> extra handhavingskosten bij de Douane. </w:t>
      </w:r>
      <w:r>
        <w:rPr>
          <w:rFonts w:ascii="Verdana" w:hAnsi="Verdana"/>
          <w:sz w:val="18"/>
          <w:szCs w:val="18"/>
        </w:rPr>
        <w:t>Conform de Voorjaarsbesluitvorming wordt dit bedrag vanuit generale middelen</w:t>
      </w:r>
      <w:r w:rsidR="00823520">
        <w:rPr>
          <w:rFonts w:ascii="Verdana" w:hAnsi="Verdana"/>
          <w:sz w:val="18"/>
          <w:szCs w:val="18"/>
        </w:rPr>
        <w:t xml:space="preserve"> toegevoegd aan sub-artikel 1.1 en vervolgens overgeheveld naar de begroting van het Ministerie van Financiën.</w:t>
      </w:r>
    </w:p>
    <w:p w:rsidR="009B3A85" w:rsidRDefault="009B3A85" w:rsidP="00956DB4">
      <w:pPr>
        <w:pStyle w:val="Plattetekst2"/>
        <w:tabs>
          <w:tab w:val="left" w:pos="709"/>
        </w:tabs>
        <w:outlineLvl w:val="0"/>
        <w:rPr>
          <w:rFonts w:ascii="Verdana" w:hAnsi="Verdana"/>
          <w:sz w:val="18"/>
          <w:szCs w:val="18"/>
        </w:rPr>
      </w:pPr>
    </w:p>
    <w:p w:rsidR="00CD0D87" w:rsidRPr="00CD0D87" w:rsidRDefault="00CD0D87" w:rsidP="00956DB4">
      <w:pPr>
        <w:pStyle w:val="Plattetekst2"/>
        <w:tabs>
          <w:tab w:val="left" w:pos="709"/>
        </w:tabs>
        <w:outlineLvl w:val="0"/>
        <w:rPr>
          <w:rFonts w:ascii="Verdana" w:hAnsi="Verdana"/>
          <w:sz w:val="18"/>
          <w:szCs w:val="18"/>
          <w:u w:val="single"/>
        </w:rPr>
      </w:pPr>
      <w:r w:rsidRPr="00CD0D87">
        <w:rPr>
          <w:rFonts w:ascii="Verdana" w:hAnsi="Verdana"/>
          <w:sz w:val="18"/>
          <w:szCs w:val="18"/>
          <w:u w:val="single"/>
        </w:rPr>
        <w:t>Artikel 3</w:t>
      </w:r>
    </w:p>
    <w:p w:rsidR="00CD0D87" w:rsidRDefault="00CD0D87" w:rsidP="00956DB4">
      <w:pPr>
        <w:pStyle w:val="Plattetekst2"/>
        <w:tabs>
          <w:tab w:val="left" w:pos="709"/>
        </w:tabs>
        <w:outlineLvl w:val="0"/>
        <w:rPr>
          <w:rFonts w:ascii="Verdana" w:hAnsi="Verdana"/>
          <w:sz w:val="18"/>
          <w:szCs w:val="18"/>
        </w:rPr>
      </w:pPr>
      <w:r>
        <w:rPr>
          <w:rFonts w:ascii="Verdana" w:hAnsi="Verdana"/>
          <w:sz w:val="18"/>
          <w:szCs w:val="18"/>
        </w:rPr>
        <w:t>Conform het</w:t>
      </w:r>
      <w:r w:rsidRPr="00CD0D87">
        <w:rPr>
          <w:rFonts w:ascii="Verdana" w:hAnsi="Verdana"/>
          <w:sz w:val="18"/>
          <w:szCs w:val="18"/>
        </w:rPr>
        <w:t xml:space="preserve"> amendement Van Laar </w:t>
      </w:r>
      <w:r>
        <w:rPr>
          <w:rFonts w:ascii="Verdana" w:hAnsi="Verdana"/>
          <w:sz w:val="18"/>
          <w:szCs w:val="18"/>
        </w:rPr>
        <w:t>wordt</w:t>
      </w:r>
      <w:r w:rsidRPr="00CD0D87">
        <w:rPr>
          <w:rFonts w:ascii="Verdana" w:hAnsi="Verdana"/>
          <w:sz w:val="18"/>
          <w:szCs w:val="18"/>
        </w:rPr>
        <w:t xml:space="preserve"> binnen het thema </w:t>
      </w:r>
      <w:r w:rsidR="007C3386">
        <w:rPr>
          <w:rFonts w:ascii="Verdana" w:hAnsi="Verdana"/>
          <w:sz w:val="18"/>
          <w:szCs w:val="18"/>
        </w:rPr>
        <w:t>seksuele en reproductieve gezondheid en rechten (SRGR)</w:t>
      </w:r>
      <w:r w:rsidRPr="00CD0D87">
        <w:rPr>
          <w:rFonts w:ascii="Verdana" w:hAnsi="Verdana"/>
          <w:sz w:val="18"/>
          <w:szCs w:val="18"/>
        </w:rPr>
        <w:t xml:space="preserve"> EUR 3 miljoen beschikbaar gesteld ter bestrijding van kinderprostitutie. Omdat in 2015 de financiering van bestrijding van kinderprostitutie vanuit het budget voor mensenrechtenprogramma’s zal plaatsvinden</w:t>
      </w:r>
      <w:r>
        <w:rPr>
          <w:rFonts w:ascii="Verdana" w:hAnsi="Verdana"/>
          <w:sz w:val="18"/>
          <w:szCs w:val="18"/>
        </w:rPr>
        <w:t xml:space="preserve">, wordt EUR 3 </w:t>
      </w:r>
      <w:r w:rsidR="0060488B">
        <w:rPr>
          <w:rFonts w:ascii="Verdana" w:hAnsi="Verdana"/>
          <w:sz w:val="18"/>
          <w:szCs w:val="18"/>
        </w:rPr>
        <w:t>miljoen</w:t>
      </w:r>
      <w:r>
        <w:rPr>
          <w:rFonts w:ascii="Verdana" w:hAnsi="Verdana"/>
          <w:sz w:val="18"/>
          <w:szCs w:val="18"/>
        </w:rPr>
        <w:t xml:space="preserve"> overgehev</w:t>
      </w:r>
      <w:r w:rsidR="0060488B">
        <w:rPr>
          <w:rFonts w:ascii="Verdana" w:hAnsi="Verdana"/>
          <w:sz w:val="18"/>
          <w:szCs w:val="18"/>
        </w:rPr>
        <w:t xml:space="preserve">eld naar </w:t>
      </w:r>
      <w:r>
        <w:rPr>
          <w:rFonts w:ascii="Verdana" w:hAnsi="Verdana"/>
          <w:sz w:val="18"/>
          <w:szCs w:val="18"/>
        </w:rPr>
        <w:t xml:space="preserve">sub-artikel 1.2 op begroting van Buitenlandse Zaken. </w:t>
      </w:r>
    </w:p>
    <w:p w:rsidR="00CD0D87" w:rsidRDefault="00CD0D87" w:rsidP="00956DB4">
      <w:pPr>
        <w:pStyle w:val="Plattetekst2"/>
        <w:tabs>
          <w:tab w:val="left" w:pos="709"/>
        </w:tabs>
        <w:outlineLvl w:val="0"/>
        <w:rPr>
          <w:rFonts w:ascii="Verdana" w:hAnsi="Verdana"/>
          <w:sz w:val="18"/>
          <w:szCs w:val="18"/>
        </w:rPr>
      </w:pPr>
    </w:p>
    <w:p w:rsidR="00956DB4" w:rsidRPr="00982445" w:rsidRDefault="00956DB4" w:rsidP="00956DB4">
      <w:pPr>
        <w:autoSpaceDE w:val="0"/>
        <w:autoSpaceDN w:val="0"/>
        <w:adjustRightInd w:val="0"/>
        <w:rPr>
          <w:rFonts w:ascii="Verdana" w:hAnsi="Verdana" w:cs="Courier New"/>
          <w:sz w:val="18"/>
          <w:szCs w:val="18"/>
          <w:u w:val="single"/>
        </w:rPr>
      </w:pPr>
      <w:r w:rsidRPr="00982445">
        <w:rPr>
          <w:rFonts w:ascii="Verdana" w:hAnsi="Verdana" w:cs="Courier New"/>
          <w:sz w:val="18"/>
          <w:szCs w:val="18"/>
          <w:u w:val="single"/>
        </w:rPr>
        <w:t xml:space="preserve">Artikel </w:t>
      </w:r>
      <w:r w:rsidR="00D72095" w:rsidRPr="00982445">
        <w:rPr>
          <w:rFonts w:ascii="Verdana" w:hAnsi="Verdana" w:cs="Courier New"/>
          <w:sz w:val="18"/>
          <w:szCs w:val="18"/>
          <w:u w:val="single"/>
        </w:rPr>
        <w:t>4</w:t>
      </w:r>
    </w:p>
    <w:p w:rsidR="00D9574A" w:rsidRDefault="00A24C84" w:rsidP="00956DB4">
      <w:pPr>
        <w:autoSpaceDE w:val="0"/>
        <w:autoSpaceDN w:val="0"/>
        <w:adjustRightInd w:val="0"/>
        <w:rPr>
          <w:rFonts w:ascii="Verdana" w:hAnsi="Verdana" w:cs="Courier New"/>
          <w:sz w:val="18"/>
          <w:szCs w:val="18"/>
        </w:rPr>
      </w:pPr>
      <w:r w:rsidRPr="00A24C84">
        <w:rPr>
          <w:rFonts w:ascii="Verdana" w:hAnsi="Verdana" w:cs="Courier New"/>
          <w:sz w:val="18"/>
          <w:szCs w:val="18"/>
        </w:rPr>
        <w:t>Vanuit het Budget Internationale Veiligheid (BIV) op de begroting van het Ministerie van Defensie wordt EUR 60 miljoen overgeheveld naar de begrotingen van BZ en BH&amp;OS. Vanuit dit bedrag worden activiteiten op het terrein van stabiliteit, veiligheidssectorhervorming, rechtstaatontwikkeling en capaciteitsopbouw alsook de beveiliging van hoogrisicoposten gefinancierd.</w:t>
      </w:r>
    </w:p>
    <w:p w:rsidR="00907752" w:rsidRDefault="00907752" w:rsidP="00956DB4">
      <w:pPr>
        <w:autoSpaceDE w:val="0"/>
        <w:autoSpaceDN w:val="0"/>
        <w:adjustRightInd w:val="0"/>
        <w:rPr>
          <w:rFonts w:ascii="Verdana" w:hAnsi="Verdana" w:cs="Courier New"/>
          <w:sz w:val="18"/>
          <w:szCs w:val="18"/>
        </w:rPr>
      </w:pPr>
    </w:p>
    <w:p w:rsidR="00907752" w:rsidRDefault="00907752" w:rsidP="00907752">
      <w:pPr>
        <w:autoSpaceDE w:val="0"/>
        <w:autoSpaceDN w:val="0"/>
        <w:adjustRightInd w:val="0"/>
        <w:rPr>
          <w:rFonts w:ascii="Verdana" w:eastAsia="Calibri" w:hAnsi="Verdana"/>
          <w:sz w:val="18"/>
          <w:szCs w:val="22"/>
          <w:lang w:eastAsia="en-US"/>
        </w:rPr>
      </w:pPr>
      <w:r w:rsidRPr="005B2C18">
        <w:rPr>
          <w:rFonts w:ascii="Verdana" w:eastAsia="Calibri" w:hAnsi="Verdana"/>
          <w:sz w:val="18"/>
          <w:szCs w:val="22"/>
          <w:lang w:eastAsia="en-US"/>
        </w:rPr>
        <w:t xml:space="preserve">Met het oog op de vele internationale crises besloot het kabinet </w:t>
      </w:r>
      <w:r>
        <w:rPr>
          <w:rFonts w:ascii="Verdana" w:eastAsia="Calibri" w:hAnsi="Verdana"/>
          <w:sz w:val="18"/>
          <w:szCs w:val="22"/>
          <w:lang w:eastAsia="en-US"/>
        </w:rPr>
        <w:t>in 2014</w:t>
      </w:r>
      <w:r w:rsidRPr="005B2C18">
        <w:rPr>
          <w:rFonts w:ascii="Verdana" w:eastAsia="Calibri" w:hAnsi="Verdana"/>
          <w:sz w:val="18"/>
          <w:szCs w:val="22"/>
          <w:lang w:eastAsia="en-US"/>
        </w:rPr>
        <w:t xml:space="preserve"> EUR 570 </w:t>
      </w:r>
      <w:r>
        <w:rPr>
          <w:rFonts w:ascii="Verdana" w:eastAsia="Calibri" w:hAnsi="Verdana"/>
          <w:sz w:val="18"/>
          <w:szCs w:val="22"/>
          <w:lang w:eastAsia="en-US"/>
        </w:rPr>
        <w:t>miljoen</w:t>
      </w:r>
      <w:r w:rsidRPr="005B2C18">
        <w:rPr>
          <w:rFonts w:ascii="Verdana" w:eastAsia="Calibri" w:hAnsi="Verdana"/>
          <w:sz w:val="18"/>
          <w:szCs w:val="22"/>
          <w:lang w:eastAsia="en-US"/>
        </w:rPr>
        <w:t xml:space="preserve"> extra beschikbaar te stellen voor een noodhulpfonds. Dit fonds is flexibel inzetbaar gedurende de kabinetsperiode (t/m 2017). </w:t>
      </w:r>
      <w:r>
        <w:rPr>
          <w:rFonts w:ascii="Verdana" w:eastAsia="Calibri" w:hAnsi="Verdana"/>
          <w:sz w:val="18"/>
          <w:szCs w:val="22"/>
          <w:lang w:eastAsia="en-US"/>
        </w:rPr>
        <w:t>In 2015 zal EUR 17</w:t>
      </w:r>
      <w:r w:rsidRPr="005B2C18">
        <w:rPr>
          <w:rFonts w:ascii="Verdana" w:eastAsia="Calibri" w:hAnsi="Verdana"/>
          <w:sz w:val="18"/>
          <w:szCs w:val="22"/>
          <w:lang w:eastAsia="en-US"/>
        </w:rPr>
        <w:t xml:space="preserve">0 </w:t>
      </w:r>
      <w:r>
        <w:rPr>
          <w:rFonts w:ascii="Verdana" w:eastAsia="Calibri" w:hAnsi="Verdana"/>
          <w:sz w:val="18"/>
          <w:szCs w:val="22"/>
          <w:lang w:eastAsia="en-US"/>
        </w:rPr>
        <w:t>miljoen</w:t>
      </w:r>
      <w:r w:rsidRPr="005B2C18">
        <w:rPr>
          <w:rFonts w:ascii="Verdana" w:eastAsia="Calibri" w:hAnsi="Verdana"/>
          <w:sz w:val="18"/>
          <w:szCs w:val="22"/>
          <w:lang w:eastAsia="en-US"/>
        </w:rPr>
        <w:t xml:space="preserve"> </w:t>
      </w:r>
      <w:r>
        <w:rPr>
          <w:rFonts w:ascii="Verdana" w:eastAsia="Calibri" w:hAnsi="Verdana"/>
          <w:sz w:val="18"/>
          <w:szCs w:val="22"/>
          <w:lang w:eastAsia="en-US"/>
        </w:rPr>
        <w:t xml:space="preserve">worden uitgegeven </w:t>
      </w:r>
      <w:r w:rsidRPr="005B2C18">
        <w:rPr>
          <w:rFonts w:ascii="Verdana" w:eastAsia="Calibri" w:hAnsi="Verdana"/>
          <w:sz w:val="18"/>
          <w:szCs w:val="22"/>
          <w:lang w:eastAsia="en-US"/>
        </w:rPr>
        <w:t xml:space="preserve">op </w:t>
      </w:r>
      <w:r>
        <w:rPr>
          <w:rFonts w:ascii="Verdana" w:eastAsia="Calibri" w:hAnsi="Verdana"/>
          <w:sz w:val="18"/>
          <w:szCs w:val="22"/>
          <w:lang w:eastAsia="en-US"/>
        </w:rPr>
        <w:t>sub-</w:t>
      </w:r>
      <w:r w:rsidRPr="005B2C18">
        <w:rPr>
          <w:rFonts w:ascii="Verdana" w:eastAsia="Calibri" w:hAnsi="Verdana"/>
          <w:sz w:val="18"/>
          <w:szCs w:val="22"/>
          <w:lang w:eastAsia="en-US"/>
        </w:rPr>
        <w:t>artikel</w:t>
      </w:r>
      <w:r>
        <w:rPr>
          <w:rFonts w:ascii="Verdana" w:eastAsia="Calibri" w:hAnsi="Verdana"/>
          <w:sz w:val="18"/>
          <w:szCs w:val="22"/>
          <w:lang w:eastAsia="en-US"/>
        </w:rPr>
        <w:t xml:space="preserve"> 4.4</w:t>
      </w:r>
      <w:r w:rsidRPr="005B2C18">
        <w:rPr>
          <w:rFonts w:ascii="Verdana" w:eastAsia="Calibri" w:hAnsi="Verdana"/>
          <w:sz w:val="18"/>
          <w:szCs w:val="22"/>
          <w:lang w:eastAsia="en-US"/>
        </w:rPr>
        <w:t>.</w:t>
      </w:r>
    </w:p>
    <w:p w:rsidR="00907752" w:rsidRDefault="00907752" w:rsidP="00956DB4">
      <w:pPr>
        <w:autoSpaceDE w:val="0"/>
        <w:autoSpaceDN w:val="0"/>
        <w:adjustRightInd w:val="0"/>
        <w:rPr>
          <w:rFonts w:ascii="Verdana" w:hAnsi="Verdana" w:cs="Courier New"/>
          <w:sz w:val="18"/>
          <w:szCs w:val="18"/>
        </w:rPr>
      </w:pPr>
    </w:p>
    <w:p w:rsidR="00D72095" w:rsidRPr="00982445" w:rsidRDefault="00D72095" w:rsidP="00956DB4">
      <w:pPr>
        <w:autoSpaceDE w:val="0"/>
        <w:autoSpaceDN w:val="0"/>
        <w:adjustRightInd w:val="0"/>
        <w:rPr>
          <w:rFonts w:ascii="Verdana" w:hAnsi="Verdana" w:cs="Courier New"/>
          <w:sz w:val="18"/>
          <w:szCs w:val="18"/>
          <w:u w:val="single"/>
        </w:rPr>
      </w:pPr>
      <w:r w:rsidRPr="00982445">
        <w:rPr>
          <w:rFonts w:ascii="Verdana" w:hAnsi="Verdana" w:cs="Courier New"/>
          <w:sz w:val="18"/>
          <w:szCs w:val="18"/>
          <w:u w:val="single"/>
        </w:rPr>
        <w:t>Artikel 5</w:t>
      </w:r>
    </w:p>
    <w:p w:rsidR="00CD21FE" w:rsidRDefault="00E26ADE" w:rsidP="00150C12">
      <w:pPr>
        <w:rPr>
          <w:rFonts w:ascii="Verdana" w:hAnsi="Verdana"/>
          <w:sz w:val="18"/>
          <w:szCs w:val="18"/>
        </w:rPr>
      </w:pPr>
      <w:r>
        <w:rPr>
          <w:rFonts w:ascii="Verdana" w:hAnsi="Verdana"/>
          <w:sz w:val="18"/>
          <w:szCs w:val="18"/>
        </w:rPr>
        <w:t>De</w:t>
      </w:r>
      <w:r w:rsidR="00150C12" w:rsidRPr="003D3912">
        <w:rPr>
          <w:rFonts w:ascii="Verdana" w:hAnsi="Verdana"/>
          <w:sz w:val="18"/>
          <w:szCs w:val="18"/>
        </w:rPr>
        <w:t xml:space="preserve"> verhoging </w:t>
      </w:r>
      <w:r w:rsidR="00CD21FE">
        <w:rPr>
          <w:rFonts w:ascii="Verdana" w:hAnsi="Verdana"/>
          <w:sz w:val="18"/>
          <w:szCs w:val="18"/>
        </w:rPr>
        <w:t>van sub-artikel 5.2</w:t>
      </w:r>
      <w:r w:rsidR="00150C12" w:rsidRPr="003D3912">
        <w:rPr>
          <w:rFonts w:ascii="Verdana" w:hAnsi="Verdana"/>
          <w:sz w:val="18"/>
          <w:szCs w:val="18"/>
        </w:rPr>
        <w:t xml:space="preserve"> </w:t>
      </w:r>
      <w:r>
        <w:rPr>
          <w:rFonts w:ascii="Verdana" w:hAnsi="Verdana"/>
          <w:sz w:val="18"/>
          <w:szCs w:val="18"/>
        </w:rPr>
        <w:t xml:space="preserve">betreft </w:t>
      </w:r>
      <w:r w:rsidR="00CD21FE">
        <w:rPr>
          <w:rFonts w:ascii="Verdana" w:hAnsi="Verdana"/>
          <w:sz w:val="18"/>
          <w:szCs w:val="18"/>
        </w:rPr>
        <w:t xml:space="preserve">grotendeels </w:t>
      </w:r>
      <w:r w:rsidR="00150C12" w:rsidRPr="003D3912">
        <w:rPr>
          <w:rFonts w:ascii="Verdana" w:hAnsi="Verdana"/>
          <w:sz w:val="18"/>
          <w:szCs w:val="18"/>
        </w:rPr>
        <w:t xml:space="preserve">een technische bijstelling. </w:t>
      </w:r>
      <w:r w:rsidR="00CD21FE">
        <w:rPr>
          <w:rFonts w:ascii="Verdana" w:hAnsi="Verdana"/>
          <w:sz w:val="18"/>
          <w:szCs w:val="18"/>
        </w:rPr>
        <w:t xml:space="preserve">Als gevolg van een BNP-meevaller daalt de BNP-korting die in 2015 moet worden ingevuld van EUR 183 miljoen (Ontwerpbegroting) naar EUR 150 miljoen (Eerste Suppletoire Begroting), hetgeen leidt tot een verhoging van sub-artikel 5.2. </w:t>
      </w:r>
    </w:p>
    <w:p w:rsidR="003412C1" w:rsidRDefault="003412C1" w:rsidP="00AE1702">
      <w:pPr>
        <w:rPr>
          <w:rFonts w:ascii="Verdana" w:hAnsi="Verdana"/>
          <w:sz w:val="18"/>
          <w:szCs w:val="18"/>
        </w:rPr>
      </w:pPr>
    </w:p>
    <w:p w:rsidR="00516C79" w:rsidRDefault="00A119D2">
      <w:pPr>
        <w:rPr>
          <w:rFonts w:ascii="Verdana" w:hAnsi="Verdana"/>
          <w:sz w:val="18"/>
          <w:szCs w:val="18"/>
        </w:rPr>
      </w:pPr>
      <w:r w:rsidRPr="00A119D2">
        <w:rPr>
          <w:rFonts w:ascii="Verdana" w:hAnsi="Verdana"/>
          <w:sz w:val="18"/>
          <w:szCs w:val="18"/>
        </w:rPr>
        <w:t>Tussen de Ministers van OCW en BH&amp;OS is afg</w:t>
      </w:r>
      <w:r w:rsidR="009A5A57">
        <w:rPr>
          <w:rFonts w:ascii="Verdana" w:hAnsi="Verdana"/>
          <w:sz w:val="18"/>
          <w:szCs w:val="18"/>
        </w:rPr>
        <w:t>esproken dat de ODA-labeling van</w:t>
      </w:r>
      <w:r w:rsidRPr="00A119D2">
        <w:rPr>
          <w:rFonts w:ascii="Verdana" w:hAnsi="Verdana"/>
          <w:sz w:val="18"/>
          <w:szCs w:val="18"/>
        </w:rPr>
        <w:t xml:space="preserve"> de subsidie aan de Stichting EP-Nuffic (per 1 januari 2015 zijn organisaties Nuffic en Europees Platform gefuseerd) met ingang van 2015 </w:t>
      </w:r>
      <w:r>
        <w:rPr>
          <w:rFonts w:ascii="Verdana" w:hAnsi="Verdana"/>
          <w:sz w:val="18"/>
          <w:szCs w:val="18"/>
        </w:rPr>
        <w:t>wordt omgezet in non-ODA.</w:t>
      </w:r>
      <w:r w:rsidRPr="00A119D2">
        <w:rPr>
          <w:rFonts w:ascii="Verdana" w:hAnsi="Verdana"/>
          <w:sz w:val="18"/>
          <w:szCs w:val="18"/>
        </w:rPr>
        <w:t xml:space="preserve"> </w:t>
      </w:r>
      <w:r w:rsidR="001678B8">
        <w:rPr>
          <w:rFonts w:ascii="Verdana" w:hAnsi="Verdana"/>
          <w:sz w:val="18"/>
          <w:szCs w:val="18"/>
        </w:rPr>
        <w:t xml:space="preserve">Dit betekent een verlaging van het ODA-plafond </w:t>
      </w:r>
      <w:r w:rsidR="00241E33">
        <w:rPr>
          <w:rFonts w:ascii="Verdana" w:hAnsi="Verdana"/>
          <w:sz w:val="18"/>
          <w:szCs w:val="18"/>
        </w:rPr>
        <w:t xml:space="preserve">op de </w:t>
      </w:r>
      <w:r w:rsidR="00241E33">
        <w:rPr>
          <w:rFonts w:ascii="Verdana" w:hAnsi="Verdana"/>
          <w:sz w:val="18"/>
          <w:szCs w:val="18"/>
        </w:rPr>
        <w:lastRenderedPageBreak/>
        <w:t xml:space="preserve">OCW-begroting </w:t>
      </w:r>
      <w:r w:rsidR="001678B8">
        <w:rPr>
          <w:rFonts w:ascii="Verdana" w:hAnsi="Verdana"/>
          <w:sz w:val="18"/>
          <w:szCs w:val="18"/>
        </w:rPr>
        <w:t xml:space="preserve">van EUR 7,1 miljoen in 2015 en 2016 en vanaf 2017 van EUR 6,5 miljoen. Beide ministeries nemen de daaraan verbonden financiële compensatie elk voor de helft structureel voor hun rekening. Dat betekent dat in 2015 EUR 3,6 miljoen wordt gecompenseerd tussen BH&amp;OS en OCW; vanaf 2017 EUR 3,2 miljoen. De compensatie wordt geboekt op artikel 5.2. </w:t>
      </w:r>
      <w:r w:rsidR="00516C79">
        <w:rPr>
          <w:rFonts w:ascii="Verdana" w:hAnsi="Verdana"/>
          <w:sz w:val="18"/>
          <w:szCs w:val="18"/>
        </w:rPr>
        <w:br w:type="page"/>
      </w:r>
    </w:p>
    <w:p w:rsidR="006768AD" w:rsidRPr="002811DE" w:rsidRDefault="006768AD" w:rsidP="00AF31B5">
      <w:pPr>
        <w:pStyle w:val="Plattetekst2"/>
        <w:numPr>
          <w:ilvl w:val="0"/>
          <w:numId w:val="21"/>
        </w:numPr>
        <w:tabs>
          <w:tab w:val="left" w:pos="709"/>
        </w:tabs>
        <w:outlineLvl w:val="0"/>
        <w:rPr>
          <w:rFonts w:ascii="Verdana" w:hAnsi="Verdana"/>
          <w:b/>
          <w:sz w:val="18"/>
          <w:szCs w:val="18"/>
        </w:rPr>
      </w:pPr>
      <w:r w:rsidRPr="002811DE">
        <w:rPr>
          <w:rFonts w:ascii="Verdana" w:hAnsi="Verdana" w:cs="Courier New"/>
          <w:b/>
          <w:sz w:val="18"/>
          <w:szCs w:val="18"/>
        </w:rPr>
        <w:lastRenderedPageBreak/>
        <w:t>Overzicht budgetten</w:t>
      </w:r>
      <w:r>
        <w:rPr>
          <w:rFonts w:ascii="Verdana" w:hAnsi="Verdana" w:cs="Courier New"/>
          <w:b/>
          <w:sz w:val="18"/>
          <w:szCs w:val="18"/>
        </w:rPr>
        <w:t xml:space="preserve"> hulprelatie-, over</w:t>
      </w:r>
      <w:r w:rsidR="00E64351">
        <w:rPr>
          <w:rFonts w:ascii="Verdana" w:hAnsi="Verdana" w:cs="Courier New"/>
          <w:b/>
          <w:sz w:val="18"/>
          <w:szCs w:val="18"/>
        </w:rPr>
        <w:t>gangsrelatie- en exitlanden 2015</w:t>
      </w:r>
    </w:p>
    <w:p w:rsidR="006768AD" w:rsidRDefault="006768AD" w:rsidP="006768AD">
      <w:pPr>
        <w:pStyle w:val="Plattetekst2"/>
        <w:tabs>
          <w:tab w:val="left" w:pos="709"/>
        </w:tabs>
        <w:outlineLvl w:val="0"/>
        <w:rPr>
          <w:rFonts w:ascii="Verdana" w:hAnsi="Verdana"/>
          <w:sz w:val="18"/>
          <w:szCs w:val="18"/>
        </w:rPr>
      </w:pPr>
    </w:p>
    <w:p w:rsidR="006768AD" w:rsidRDefault="006768AD" w:rsidP="006768AD">
      <w:pPr>
        <w:pStyle w:val="Plattetekst2"/>
        <w:tabs>
          <w:tab w:val="left" w:pos="709"/>
        </w:tabs>
        <w:outlineLvl w:val="0"/>
        <w:rPr>
          <w:rFonts w:ascii="Verdana" w:hAnsi="Verdana"/>
          <w:sz w:val="18"/>
          <w:szCs w:val="18"/>
        </w:rPr>
      </w:pPr>
      <w:r w:rsidRPr="001D2060">
        <w:rPr>
          <w:rFonts w:ascii="Verdana" w:hAnsi="Verdana"/>
          <w:sz w:val="18"/>
          <w:szCs w:val="18"/>
        </w:rPr>
        <w:t>Bij de beantwoording van de Kamervragen over de begroting 2012</w:t>
      </w:r>
      <w:r>
        <w:rPr>
          <w:rFonts w:ascii="Verdana" w:hAnsi="Verdana"/>
          <w:sz w:val="18"/>
          <w:szCs w:val="18"/>
        </w:rPr>
        <w:t xml:space="preserve"> is toegezegd jaarlijks bij Voorjaarsnota een overzicht te geven van de budgetten van de </w:t>
      </w:r>
      <w:r w:rsidRPr="006768AD">
        <w:rPr>
          <w:rFonts w:ascii="Verdana" w:hAnsi="Verdana" w:cs="Courier New"/>
          <w:sz w:val="18"/>
          <w:szCs w:val="18"/>
        </w:rPr>
        <w:t>hu</w:t>
      </w:r>
      <w:r>
        <w:rPr>
          <w:rFonts w:ascii="Verdana" w:hAnsi="Verdana" w:cs="Courier New"/>
          <w:sz w:val="18"/>
          <w:szCs w:val="18"/>
        </w:rPr>
        <w:t>lp</w:t>
      </w:r>
      <w:r w:rsidRPr="006768AD">
        <w:rPr>
          <w:rFonts w:ascii="Verdana" w:hAnsi="Verdana" w:cs="Courier New"/>
          <w:sz w:val="18"/>
          <w:szCs w:val="18"/>
        </w:rPr>
        <w:t>relaties-, overgangsrelaties- en exit</w:t>
      </w:r>
      <w:r w:rsidR="00D9574A">
        <w:rPr>
          <w:rFonts w:ascii="Verdana" w:hAnsi="Verdana" w:cs="Courier New"/>
          <w:sz w:val="18"/>
          <w:szCs w:val="18"/>
        </w:rPr>
        <w:t>-</w:t>
      </w:r>
      <w:r w:rsidRPr="006768AD">
        <w:rPr>
          <w:rFonts w:ascii="Verdana" w:hAnsi="Verdana" w:cs="Courier New"/>
          <w:sz w:val="18"/>
          <w:szCs w:val="18"/>
        </w:rPr>
        <w:t>landen</w:t>
      </w:r>
      <w:r w:rsidRPr="006768AD">
        <w:rPr>
          <w:rFonts w:ascii="Verdana" w:hAnsi="Verdana"/>
          <w:sz w:val="18"/>
          <w:szCs w:val="18"/>
        </w:rPr>
        <w:t>.</w:t>
      </w:r>
      <w:r w:rsidR="00E64351">
        <w:rPr>
          <w:rFonts w:ascii="Verdana" w:hAnsi="Verdana"/>
          <w:sz w:val="18"/>
          <w:szCs w:val="18"/>
        </w:rPr>
        <w:t xml:space="preserve"> Voor het jaar 2015</w:t>
      </w:r>
      <w:r>
        <w:rPr>
          <w:rFonts w:ascii="Verdana" w:hAnsi="Verdana"/>
          <w:sz w:val="18"/>
          <w:szCs w:val="18"/>
        </w:rPr>
        <w:t xml:space="preserve"> zijn de </w:t>
      </w:r>
      <w:r w:rsidR="0014010F">
        <w:rPr>
          <w:rFonts w:ascii="Verdana" w:hAnsi="Verdana"/>
          <w:sz w:val="18"/>
          <w:szCs w:val="18"/>
        </w:rPr>
        <w:t>volgende budgetten goedgekeurd:</w:t>
      </w:r>
    </w:p>
    <w:p w:rsidR="00930F06" w:rsidRDefault="00930F06" w:rsidP="006768AD">
      <w:pPr>
        <w:pStyle w:val="Plattetekst2"/>
        <w:tabs>
          <w:tab w:val="left" w:pos="709"/>
        </w:tabs>
        <w:outlineLvl w:val="0"/>
      </w:pPr>
    </w:p>
    <w:p w:rsidR="000307FD" w:rsidRDefault="00BE7D43" w:rsidP="006768AD">
      <w:pPr>
        <w:pStyle w:val="Plattetekst2"/>
        <w:tabs>
          <w:tab w:val="left" w:pos="709"/>
        </w:tabs>
        <w:outlineLvl w:val="0"/>
        <w:rPr>
          <w:rFonts w:ascii="Verdana" w:hAnsi="Verdana"/>
          <w:b/>
          <w:sz w:val="18"/>
          <w:szCs w:val="18"/>
        </w:rPr>
      </w:pPr>
      <w:r w:rsidRPr="00513848">
        <w:rPr>
          <w:rFonts w:ascii="Verdana" w:hAnsi="Verdana"/>
          <w:b/>
          <w:sz w:val="18"/>
          <w:szCs w:val="18"/>
        </w:rPr>
        <w:object w:dxaOrig="6417" w:dyaOrig="15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05pt;height:643pt" o:ole="">
            <v:imagedata r:id="rId12" o:title=""/>
          </v:shape>
          <o:OLEObject Type="Embed" ProgID="Excel.Sheet.12" ShapeID="_x0000_i1026" DrawAspect="Content" ObjectID="_1494688058" r:id="rId13"/>
        </w:object>
      </w:r>
    </w:p>
    <w:p w:rsidR="00B428F7" w:rsidRDefault="00B428F7" w:rsidP="0046766D">
      <w:pPr>
        <w:rPr>
          <w:rFonts w:ascii="Verdana" w:hAnsi="Verdana" w:cs="Courier New"/>
          <w:b/>
          <w:sz w:val="18"/>
          <w:szCs w:val="18"/>
          <w:lang w:eastAsia="en-US"/>
        </w:rPr>
      </w:pPr>
      <w:r>
        <w:rPr>
          <w:rFonts w:ascii="Verdana" w:hAnsi="Verdana" w:cs="Courier New"/>
          <w:b/>
          <w:sz w:val="18"/>
          <w:szCs w:val="18"/>
        </w:rPr>
        <w:br w:type="page"/>
      </w:r>
    </w:p>
    <w:p w:rsidR="00F9615B" w:rsidRDefault="00F9615B" w:rsidP="00AF31B5">
      <w:pPr>
        <w:pStyle w:val="Plattetekst2"/>
        <w:numPr>
          <w:ilvl w:val="0"/>
          <w:numId w:val="21"/>
        </w:numPr>
        <w:tabs>
          <w:tab w:val="left" w:pos="709"/>
        </w:tabs>
        <w:outlineLvl w:val="0"/>
        <w:rPr>
          <w:rFonts w:ascii="Verdana" w:hAnsi="Verdana"/>
          <w:b/>
          <w:sz w:val="18"/>
          <w:szCs w:val="18"/>
        </w:rPr>
      </w:pPr>
      <w:r w:rsidRPr="002811DE">
        <w:rPr>
          <w:rFonts w:ascii="Verdana" w:hAnsi="Verdana"/>
          <w:b/>
          <w:sz w:val="18"/>
          <w:szCs w:val="18"/>
        </w:rPr>
        <w:lastRenderedPageBreak/>
        <w:t>Toelichting per beleidsartikel</w:t>
      </w:r>
    </w:p>
    <w:p w:rsidR="008819A0" w:rsidRDefault="008819A0" w:rsidP="008819A0">
      <w:pPr>
        <w:pStyle w:val="Plattetekst2"/>
        <w:tabs>
          <w:tab w:val="left" w:pos="709"/>
        </w:tabs>
        <w:ind w:left="360"/>
        <w:outlineLvl w:val="0"/>
        <w:rPr>
          <w:rFonts w:ascii="Verdana" w:hAnsi="Verdana"/>
          <w:b/>
          <w:sz w:val="18"/>
          <w:szCs w:val="18"/>
        </w:rPr>
      </w:pPr>
    </w:p>
    <w:p w:rsidR="001A3ABA" w:rsidRDefault="001A3ABA" w:rsidP="001A3ABA">
      <w:pPr>
        <w:rPr>
          <w:rFonts w:ascii="Verdana" w:hAnsi="Verdana"/>
          <w:b/>
          <w:sz w:val="18"/>
          <w:szCs w:val="18"/>
        </w:rPr>
      </w:pPr>
      <w:r>
        <w:rPr>
          <w:rFonts w:ascii="Verdana" w:hAnsi="Verdana"/>
          <w:b/>
          <w:sz w:val="18"/>
          <w:szCs w:val="18"/>
        </w:rPr>
        <w:t>Beleidsartikel 1</w:t>
      </w:r>
      <w:r w:rsidR="00D63C52">
        <w:rPr>
          <w:rFonts w:ascii="Verdana" w:hAnsi="Verdana"/>
          <w:b/>
          <w:sz w:val="18"/>
          <w:szCs w:val="18"/>
        </w:rPr>
        <w:t xml:space="preserve"> </w:t>
      </w:r>
    </w:p>
    <w:p w:rsidR="00A96FF0" w:rsidRPr="00FD56D9" w:rsidRDefault="00A96FF0" w:rsidP="001A3ABA">
      <w:pPr>
        <w:rPr>
          <w:rFonts w:ascii="Verdana" w:hAnsi="Verdana"/>
          <w:b/>
          <w:sz w:val="18"/>
          <w:szCs w:val="18"/>
        </w:rPr>
      </w:pPr>
    </w:p>
    <w:p w:rsidR="001A3ABA" w:rsidRDefault="0044609D" w:rsidP="001A3ABA">
      <w:pPr>
        <w:rPr>
          <w:noProof/>
          <w:lang w:eastAsia="nl-NL"/>
        </w:rPr>
      </w:pPr>
      <w:r>
        <w:rPr>
          <w:noProof/>
          <w:lang w:eastAsia="nl-NL"/>
        </w:rPr>
        <w:object w:dxaOrig="23376" w:dyaOrig="18070">
          <v:shape id="_x0000_i1027" type="#_x0000_t75" style="width:481.4pt;height:370.05pt" o:ole="">
            <v:imagedata r:id="rId14" o:title=""/>
          </v:shape>
          <o:OLEObject Type="Embed" ProgID="Excel.Sheet.8" ShapeID="_x0000_i1027" DrawAspect="Content" ObjectID="_1494688059" r:id="rId15"/>
        </w:object>
      </w:r>
    </w:p>
    <w:p w:rsidR="004F1FED" w:rsidRDefault="004F1FED" w:rsidP="001A3ABA"/>
    <w:p w:rsidR="001A3ABA" w:rsidRDefault="001A3ABA" w:rsidP="001A3ABA">
      <w:pPr>
        <w:rPr>
          <w:rFonts w:ascii="Verdana" w:hAnsi="Verdana"/>
          <w:sz w:val="18"/>
          <w:szCs w:val="18"/>
        </w:rPr>
      </w:pPr>
      <w:r>
        <w:rPr>
          <w:rFonts w:ascii="Verdana" w:hAnsi="Verdana"/>
          <w:i/>
          <w:sz w:val="18"/>
          <w:szCs w:val="18"/>
        </w:rPr>
        <w:t>Verplichtingen</w:t>
      </w:r>
    </w:p>
    <w:p w:rsidR="00735C7E" w:rsidRDefault="00735C7E" w:rsidP="001A3ABA">
      <w:pPr>
        <w:rPr>
          <w:rFonts w:ascii="Verdana" w:hAnsi="Verdana"/>
          <w:sz w:val="18"/>
          <w:szCs w:val="18"/>
        </w:rPr>
      </w:pPr>
    </w:p>
    <w:p w:rsidR="00C575C6" w:rsidRPr="004B38FE" w:rsidRDefault="004B38FE" w:rsidP="001A3ABA">
      <w:pPr>
        <w:rPr>
          <w:rFonts w:ascii="Verdana" w:hAnsi="Verdana"/>
          <w:sz w:val="18"/>
          <w:szCs w:val="18"/>
        </w:rPr>
      </w:pPr>
      <w:r>
        <w:rPr>
          <w:rFonts w:ascii="Verdana" w:hAnsi="Verdana"/>
          <w:sz w:val="18"/>
          <w:szCs w:val="18"/>
        </w:rPr>
        <w:t>Geen toelichting.</w:t>
      </w:r>
    </w:p>
    <w:p w:rsidR="00930F06" w:rsidRDefault="00930F06" w:rsidP="001A3ABA">
      <w:pPr>
        <w:rPr>
          <w:rFonts w:ascii="Verdana" w:hAnsi="Verdana"/>
          <w:sz w:val="18"/>
          <w:szCs w:val="18"/>
        </w:rPr>
      </w:pPr>
    </w:p>
    <w:p w:rsidR="001A3ABA" w:rsidRDefault="001A3ABA" w:rsidP="001A3ABA">
      <w:pPr>
        <w:rPr>
          <w:rFonts w:ascii="Verdana" w:hAnsi="Verdana"/>
          <w:i/>
          <w:sz w:val="18"/>
          <w:szCs w:val="18"/>
        </w:rPr>
      </w:pPr>
      <w:r>
        <w:rPr>
          <w:rFonts w:ascii="Verdana" w:hAnsi="Verdana"/>
          <w:i/>
          <w:sz w:val="18"/>
          <w:szCs w:val="18"/>
        </w:rPr>
        <w:t>Uitgaven</w:t>
      </w:r>
    </w:p>
    <w:p w:rsidR="00BE140E" w:rsidRDefault="00BE140E" w:rsidP="00735C7E">
      <w:pPr>
        <w:rPr>
          <w:rFonts w:ascii="Verdana" w:hAnsi="Verdana"/>
          <w:sz w:val="18"/>
          <w:szCs w:val="18"/>
        </w:rPr>
      </w:pPr>
    </w:p>
    <w:p w:rsidR="004B38FE" w:rsidRDefault="004B38FE" w:rsidP="006768AD">
      <w:pPr>
        <w:rPr>
          <w:rFonts w:ascii="Verdana" w:hAnsi="Verdana"/>
          <w:sz w:val="18"/>
          <w:szCs w:val="18"/>
        </w:rPr>
      </w:pPr>
      <w:r>
        <w:rPr>
          <w:rFonts w:ascii="Verdana" w:hAnsi="Verdana"/>
          <w:sz w:val="18"/>
          <w:szCs w:val="18"/>
        </w:rPr>
        <w:t>Geen toelichting.</w:t>
      </w:r>
    </w:p>
    <w:p w:rsidR="004B38FE" w:rsidRPr="004B38FE" w:rsidRDefault="004B38FE" w:rsidP="006768AD">
      <w:pPr>
        <w:rPr>
          <w:rFonts w:ascii="Verdana" w:hAnsi="Verdana"/>
          <w:sz w:val="18"/>
          <w:szCs w:val="18"/>
        </w:rPr>
      </w:pPr>
    </w:p>
    <w:p w:rsidR="006768AD" w:rsidRPr="00265307" w:rsidRDefault="006768AD" w:rsidP="006768AD">
      <w:pPr>
        <w:rPr>
          <w:rFonts w:ascii="Verdana" w:hAnsi="Verdana"/>
          <w:i/>
          <w:sz w:val="18"/>
          <w:szCs w:val="18"/>
        </w:rPr>
      </w:pPr>
      <w:r>
        <w:rPr>
          <w:rFonts w:ascii="Verdana" w:hAnsi="Verdana"/>
          <w:i/>
          <w:sz w:val="18"/>
          <w:szCs w:val="18"/>
        </w:rPr>
        <w:t>Ontvangsten</w:t>
      </w:r>
    </w:p>
    <w:p w:rsidR="00735C7E" w:rsidRDefault="00735C7E" w:rsidP="00735C7E">
      <w:pPr>
        <w:rPr>
          <w:rFonts w:ascii="Verdana" w:hAnsi="Verdana"/>
          <w:sz w:val="18"/>
          <w:szCs w:val="18"/>
        </w:rPr>
      </w:pPr>
    </w:p>
    <w:p w:rsidR="001A3ABA" w:rsidRDefault="004B38FE" w:rsidP="001A3ABA">
      <w:pPr>
        <w:rPr>
          <w:rFonts w:ascii="Verdana" w:hAnsi="Verdana"/>
          <w:sz w:val="18"/>
          <w:szCs w:val="18"/>
        </w:rPr>
      </w:pPr>
      <w:r>
        <w:rPr>
          <w:rFonts w:ascii="Verdana" w:hAnsi="Verdana"/>
          <w:sz w:val="18"/>
          <w:szCs w:val="18"/>
        </w:rPr>
        <w:t>Geen toelichting</w:t>
      </w:r>
    </w:p>
    <w:p w:rsidR="001A3ABA" w:rsidRDefault="001A3ABA" w:rsidP="001A3ABA">
      <w:pPr>
        <w:rPr>
          <w:rFonts w:ascii="Verdana" w:hAnsi="Verdana"/>
          <w:i/>
          <w:sz w:val="18"/>
          <w:szCs w:val="18"/>
        </w:rPr>
      </w:pPr>
    </w:p>
    <w:p w:rsidR="001A3ABA" w:rsidRPr="004565A4" w:rsidRDefault="001A3ABA" w:rsidP="001A3ABA">
      <w:pPr>
        <w:rPr>
          <w:rFonts w:ascii="Verdana" w:hAnsi="Verdana"/>
          <w:sz w:val="18"/>
          <w:szCs w:val="18"/>
        </w:rPr>
      </w:pPr>
    </w:p>
    <w:p w:rsidR="001D7A55" w:rsidRDefault="001A3ABA" w:rsidP="005F032C">
      <w:pPr>
        <w:autoSpaceDE w:val="0"/>
        <w:autoSpaceDN w:val="0"/>
        <w:adjustRightInd w:val="0"/>
        <w:rPr>
          <w:rFonts w:ascii="Verdana" w:hAnsi="Verdana" w:cs="Courier New"/>
          <w:sz w:val="18"/>
          <w:szCs w:val="18"/>
        </w:rPr>
      </w:pPr>
      <w:r>
        <w:rPr>
          <w:rFonts w:ascii="Verdana" w:hAnsi="Verdana" w:cs="Courier New"/>
          <w:sz w:val="18"/>
          <w:szCs w:val="18"/>
        </w:rPr>
        <w:br w:type="page"/>
      </w:r>
    </w:p>
    <w:p w:rsidR="001A3ABA" w:rsidRDefault="001A3ABA" w:rsidP="001A3ABA">
      <w:pPr>
        <w:rPr>
          <w:rFonts w:ascii="Verdana" w:hAnsi="Verdana"/>
          <w:b/>
          <w:sz w:val="18"/>
          <w:szCs w:val="18"/>
        </w:rPr>
      </w:pPr>
      <w:r>
        <w:rPr>
          <w:rFonts w:ascii="Verdana" w:hAnsi="Verdana"/>
          <w:b/>
          <w:sz w:val="18"/>
          <w:szCs w:val="18"/>
        </w:rPr>
        <w:lastRenderedPageBreak/>
        <w:t>Beleidsartikel 2</w:t>
      </w:r>
      <w:r w:rsidR="00D63C52">
        <w:rPr>
          <w:rFonts w:ascii="Verdana" w:hAnsi="Verdana"/>
          <w:b/>
          <w:sz w:val="18"/>
          <w:szCs w:val="18"/>
        </w:rPr>
        <w:t xml:space="preserve"> </w:t>
      </w:r>
    </w:p>
    <w:p w:rsidR="001F15D0" w:rsidRDefault="001F15D0" w:rsidP="001A3ABA">
      <w:pPr>
        <w:rPr>
          <w:rFonts w:ascii="Verdana" w:hAnsi="Verdana"/>
          <w:b/>
          <w:sz w:val="18"/>
          <w:szCs w:val="18"/>
        </w:rPr>
      </w:pPr>
    </w:p>
    <w:p w:rsidR="004B5774" w:rsidRDefault="00E77AFA" w:rsidP="001A3ABA">
      <w:pPr>
        <w:rPr>
          <w:rFonts w:ascii="Verdana" w:hAnsi="Verdana"/>
          <w:b/>
          <w:sz w:val="18"/>
          <w:szCs w:val="18"/>
        </w:rPr>
      </w:pPr>
      <w:r>
        <w:rPr>
          <w:noProof/>
          <w:lang w:eastAsia="nl-NL"/>
        </w:rPr>
        <w:object w:dxaOrig="23068" w:dyaOrig="15257">
          <v:shape id="_x0000_i1028" type="#_x0000_t75" style="width:480.55pt;height:317.3pt" o:ole="">
            <v:imagedata r:id="rId16" o:title=""/>
          </v:shape>
          <o:OLEObject Type="Embed" ProgID="Excel.Sheet.8" ShapeID="_x0000_i1028" DrawAspect="Content" ObjectID="_1494688060" r:id="rId17"/>
        </w:object>
      </w:r>
    </w:p>
    <w:p w:rsidR="000B5C00" w:rsidRPr="001A0AD1" w:rsidRDefault="000B5C00" w:rsidP="001A3ABA">
      <w:pPr>
        <w:rPr>
          <w:rFonts w:ascii="Verdana" w:hAnsi="Verdana"/>
          <w:b/>
          <w:sz w:val="18"/>
          <w:szCs w:val="18"/>
        </w:rPr>
      </w:pPr>
    </w:p>
    <w:p w:rsidR="001A3ABA" w:rsidRDefault="001A3ABA" w:rsidP="001A3ABA">
      <w:pPr>
        <w:rPr>
          <w:rFonts w:ascii="Verdana" w:hAnsi="Verdana"/>
          <w:sz w:val="18"/>
          <w:szCs w:val="18"/>
        </w:rPr>
      </w:pPr>
      <w:r>
        <w:rPr>
          <w:rFonts w:ascii="Verdana" w:hAnsi="Verdana"/>
          <w:i/>
          <w:sz w:val="18"/>
          <w:szCs w:val="18"/>
        </w:rPr>
        <w:t>Verplichtingen</w:t>
      </w:r>
    </w:p>
    <w:p w:rsidR="003F6214" w:rsidRDefault="003F6214" w:rsidP="001A3ABA">
      <w:pPr>
        <w:rPr>
          <w:rFonts w:ascii="Verdana" w:hAnsi="Verdana"/>
          <w:sz w:val="18"/>
          <w:szCs w:val="18"/>
        </w:rPr>
      </w:pPr>
    </w:p>
    <w:p w:rsidR="00E673BF" w:rsidRDefault="00064B56" w:rsidP="00E673BF">
      <w:pPr>
        <w:rPr>
          <w:rFonts w:ascii="Verdana" w:hAnsi="Verdana"/>
          <w:sz w:val="18"/>
          <w:szCs w:val="18"/>
        </w:rPr>
      </w:pPr>
      <w:r>
        <w:rPr>
          <w:rFonts w:ascii="Verdana" w:hAnsi="Verdana"/>
          <w:sz w:val="18"/>
          <w:szCs w:val="18"/>
        </w:rPr>
        <w:t xml:space="preserve">De stijging van het verplichtingenbudget op dit begrotingsartikel wordt veroorzaakt door verschillende mutaties. </w:t>
      </w:r>
      <w:r w:rsidR="009250B6">
        <w:rPr>
          <w:rFonts w:ascii="Verdana" w:hAnsi="Verdana"/>
          <w:sz w:val="18"/>
          <w:szCs w:val="18"/>
        </w:rPr>
        <w:t xml:space="preserve">Een groot deel (ca EUR 100 </w:t>
      </w:r>
      <w:r w:rsidR="00E673BF">
        <w:rPr>
          <w:rFonts w:ascii="Verdana" w:hAnsi="Verdana"/>
          <w:sz w:val="18"/>
          <w:szCs w:val="18"/>
        </w:rPr>
        <w:t>miljoen</w:t>
      </w:r>
      <w:r w:rsidR="009250B6">
        <w:rPr>
          <w:rFonts w:ascii="Verdana" w:hAnsi="Verdana"/>
          <w:sz w:val="18"/>
          <w:szCs w:val="18"/>
        </w:rPr>
        <w:t xml:space="preserve">) van de stijging kan worden toegerekend aan de Nederlandse bijdragen aan het </w:t>
      </w:r>
      <w:r w:rsidR="009250B6" w:rsidRPr="009250B6">
        <w:rPr>
          <w:rFonts w:ascii="Verdana" w:hAnsi="Verdana"/>
          <w:i/>
          <w:sz w:val="18"/>
          <w:szCs w:val="18"/>
        </w:rPr>
        <w:t>Green Climate Fund</w:t>
      </w:r>
      <w:r w:rsidR="009250B6" w:rsidRPr="009250B6">
        <w:rPr>
          <w:rFonts w:ascii="Verdana" w:hAnsi="Verdana"/>
          <w:sz w:val="18"/>
          <w:szCs w:val="18"/>
        </w:rPr>
        <w:t>, het Montreal Protocol en het Verwoestijningsverdrag</w:t>
      </w:r>
      <w:r w:rsidR="00E673BF">
        <w:rPr>
          <w:rFonts w:ascii="Verdana" w:hAnsi="Verdana"/>
          <w:sz w:val="18"/>
          <w:szCs w:val="18"/>
        </w:rPr>
        <w:t xml:space="preserve">. Tevens wordt budget toegekend ten behoeve van de tiende middelenaanvulling van het </w:t>
      </w:r>
      <w:r w:rsidR="00E673BF" w:rsidRPr="00CF752D">
        <w:rPr>
          <w:rFonts w:ascii="Verdana" w:hAnsi="Verdana"/>
          <w:i/>
          <w:sz w:val="18"/>
          <w:szCs w:val="18"/>
        </w:rPr>
        <w:t xml:space="preserve">International Fund for Agricultural Development </w:t>
      </w:r>
      <w:r w:rsidR="00E673BF">
        <w:rPr>
          <w:rFonts w:ascii="Verdana" w:hAnsi="Verdana"/>
          <w:sz w:val="18"/>
          <w:szCs w:val="18"/>
        </w:rPr>
        <w:t xml:space="preserve">(IFAD) (EUR 54,5 miljoen). Het verplichtingenbudget voor het </w:t>
      </w:r>
      <w:r w:rsidR="00E673BF" w:rsidRPr="00E673BF">
        <w:rPr>
          <w:rFonts w:ascii="Verdana" w:hAnsi="Verdana"/>
          <w:sz w:val="18"/>
          <w:szCs w:val="18"/>
        </w:rPr>
        <w:t xml:space="preserve">Global Environment Facility (GEF) voor 2015 </w:t>
      </w:r>
      <w:r w:rsidR="00E673BF">
        <w:rPr>
          <w:rFonts w:ascii="Verdana" w:hAnsi="Verdana"/>
          <w:sz w:val="18"/>
          <w:szCs w:val="18"/>
        </w:rPr>
        <w:t xml:space="preserve">is </w:t>
      </w:r>
      <w:r w:rsidR="00E673BF" w:rsidRPr="00E673BF">
        <w:rPr>
          <w:rFonts w:ascii="Verdana" w:hAnsi="Verdana"/>
          <w:sz w:val="18"/>
          <w:szCs w:val="18"/>
        </w:rPr>
        <w:t xml:space="preserve">vastgesteld op EUR 20,7 </w:t>
      </w:r>
      <w:r w:rsidR="00E673BF">
        <w:rPr>
          <w:rFonts w:ascii="Verdana" w:hAnsi="Verdana"/>
          <w:sz w:val="18"/>
          <w:szCs w:val="18"/>
        </w:rPr>
        <w:t>miljoen</w:t>
      </w:r>
      <w:r w:rsidR="00E673BF" w:rsidRPr="00E673BF">
        <w:rPr>
          <w:rFonts w:ascii="Verdana" w:hAnsi="Verdana"/>
          <w:sz w:val="18"/>
          <w:szCs w:val="18"/>
        </w:rPr>
        <w:t>.</w:t>
      </w:r>
      <w:r w:rsidR="00E673BF" w:rsidRPr="00E673BF">
        <w:t xml:space="preserve"> </w:t>
      </w:r>
      <w:r w:rsidR="00E673BF">
        <w:rPr>
          <w:rFonts w:ascii="Verdana" w:hAnsi="Verdana"/>
          <w:sz w:val="18"/>
          <w:szCs w:val="18"/>
        </w:rPr>
        <w:t>Ten behoeve van</w:t>
      </w:r>
      <w:r w:rsidR="00E673BF" w:rsidRPr="00E673BF">
        <w:rPr>
          <w:rFonts w:ascii="Verdana" w:hAnsi="Verdana"/>
          <w:sz w:val="18"/>
          <w:szCs w:val="18"/>
        </w:rPr>
        <w:t xml:space="preserve"> het strategisch partnerschap met de Wereldbank op het terrein van water (</w:t>
      </w:r>
      <w:r w:rsidR="00E673BF" w:rsidRPr="00E673BF">
        <w:rPr>
          <w:rFonts w:ascii="Verdana" w:hAnsi="Verdana"/>
          <w:i/>
          <w:sz w:val="18"/>
          <w:szCs w:val="18"/>
        </w:rPr>
        <w:t>Global Practice Water</w:t>
      </w:r>
      <w:r w:rsidR="00E673BF" w:rsidRPr="00E673BF">
        <w:rPr>
          <w:rFonts w:ascii="Verdana" w:hAnsi="Verdana"/>
          <w:sz w:val="18"/>
          <w:szCs w:val="18"/>
        </w:rPr>
        <w:t xml:space="preserve">) wordt </w:t>
      </w:r>
      <w:r w:rsidR="00E673BF">
        <w:rPr>
          <w:rFonts w:ascii="Verdana" w:hAnsi="Verdana"/>
          <w:sz w:val="18"/>
          <w:szCs w:val="18"/>
        </w:rPr>
        <w:t>dit jaar</w:t>
      </w:r>
      <w:r w:rsidR="00E673BF" w:rsidRPr="00E673BF">
        <w:rPr>
          <w:rFonts w:ascii="Verdana" w:hAnsi="Verdana"/>
          <w:sz w:val="18"/>
          <w:szCs w:val="18"/>
        </w:rPr>
        <w:t xml:space="preserve"> een verplichting van EUR 50 </w:t>
      </w:r>
      <w:r w:rsidR="00241E33">
        <w:rPr>
          <w:rFonts w:ascii="Verdana" w:hAnsi="Verdana"/>
          <w:sz w:val="18"/>
          <w:szCs w:val="18"/>
        </w:rPr>
        <w:t>mijoen</w:t>
      </w:r>
      <w:r w:rsidR="00E673BF" w:rsidRPr="00E673BF">
        <w:rPr>
          <w:rFonts w:ascii="Verdana" w:hAnsi="Verdana"/>
          <w:sz w:val="18"/>
          <w:szCs w:val="18"/>
        </w:rPr>
        <w:t xml:space="preserve"> aangegaan. </w:t>
      </w:r>
      <w:r w:rsidR="00BD3375">
        <w:rPr>
          <w:rFonts w:ascii="Verdana" w:hAnsi="Verdana"/>
          <w:sz w:val="18"/>
          <w:szCs w:val="18"/>
        </w:rPr>
        <w:t xml:space="preserve">Op het gebied van drinkwater en sanitatie wordt het UNICEF/WASH-programma hervat in de door ebola getroffen landen in West-Afrika. Ook hiervoor </w:t>
      </w:r>
      <w:r w:rsidR="00EF7E36">
        <w:rPr>
          <w:rFonts w:ascii="Verdana" w:hAnsi="Verdana"/>
          <w:sz w:val="18"/>
          <w:szCs w:val="18"/>
        </w:rPr>
        <w:t xml:space="preserve">wordt </w:t>
      </w:r>
      <w:r w:rsidR="00BD3375">
        <w:rPr>
          <w:rFonts w:ascii="Verdana" w:hAnsi="Verdana"/>
          <w:sz w:val="18"/>
          <w:szCs w:val="18"/>
        </w:rPr>
        <w:t>extra verplichtingenbudget toegekend. Voorts</w:t>
      </w:r>
      <w:r w:rsidR="00E673BF" w:rsidRPr="00E673BF">
        <w:rPr>
          <w:rFonts w:ascii="Verdana" w:hAnsi="Verdana"/>
          <w:sz w:val="18"/>
          <w:szCs w:val="18"/>
        </w:rPr>
        <w:t xml:space="preserve"> wordt budget vrijgemaakt voor waterprogramma’s in de partnerlanden, onder meer in de Palestijnse Gebieden en Rwanda.</w:t>
      </w:r>
      <w:r>
        <w:rPr>
          <w:rFonts w:ascii="Verdana" w:hAnsi="Verdana"/>
          <w:sz w:val="18"/>
          <w:szCs w:val="18"/>
        </w:rPr>
        <w:t xml:space="preserve"> Ter dekking van de amendementen Smaling</w:t>
      </w:r>
      <w:r w:rsidR="00650AF0">
        <w:rPr>
          <w:rFonts w:ascii="Verdana" w:hAnsi="Verdana"/>
          <w:sz w:val="18"/>
          <w:szCs w:val="18"/>
        </w:rPr>
        <w:t>/Leegte</w:t>
      </w:r>
      <w:r>
        <w:rPr>
          <w:rFonts w:ascii="Verdana" w:hAnsi="Verdana"/>
          <w:sz w:val="18"/>
          <w:szCs w:val="18"/>
        </w:rPr>
        <w:t xml:space="preserve"> en De Caluwé</w:t>
      </w:r>
      <w:r w:rsidR="00CD0D87">
        <w:rPr>
          <w:rFonts w:ascii="Verdana" w:hAnsi="Verdana"/>
          <w:sz w:val="18"/>
          <w:szCs w:val="18"/>
        </w:rPr>
        <w:t>/Sjoerdsma</w:t>
      </w:r>
      <w:r>
        <w:rPr>
          <w:rFonts w:ascii="Verdana" w:hAnsi="Verdana"/>
          <w:sz w:val="18"/>
          <w:szCs w:val="18"/>
        </w:rPr>
        <w:t xml:space="preserve"> wordt resp. EUR 1 miljoen en EUR 3 miljoen overgeheveld vanuit het klimaatbudget naar artikel 1 en artikel 4. </w:t>
      </w:r>
    </w:p>
    <w:p w:rsidR="009250B6" w:rsidRDefault="009250B6" w:rsidP="001A3ABA">
      <w:pPr>
        <w:rPr>
          <w:rFonts w:ascii="Verdana" w:hAnsi="Verdana"/>
          <w:sz w:val="18"/>
          <w:szCs w:val="18"/>
        </w:rPr>
      </w:pPr>
    </w:p>
    <w:p w:rsidR="001A3ABA" w:rsidRDefault="001A3ABA" w:rsidP="001A3ABA">
      <w:pPr>
        <w:rPr>
          <w:rFonts w:ascii="Verdana" w:hAnsi="Verdana"/>
          <w:sz w:val="18"/>
          <w:szCs w:val="18"/>
        </w:rPr>
      </w:pPr>
      <w:r>
        <w:rPr>
          <w:rFonts w:ascii="Verdana" w:hAnsi="Verdana"/>
          <w:i/>
          <w:sz w:val="18"/>
          <w:szCs w:val="18"/>
        </w:rPr>
        <w:t>Uitgaven</w:t>
      </w:r>
    </w:p>
    <w:p w:rsidR="00A9158A" w:rsidRDefault="00A9158A" w:rsidP="005F032C">
      <w:pPr>
        <w:autoSpaceDE w:val="0"/>
        <w:autoSpaceDN w:val="0"/>
        <w:adjustRightInd w:val="0"/>
        <w:rPr>
          <w:rFonts w:ascii="Verdana" w:hAnsi="Verdana" w:cs="Courier New"/>
          <w:sz w:val="18"/>
          <w:szCs w:val="18"/>
        </w:rPr>
      </w:pPr>
    </w:p>
    <w:p w:rsidR="001A3ABA" w:rsidRPr="00FB0016" w:rsidRDefault="0060488B" w:rsidP="005F032C">
      <w:pPr>
        <w:autoSpaceDE w:val="0"/>
        <w:autoSpaceDN w:val="0"/>
        <w:adjustRightInd w:val="0"/>
        <w:rPr>
          <w:rFonts w:ascii="Verdana" w:hAnsi="Verdana"/>
          <w:b/>
          <w:sz w:val="18"/>
          <w:szCs w:val="18"/>
        </w:rPr>
      </w:pPr>
      <w:r>
        <w:rPr>
          <w:rFonts w:ascii="Verdana" w:hAnsi="Verdana"/>
          <w:sz w:val="18"/>
          <w:szCs w:val="18"/>
        </w:rPr>
        <w:t>G</w:t>
      </w:r>
      <w:r w:rsidR="00E43BB4">
        <w:rPr>
          <w:rFonts w:ascii="Verdana" w:hAnsi="Verdana"/>
          <w:sz w:val="18"/>
          <w:szCs w:val="18"/>
        </w:rPr>
        <w:t>een toelichting</w:t>
      </w:r>
      <w:r>
        <w:rPr>
          <w:rFonts w:ascii="Verdana" w:hAnsi="Verdana"/>
          <w:sz w:val="18"/>
          <w:szCs w:val="18"/>
        </w:rPr>
        <w:t xml:space="preserve">. </w:t>
      </w:r>
      <w:r w:rsidR="001A3ABA" w:rsidRPr="00FB0016">
        <w:rPr>
          <w:rFonts w:ascii="Verdana" w:hAnsi="Verdana"/>
          <w:b/>
          <w:sz w:val="18"/>
          <w:szCs w:val="18"/>
        </w:rPr>
        <w:br w:type="page"/>
      </w:r>
    </w:p>
    <w:p w:rsidR="001A3ABA" w:rsidRDefault="001A3ABA" w:rsidP="001A3ABA">
      <w:pPr>
        <w:rPr>
          <w:rFonts w:ascii="Verdana" w:hAnsi="Verdana"/>
          <w:b/>
          <w:sz w:val="18"/>
          <w:szCs w:val="18"/>
        </w:rPr>
      </w:pPr>
      <w:r>
        <w:rPr>
          <w:rFonts w:ascii="Verdana" w:hAnsi="Verdana"/>
          <w:b/>
          <w:sz w:val="18"/>
          <w:szCs w:val="18"/>
        </w:rPr>
        <w:lastRenderedPageBreak/>
        <w:t>Beleidsartikel 3</w:t>
      </w:r>
      <w:r w:rsidR="00D63C52">
        <w:rPr>
          <w:rFonts w:ascii="Verdana" w:hAnsi="Verdana"/>
          <w:b/>
          <w:sz w:val="18"/>
          <w:szCs w:val="18"/>
        </w:rPr>
        <w:t xml:space="preserve"> </w:t>
      </w:r>
    </w:p>
    <w:p w:rsidR="004B5774" w:rsidRDefault="004B5774" w:rsidP="001A3ABA">
      <w:pPr>
        <w:rPr>
          <w:rFonts w:ascii="Verdana" w:hAnsi="Verdana"/>
          <w:b/>
          <w:sz w:val="18"/>
          <w:szCs w:val="18"/>
        </w:rPr>
      </w:pPr>
    </w:p>
    <w:p w:rsidR="00B95EB3" w:rsidRDefault="00E77AFA" w:rsidP="001A3ABA">
      <w:pPr>
        <w:rPr>
          <w:noProof/>
          <w:lang w:eastAsia="nl-NL"/>
        </w:rPr>
      </w:pPr>
      <w:r>
        <w:rPr>
          <w:noProof/>
          <w:lang w:eastAsia="nl-NL"/>
        </w:rPr>
        <w:object w:dxaOrig="23415" w:dyaOrig="15363">
          <v:shape id="_x0000_i1029" type="#_x0000_t75" style="width:482.25pt;height:315.65pt" o:ole="">
            <v:imagedata r:id="rId18" o:title=""/>
          </v:shape>
          <o:OLEObject Type="Embed" ProgID="Excel.Sheet.8" ShapeID="_x0000_i1029" DrawAspect="Content" ObjectID="_1494688061" r:id="rId19"/>
        </w:object>
      </w:r>
    </w:p>
    <w:p w:rsidR="002F416F" w:rsidRDefault="002F416F" w:rsidP="001A3ABA">
      <w:pPr>
        <w:rPr>
          <w:rFonts w:ascii="Verdana" w:hAnsi="Verdana"/>
          <w:b/>
          <w:sz w:val="18"/>
          <w:szCs w:val="18"/>
        </w:rPr>
      </w:pPr>
    </w:p>
    <w:p w:rsidR="001A3ABA" w:rsidRDefault="001A3ABA" w:rsidP="001A3ABA">
      <w:pPr>
        <w:rPr>
          <w:rFonts w:ascii="Verdana" w:hAnsi="Verdana"/>
          <w:sz w:val="18"/>
          <w:szCs w:val="18"/>
        </w:rPr>
      </w:pPr>
      <w:r>
        <w:rPr>
          <w:rFonts w:ascii="Verdana" w:hAnsi="Verdana"/>
          <w:i/>
          <w:sz w:val="18"/>
          <w:szCs w:val="18"/>
        </w:rPr>
        <w:t>Verplichtingen</w:t>
      </w:r>
    </w:p>
    <w:p w:rsidR="004E2B90" w:rsidRDefault="004E2B90" w:rsidP="001A3ABA">
      <w:pPr>
        <w:rPr>
          <w:rFonts w:ascii="Verdana" w:hAnsi="Verdana"/>
          <w:sz w:val="18"/>
          <w:szCs w:val="18"/>
        </w:rPr>
      </w:pPr>
    </w:p>
    <w:p w:rsidR="00204465" w:rsidRDefault="00CD0D87" w:rsidP="00204465">
      <w:pPr>
        <w:pStyle w:val="Plattetekst2"/>
        <w:tabs>
          <w:tab w:val="left" w:pos="709"/>
        </w:tabs>
        <w:outlineLvl w:val="0"/>
        <w:rPr>
          <w:rFonts w:ascii="Verdana" w:hAnsi="Verdana"/>
          <w:sz w:val="18"/>
          <w:szCs w:val="18"/>
        </w:rPr>
      </w:pPr>
      <w:r>
        <w:rPr>
          <w:rFonts w:ascii="Verdana" w:hAnsi="Verdana"/>
          <w:sz w:val="18"/>
          <w:szCs w:val="18"/>
        </w:rPr>
        <w:t>Geen toelichting.</w:t>
      </w:r>
    </w:p>
    <w:p w:rsidR="00204465" w:rsidRPr="00AE1702" w:rsidRDefault="00204465" w:rsidP="001A3ABA">
      <w:pPr>
        <w:rPr>
          <w:rFonts w:ascii="Verdana" w:hAnsi="Verdana"/>
          <w:sz w:val="18"/>
          <w:szCs w:val="18"/>
        </w:rPr>
      </w:pPr>
    </w:p>
    <w:p w:rsidR="001A3ABA" w:rsidRDefault="001A3ABA" w:rsidP="001A3ABA">
      <w:pPr>
        <w:rPr>
          <w:rFonts w:ascii="Verdana" w:hAnsi="Verdana"/>
          <w:i/>
          <w:sz w:val="18"/>
          <w:szCs w:val="18"/>
        </w:rPr>
      </w:pPr>
      <w:r>
        <w:rPr>
          <w:rFonts w:ascii="Verdana" w:hAnsi="Verdana"/>
          <w:i/>
          <w:sz w:val="18"/>
          <w:szCs w:val="18"/>
        </w:rPr>
        <w:t>Uitgaven</w:t>
      </w:r>
    </w:p>
    <w:p w:rsidR="004C5D5C" w:rsidRPr="009324F2" w:rsidRDefault="004C5D5C" w:rsidP="009324F2">
      <w:pPr>
        <w:rPr>
          <w:rFonts w:ascii="Calibri" w:hAnsi="Calibri" w:cs="Calibri"/>
          <w:sz w:val="22"/>
          <w:szCs w:val="22"/>
        </w:rPr>
      </w:pPr>
    </w:p>
    <w:p w:rsidR="009324F2" w:rsidRDefault="00AE1702" w:rsidP="005F032C">
      <w:pPr>
        <w:autoSpaceDE w:val="0"/>
        <w:autoSpaceDN w:val="0"/>
        <w:adjustRightInd w:val="0"/>
        <w:rPr>
          <w:rFonts w:ascii="Verdana" w:hAnsi="Verdana" w:cs="Courier New"/>
          <w:sz w:val="18"/>
          <w:szCs w:val="18"/>
        </w:rPr>
      </w:pPr>
      <w:r>
        <w:rPr>
          <w:rFonts w:ascii="Verdana" w:hAnsi="Verdana" w:cs="Courier New"/>
          <w:sz w:val="18"/>
          <w:szCs w:val="18"/>
        </w:rPr>
        <w:t>Geen toelichting.</w:t>
      </w:r>
    </w:p>
    <w:p w:rsidR="001A3ABA" w:rsidRPr="009324F2" w:rsidRDefault="001A3ABA" w:rsidP="005F032C">
      <w:pPr>
        <w:autoSpaceDE w:val="0"/>
        <w:autoSpaceDN w:val="0"/>
        <w:adjustRightInd w:val="0"/>
        <w:rPr>
          <w:rFonts w:ascii="Verdana" w:hAnsi="Verdana" w:cs="Courier New"/>
          <w:sz w:val="18"/>
          <w:szCs w:val="18"/>
        </w:rPr>
      </w:pPr>
      <w:r w:rsidRPr="009324F2">
        <w:rPr>
          <w:rFonts w:ascii="Verdana" w:hAnsi="Verdana" w:cs="Courier New"/>
          <w:sz w:val="18"/>
          <w:szCs w:val="18"/>
        </w:rPr>
        <w:br w:type="page"/>
      </w:r>
    </w:p>
    <w:p w:rsidR="001A3ABA" w:rsidRPr="00D42D43" w:rsidRDefault="001A3ABA" w:rsidP="001A3ABA">
      <w:pPr>
        <w:rPr>
          <w:rFonts w:ascii="Verdana" w:hAnsi="Verdana"/>
          <w:b/>
          <w:sz w:val="18"/>
          <w:szCs w:val="18"/>
        </w:rPr>
      </w:pPr>
      <w:r>
        <w:rPr>
          <w:rFonts w:ascii="Verdana" w:hAnsi="Verdana"/>
          <w:b/>
          <w:sz w:val="18"/>
          <w:szCs w:val="18"/>
        </w:rPr>
        <w:lastRenderedPageBreak/>
        <w:t>Beleidsartikel 4</w:t>
      </w:r>
      <w:r w:rsidR="00D63C52">
        <w:rPr>
          <w:rFonts w:ascii="Verdana" w:hAnsi="Verdana"/>
          <w:b/>
          <w:sz w:val="18"/>
          <w:szCs w:val="18"/>
        </w:rPr>
        <w:t xml:space="preserve"> </w:t>
      </w:r>
    </w:p>
    <w:p w:rsidR="001A3ABA" w:rsidRDefault="001A3ABA" w:rsidP="001A3ABA"/>
    <w:bookmarkStart w:id="1" w:name="_MON_1492514249"/>
    <w:bookmarkEnd w:id="1"/>
    <w:p w:rsidR="004C4787" w:rsidRDefault="0056054C" w:rsidP="001A3ABA">
      <w:r>
        <w:object w:dxaOrig="22272" w:dyaOrig="11425">
          <v:shape id="_x0000_i1030" type="#_x0000_t75" style="width:481.4pt;height:247pt" o:ole="">
            <v:imagedata r:id="rId20" o:title=""/>
          </v:shape>
          <o:OLEObject Type="Embed" ProgID="Excel.Sheet.8" ShapeID="_x0000_i1030" DrawAspect="Content" ObjectID="_1494688062" r:id="rId21"/>
        </w:object>
      </w:r>
    </w:p>
    <w:p w:rsidR="001A3ABA" w:rsidRDefault="001A3ABA" w:rsidP="001A3ABA"/>
    <w:p w:rsidR="001A3ABA" w:rsidRDefault="001A3ABA" w:rsidP="001A3ABA">
      <w:pPr>
        <w:rPr>
          <w:rFonts w:ascii="Verdana" w:hAnsi="Verdana"/>
          <w:sz w:val="18"/>
          <w:szCs w:val="18"/>
        </w:rPr>
      </w:pPr>
      <w:r>
        <w:rPr>
          <w:rFonts w:ascii="Verdana" w:hAnsi="Verdana"/>
          <w:i/>
          <w:sz w:val="18"/>
          <w:szCs w:val="18"/>
        </w:rPr>
        <w:t>Verplichtingen</w:t>
      </w:r>
    </w:p>
    <w:p w:rsidR="00CA3B59" w:rsidRDefault="00CA3B59" w:rsidP="001A3ABA">
      <w:pPr>
        <w:rPr>
          <w:rFonts w:ascii="Verdana" w:hAnsi="Verdana"/>
          <w:sz w:val="18"/>
          <w:szCs w:val="18"/>
        </w:rPr>
      </w:pPr>
    </w:p>
    <w:p w:rsidR="00363353" w:rsidRDefault="00363353" w:rsidP="001A3ABA">
      <w:pPr>
        <w:rPr>
          <w:rFonts w:ascii="Verdana" w:hAnsi="Verdana"/>
          <w:sz w:val="18"/>
          <w:szCs w:val="18"/>
        </w:rPr>
      </w:pPr>
      <w:r>
        <w:rPr>
          <w:rFonts w:ascii="Verdana" w:hAnsi="Verdana"/>
          <w:sz w:val="18"/>
          <w:szCs w:val="18"/>
        </w:rPr>
        <w:t xml:space="preserve">De verhoging </w:t>
      </w:r>
      <w:r w:rsidR="00AB65BD">
        <w:rPr>
          <w:rFonts w:ascii="Verdana" w:hAnsi="Verdana"/>
          <w:sz w:val="18"/>
          <w:szCs w:val="18"/>
        </w:rPr>
        <w:t>van verplichtingenbudget op dit begrotingsartikel komt hoofdzakelijk ten goede aan</w:t>
      </w:r>
      <w:r>
        <w:rPr>
          <w:rFonts w:ascii="Verdana" w:hAnsi="Verdana"/>
          <w:sz w:val="18"/>
          <w:szCs w:val="18"/>
        </w:rPr>
        <w:t xml:space="preserve"> het Noodhulpfonds</w:t>
      </w:r>
      <w:r w:rsidR="00826721">
        <w:rPr>
          <w:rFonts w:ascii="Verdana" w:hAnsi="Verdana"/>
          <w:sz w:val="18"/>
          <w:szCs w:val="18"/>
        </w:rPr>
        <w:t xml:space="preserve"> </w:t>
      </w:r>
      <w:r w:rsidR="00AB65BD">
        <w:rPr>
          <w:rFonts w:ascii="Verdana" w:hAnsi="Verdana"/>
          <w:sz w:val="18"/>
          <w:szCs w:val="18"/>
        </w:rPr>
        <w:t xml:space="preserve">waarvoor in 2015 </w:t>
      </w:r>
      <w:r w:rsidR="00826721">
        <w:rPr>
          <w:rFonts w:ascii="Verdana" w:hAnsi="Verdana"/>
          <w:sz w:val="18"/>
          <w:szCs w:val="18"/>
        </w:rPr>
        <w:t xml:space="preserve">EUR 170 mln </w:t>
      </w:r>
      <w:r w:rsidR="00AB65BD">
        <w:rPr>
          <w:rFonts w:ascii="Verdana" w:hAnsi="Verdana"/>
          <w:sz w:val="18"/>
          <w:szCs w:val="18"/>
        </w:rPr>
        <w:t>is gereserveerd</w:t>
      </w:r>
      <w:r>
        <w:rPr>
          <w:rFonts w:ascii="Verdana" w:hAnsi="Verdana"/>
          <w:sz w:val="18"/>
          <w:szCs w:val="18"/>
        </w:rPr>
        <w:t>.</w:t>
      </w:r>
      <w:r w:rsidR="003F34F0">
        <w:rPr>
          <w:rFonts w:ascii="Verdana" w:hAnsi="Verdana"/>
          <w:sz w:val="18"/>
          <w:szCs w:val="18"/>
        </w:rPr>
        <w:t xml:space="preserve"> </w:t>
      </w:r>
      <w:r w:rsidR="000815DF">
        <w:rPr>
          <w:rFonts w:ascii="Verdana" w:hAnsi="Verdana"/>
          <w:sz w:val="18"/>
          <w:szCs w:val="18"/>
        </w:rPr>
        <w:t xml:space="preserve">Verder worden dit jaar in Afghanistan nieuwe </w:t>
      </w:r>
      <w:r w:rsidR="0099481D">
        <w:rPr>
          <w:rFonts w:ascii="Verdana" w:hAnsi="Verdana"/>
          <w:sz w:val="18"/>
          <w:szCs w:val="18"/>
        </w:rPr>
        <w:t xml:space="preserve">meerjarige </w:t>
      </w:r>
      <w:r w:rsidR="000815DF">
        <w:rPr>
          <w:rFonts w:ascii="Verdana" w:hAnsi="Verdana"/>
          <w:sz w:val="18"/>
          <w:szCs w:val="18"/>
        </w:rPr>
        <w:t xml:space="preserve">activiteiten opgestart op ter bevordering van een functionerende rechtsorde. Daartoe wordt verplichtingenbudget vanuit 2016 en 2018 naar voren gehaald (totaal EUR 19,2 miljoen). </w:t>
      </w:r>
      <w:r w:rsidR="00FA5602">
        <w:rPr>
          <w:rFonts w:ascii="Verdana" w:hAnsi="Verdana"/>
          <w:sz w:val="18"/>
          <w:szCs w:val="18"/>
        </w:rPr>
        <w:t>Conform het amendement-D</w:t>
      </w:r>
      <w:r w:rsidR="00C10C4F">
        <w:rPr>
          <w:rFonts w:ascii="Verdana" w:hAnsi="Verdana"/>
          <w:sz w:val="18"/>
          <w:szCs w:val="18"/>
        </w:rPr>
        <w:t>e Caluwé</w:t>
      </w:r>
      <w:r w:rsidR="00FA5602">
        <w:rPr>
          <w:rFonts w:ascii="Verdana" w:hAnsi="Verdana"/>
          <w:sz w:val="18"/>
          <w:szCs w:val="18"/>
        </w:rPr>
        <w:t>/Sjoerdsma</w:t>
      </w:r>
      <w:r w:rsidR="00C10C4F">
        <w:rPr>
          <w:rFonts w:ascii="Verdana" w:hAnsi="Verdana"/>
          <w:sz w:val="18"/>
          <w:szCs w:val="18"/>
        </w:rPr>
        <w:t xml:space="preserve"> wordt EUR 4 miljoen overgeheveld vanuit artikel 2 (Klimaat) en artikel 3 (SRGR) ten behoeve van het speerpunt Veiligheid en Rechtsorde.</w:t>
      </w:r>
    </w:p>
    <w:p w:rsidR="00363353" w:rsidRDefault="00363353" w:rsidP="001A3ABA">
      <w:pPr>
        <w:rPr>
          <w:rFonts w:ascii="Verdana" w:hAnsi="Verdana"/>
          <w:sz w:val="18"/>
          <w:szCs w:val="18"/>
        </w:rPr>
      </w:pPr>
    </w:p>
    <w:p w:rsidR="001A3ABA" w:rsidRDefault="001A3ABA" w:rsidP="001A3ABA">
      <w:pPr>
        <w:rPr>
          <w:rFonts w:ascii="Verdana" w:hAnsi="Verdana"/>
          <w:sz w:val="18"/>
          <w:szCs w:val="18"/>
        </w:rPr>
      </w:pPr>
      <w:r>
        <w:rPr>
          <w:rFonts w:ascii="Verdana" w:hAnsi="Verdana"/>
          <w:i/>
          <w:sz w:val="18"/>
          <w:szCs w:val="18"/>
        </w:rPr>
        <w:t>Uitgaven</w:t>
      </w:r>
    </w:p>
    <w:p w:rsidR="00B10BF5" w:rsidRDefault="00B10BF5" w:rsidP="00CA3B59">
      <w:pPr>
        <w:rPr>
          <w:rFonts w:ascii="Verdana" w:hAnsi="Verdana"/>
          <w:sz w:val="18"/>
          <w:szCs w:val="18"/>
        </w:rPr>
      </w:pPr>
    </w:p>
    <w:p w:rsidR="00FA5602" w:rsidRPr="0060488B" w:rsidRDefault="00FA5602" w:rsidP="00CA3B59">
      <w:pPr>
        <w:rPr>
          <w:rFonts w:ascii="Verdana" w:hAnsi="Verdana"/>
          <w:sz w:val="18"/>
          <w:szCs w:val="18"/>
        </w:rPr>
      </w:pPr>
      <w:r w:rsidRPr="0060488B">
        <w:rPr>
          <w:rFonts w:ascii="Verdana" w:hAnsi="Verdana"/>
          <w:sz w:val="18"/>
          <w:szCs w:val="18"/>
        </w:rPr>
        <w:t>Artikel 4.3</w:t>
      </w:r>
    </w:p>
    <w:p w:rsidR="00C5345D" w:rsidRPr="00C5345D" w:rsidRDefault="00C5345D" w:rsidP="00C5345D">
      <w:pPr>
        <w:rPr>
          <w:rFonts w:ascii="Verdana" w:hAnsi="Verdana"/>
          <w:sz w:val="18"/>
          <w:szCs w:val="18"/>
        </w:rPr>
      </w:pPr>
      <w:r>
        <w:rPr>
          <w:rFonts w:ascii="Verdana" w:hAnsi="Verdana"/>
          <w:sz w:val="18"/>
          <w:szCs w:val="18"/>
        </w:rPr>
        <w:t xml:space="preserve">Binnen dit sub-artikel vindt een herschikking plaats </w:t>
      </w:r>
      <w:r w:rsidR="00CD0D87">
        <w:rPr>
          <w:rFonts w:ascii="Verdana" w:hAnsi="Verdana"/>
          <w:sz w:val="18"/>
          <w:szCs w:val="18"/>
        </w:rPr>
        <w:t xml:space="preserve">tussen centrale en decentrale budgetten op basis van de jaarplannen van de posten en beleidsdirecties. Tevens worden de landenprogramma’s voor veiligheid, rechtsorde en wederopbouw </w:t>
      </w:r>
      <w:r w:rsidR="0060488B">
        <w:rPr>
          <w:rFonts w:ascii="Verdana" w:hAnsi="Verdana"/>
          <w:sz w:val="18"/>
          <w:szCs w:val="18"/>
        </w:rPr>
        <w:t xml:space="preserve">vanuit het Budget Internationale Veiligheid (BIV) verhoogd </w:t>
      </w:r>
      <w:r w:rsidR="00CD0D87">
        <w:rPr>
          <w:rFonts w:ascii="Verdana" w:hAnsi="Verdana"/>
          <w:sz w:val="18"/>
          <w:szCs w:val="18"/>
        </w:rPr>
        <w:t>met EUR 30</w:t>
      </w:r>
      <w:r w:rsidR="0060488B">
        <w:rPr>
          <w:rFonts w:ascii="Verdana" w:hAnsi="Verdana"/>
          <w:sz w:val="18"/>
          <w:szCs w:val="18"/>
        </w:rPr>
        <w:t xml:space="preserve"> miljoen</w:t>
      </w:r>
      <w:r w:rsidR="00CD0D87">
        <w:rPr>
          <w:rFonts w:ascii="Verdana" w:hAnsi="Verdana"/>
          <w:sz w:val="18"/>
          <w:szCs w:val="18"/>
        </w:rPr>
        <w:t>.</w:t>
      </w:r>
    </w:p>
    <w:p w:rsidR="0075080D" w:rsidRDefault="0075080D" w:rsidP="00CA3B59">
      <w:pPr>
        <w:rPr>
          <w:rFonts w:ascii="Verdana" w:hAnsi="Verdana"/>
          <w:sz w:val="18"/>
          <w:szCs w:val="18"/>
        </w:rPr>
      </w:pPr>
    </w:p>
    <w:p w:rsidR="00CA3B59" w:rsidRPr="00265307" w:rsidRDefault="00CA3B59" w:rsidP="00CA3B59">
      <w:pPr>
        <w:rPr>
          <w:rFonts w:ascii="Verdana" w:hAnsi="Verdana"/>
          <w:i/>
          <w:sz w:val="18"/>
          <w:szCs w:val="18"/>
        </w:rPr>
      </w:pPr>
      <w:r>
        <w:rPr>
          <w:rFonts w:ascii="Verdana" w:hAnsi="Verdana"/>
          <w:i/>
          <w:sz w:val="18"/>
          <w:szCs w:val="18"/>
        </w:rPr>
        <w:t>Ontvangsten</w:t>
      </w:r>
    </w:p>
    <w:p w:rsidR="00753A76" w:rsidRDefault="00753A76">
      <w:pPr>
        <w:rPr>
          <w:rFonts w:ascii="Verdana" w:hAnsi="Verdana"/>
          <w:sz w:val="18"/>
          <w:szCs w:val="18"/>
        </w:rPr>
      </w:pPr>
    </w:p>
    <w:p w:rsidR="001A3ABA" w:rsidRDefault="0070641D" w:rsidP="001A3ABA">
      <w:r>
        <w:rPr>
          <w:rFonts w:ascii="Verdana" w:hAnsi="Verdana"/>
          <w:sz w:val="18"/>
          <w:szCs w:val="18"/>
        </w:rPr>
        <w:t>Geen toelichting.</w:t>
      </w:r>
      <w:r w:rsidR="0034772C">
        <w:rPr>
          <w:rFonts w:ascii="Verdana" w:hAnsi="Verdana"/>
          <w:sz w:val="18"/>
          <w:szCs w:val="18"/>
        </w:rPr>
        <w:br w:type="page"/>
      </w:r>
      <w:r w:rsidR="001A3ABA">
        <w:rPr>
          <w:rFonts w:ascii="Verdana" w:hAnsi="Verdana"/>
          <w:b/>
          <w:sz w:val="18"/>
          <w:szCs w:val="18"/>
        </w:rPr>
        <w:lastRenderedPageBreak/>
        <w:t xml:space="preserve">Beleidsartikel </w:t>
      </w:r>
      <w:r w:rsidR="00F1010B">
        <w:rPr>
          <w:rFonts w:ascii="Verdana" w:hAnsi="Verdana"/>
          <w:b/>
          <w:sz w:val="18"/>
          <w:szCs w:val="18"/>
        </w:rPr>
        <w:t>5</w:t>
      </w:r>
      <w:r w:rsidR="00D63C52">
        <w:rPr>
          <w:rFonts w:ascii="Verdana" w:hAnsi="Verdana"/>
          <w:b/>
          <w:sz w:val="18"/>
          <w:szCs w:val="18"/>
        </w:rPr>
        <w:t xml:space="preserve"> </w:t>
      </w:r>
    </w:p>
    <w:p w:rsidR="001A3ABA" w:rsidRDefault="001A3ABA" w:rsidP="001A3ABA">
      <w:pPr>
        <w:rPr>
          <w:rFonts w:ascii="Verdana" w:hAnsi="Verdana"/>
          <w:sz w:val="18"/>
          <w:szCs w:val="18"/>
        </w:rPr>
      </w:pPr>
    </w:p>
    <w:p w:rsidR="001A3ABA" w:rsidRDefault="00E26ADE" w:rsidP="001A3ABA">
      <w:pPr>
        <w:rPr>
          <w:noProof/>
          <w:lang w:eastAsia="nl-NL"/>
        </w:rPr>
      </w:pPr>
      <w:r>
        <w:rPr>
          <w:noProof/>
          <w:lang w:eastAsia="nl-NL"/>
        </w:rPr>
        <w:object w:dxaOrig="22640" w:dyaOrig="10447">
          <v:shape id="_x0000_i1031" type="#_x0000_t75" style="width:479.7pt;height:221.85pt" o:ole="">
            <v:imagedata r:id="rId22" o:title=""/>
          </v:shape>
          <o:OLEObject Type="Embed" ProgID="Excel.Sheet.8" ShapeID="_x0000_i1031" DrawAspect="Content" ObjectID="_1494688063" r:id="rId23"/>
        </w:object>
      </w:r>
    </w:p>
    <w:p w:rsidR="00A23144" w:rsidRDefault="00A23144" w:rsidP="001A3ABA">
      <w:pPr>
        <w:rPr>
          <w:rFonts w:ascii="Verdana" w:hAnsi="Verdana"/>
          <w:sz w:val="18"/>
          <w:szCs w:val="18"/>
        </w:rPr>
      </w:pPr>
    </w:p>
    <w:p w:rsidR="001A3ABA" w:rsidRDefault="001A3ABA" w:rsidP="001A3ABA">
      <w:pPr>
        <w:rPr>
          <w:rFonts w:ascii="Verdana" w:hAnsi="Verdana"/>
          <w:sz w:val="18"/>
          <w:szCs w:val="18"/>
        </w:rPr>
      </w:pPr>
      <w:r>
        <w:rPr>
          <w:rFonts w:ascii="Verdana" w:hAnsi="Verdana"/>
          <w:i/>
          <w:sz w:val="18"/>
          <w:szCs w:val="18"/>
        </w:rPr>
        <w:t>Verplichtingen</w:t>
      </w:r>
    </w:p>
    <w:p w:rsidR="008D5E3D" w:rsidRDefault="008D5E3D" w:rsidP="001A3ABA">
      <w:pPr>
        <w:rPr>
          <w:rFonts w:ascii="Verdana" w:hAnsi="Verdana"/>
          <w:sz w:val="18"/>
          <w:szCs w:val="18"/>
        </w:rPr>
      </w:pPr>
    </w:p>
    <w:p w:rsidR="00826721" w:rsidRPr="0060488B" w:rsidRDefault="00826721" w:rsidP="001A3ABA">
      <w:pPr>
        <w:rPr>
          <w:rFonts w:ascii="Verdana" w:hAnsi="Verdana"/>
          <w:sz w:val="18"/>
          <w:szCs w:val="18"/>
        </w:rPr>
      </w:pPr>
      <w:r w:rsidRPr="0060488B">
        <w:rPr>
          <w:rFonts w:ascii="Verdana" w:hAnsi="Verdana"/>
          <w:sz w:val="18"/>
          <w:szCs w:val="18"/>
        </w:rPr>
        <w:t>Artikel 5.2</w:t>
      </w:r>
    </w:p>
    <w:p w:rsidR="00826721" w:rsidRDefault="004D75D9" w:rsidP="001A3ABA">
      <w:pPr>
        <w:rPr>
          <w:rFonts w:ascii="Verdana" w:hAnsi="Verdana"/>
          <w:sz w:val="18"/>
          <w:szCs w:val="18"/>
        </w:rPr>
      </w:pPr>
      <w:r>
        <w:rPr>
          <w:rFonts w:ascii="Verdana" w:hAnsi="Verdana"/>
          <w:sz w:val="18"/>
          <w:szCs w:val="18"/>
        </w:rPr>
        <w:t xml:space="preserve">De verhoging op dit sub-artikel komt allereerst ten </w:t>
      </w:r>
      <w:r w:rsidR="009128C2">
        <w:rPr>
          <w:rFonts w:ascii="Verdana" w:hAnsi="Verdana"/>
          <w:sz w:val="18"/>
          <w:szCs w:val="18"/>
        </w:rPr>
        <w:t>gunste van</w:t>
      </w:r>
      <w:r>
        <w:rPr>
          <w:rFonts w:ascii="Verdana" w:hAnsi="Verdana"/>
          <w:sz w:val="18"/>
          <w:szCs w:val="18"/>
        </w:rPr>
        <w:t xml:space="preserve"> de verplichte contributie aan de UNESCO voor de jaren 2015-2018.</w:t>
      </w:r>
      <w:r w:rsidR="00094AE5">
        <w:rPr>
          <w:rFonts w:ascii="Verdana" w:hAnsi="Verdana"/>
          <w:sz w:val="18"/>
          <w:szCs w:val="18"/>
        </w:rPr>
        <w:t xml:space="preserve"> </w:t>
      </w:r>
      <w:r>
        <w:rPr>
          <w:rFonts w:ascii="Verdana" w:hAnsi="Verdana"/>
          <w:sz w:val="18"/>
          <w:szCs w:val="18"/>
        </w:rPr>
        <w:t>Voor</w:t>
      </w:r>
      <w:r w:rsidR="009128C2">
        <w:rPr>
          <w:rFonts w:ascii="Verdana" w:hAnsi="Verdana"/>
          <w:sz w:val="18"/>
          <w:szCs w:val="18"/>
        </w:rPr>
        <w:t>ts wordt budget toegekend voor</w:t>
      </w:r>
      <w:r w:rsidR="00247AE7">
        <w:rPr>
          <w:rFonts w:ascii="Verdana" w:hAnsi="Verdana"/>
          <w:sz w:val="18"/>
          <w:szCs w:val="18"/>
        </w:rPr>
        <w:t xml:space="preserve"> het BHOS-deel in de uitvoering van de </w:t>
      </w:r>
      <w:r w:rsidR="009F7768">
        <w:rPr>
          <w:rFonts w:ascii="Verdana" w:hAnsi="Verdana"/>
          <w:sz w:val="18"/>
          <w:szCs w:val="18"/>
        </w:rPr>
        <w:t>G</w:t>
      </w:r>
      <w:r w:rsidR="00247AE7">
        <w:rPr>
          <w:rFonts w:ascii="Verdana" w:hAnsi="Verdana"/>
          <w:sz w:val="18"/>
          <w:szCs w:val="18"/>
        </w:rPr>
        <w:t>aranti</w:t>
      </w:r>
      <w:r w:rsidR="009F7768">
        <w:rPr>
          <w:rFonts w:ascii="Verdana" w:hAnsi="Verdana"/>
          <w:sz w:val="18"/>
          <w:szCs w:val="18"/>
        </w:rPr>
        <w:t>e</w:t>
      </w:r>
      <w:r w:rsidR="00247AE7">
        <w:rPr>
          <w:rFonts w:ascii="Verdana" w:hAnsi="Verdana"/>
          <w:sz w:val="18"/>
          <w:szCs w:val="18"/>
        </w:rPr>
        <w:t>wet Surinaamse pensioenen (vml Koninkrijksambtenaren).</w:t>
      </w:r>
      <w:r w:rsidR="009128C2">
        <w:rPr>
          <w:rFonts w:ascii="Verdana" w:hAnsi="Verdana"/>
          <w:sz w:val="18"/>
          <w:szCs w:val="18"/>
        </w:rPr>
        <w:t xml:space="preserve"> Tenslotte is sprake van een </w:t>
      </w:r>
      <w:r w:rsidR="00094AE5">
        <w:rPr>
          <w:rFonts w:ascii="Verdana" w:hAnsi="Verdana"/>
          <w:sz w:val="18"/>
          <w:szCs w:val="18"/>
        </w:rPr>
        <w:t>(technische) bijstelling</w:t>
      </w:r>
      <w:r w:rsidR="009128C2">
        <w:rPr>
          <w:rFonts w:ascii="Verdana" w:hAnsi="Verdana"/>
          <w:sz w:val="18"/>
          <w:szCs w:val="18"/>
        </w:rPr>
        <w:t xml:space="preserve"> van het verplichtingenbudget voor </w:t>
      </w:r>
      <w:r w:rsidR="0088222C">
        <w:rPr>
          <w:rFonts w:ascii="Verdana" w:hAnsi="Verdana"/>
          <w:sz w:val="18"/>
          <w:szCs w:val="18"/>
        </w:rPr>
        <w:t xml:space="preserve">bilaterale </w:t>
      </w:r>
      <w:r w:rsidR="009128C2">
        <w:rPr>
          <w:rFonts w:ascii="Verdana" w:hAnsi="Verdana"/>
          <w:sz w:val="18"/>
          <w:szCs w:val="18"/>
        </w:rPr>
        <w:t>activiteiten op het terrein van cultuur, sport en ontwikkeling</w:t>
      </w:r>
      <w:r w:rsidR="00BB4EB6">
        <w:rPr>
          <w:rFonts w:ascii="Verdana" w:hAnsi="Verdana"/>
          <w:sz w:val="18"/>
          <w:szCs w:val="18"/>
        </w:rPr>
        <w:t xml:space="preserve"> in lijn met het meerjarig kasbudget</w:t>
      </w:r>
      <w:r w:rsidR="009128C2">
        <w:rPr>
          <w:rFonts w:ascii="Verdana" w:hAnsi="Verdana"/>
          <w:sz w:val="18"/>
          <w:szCs w:val="18"/>
        </w:rPr>
        <w:t>.</w:t>
      </w:r>
    </w:p>
    <w:p w:rsidR="00826721" w:rsidRDefault="00826721" w:rsidP="001A3ABA">
      <w:pPr>
        <w:rPr>
          <w:rFonts w:ascii="Verdana" w:hAnsi="Verdana"/>
          <w:sz w:val="18"/>
          <w:szCs w:val="18"/>
        </w:rPr>
      </w:pPr>
    </w:p>
    <w:p w:rsidR="001A3ABA" w:rsidRDefault="001A3ABA" w:rsidP="001A3ABA">
      <w:pPr>
        <w:rPr>
          <w:rFonts w:ascii="Verdana" w:hAnsi="Verdana"/>
          <w:sz w:val="18"/>
          <w:szCs w:val="18"/>
        </w:rPr>
      </w:pPr>
      <w:r>
        <w:rPr>
          <w:rFonts w:ascii="Verdana" w:hAnsi="Verdana"/>
          <w:i/>
          <w:sz w:val="18"/>
          <w:szCs w:val="18"/>
        </w:rPr>
        <w:t>Uitgaven</w:t>
      </w:r>
    </w:p>
    <w:p w:rsidR="008D5E3D" w:rsidRDefault="008D5E3D" w:rsidP="001A3ABA">
      <w:pPr>
        <w:rPr>
          <w:rFonts w:ascii="Verdana" w:hAnsi="Verdana"/>
          <w:sz w:val="18"/>
          <w:szCs w:val="18"/>
        </w:rPr>
      </w:pPr>
    </w:p>
    <w:p w:rsidR="008D5E3D" w:rsidRPr="0060488B" w:rsidRDefault="003412C1" w:rsidP="001A3ABA">
      <w:pPr>
        <w:rPr>
          <w:rFonts w:ascii="Verdana" w:hAnsi="Verdana"/>
          <w:sz w:val="18"/>
          <w:szCs w:val="18"/>
        </w:rPr>
      </w:pPr>
      <w:r w:rsidRPr="0060488B">
        <w:rPr>
          <w:rFonts w:ascii="Verdana" w:hAnsi="Verdana"/>
          <w:sz w:val="18"/>
          <w:szCs w:val="18"/>
        </w:rPr>
        <w:t>Artikel 5.2</w:t>
      </w:r>
    </w:p>
    <w:p w:rsidR="00531DA5" w:rsidRPr="00AF31B5" w:rsidRDefault="00531DA5" w:rsidP="00531DA5">
      <w:pPr>
        <w:pStyle w:val="Plattetekst2"/>
        <w:tabs>
          <w:tab w:val="left" w:pos="709"/>
        </w:tabs>
        <w:outlineLvl w:val="0"/>
        <w:rPr>
          <w:rFonts w:ascii="Verdana" w:hAnsi="Verdana"/>
          <w:iCs/>
          <w:sz w:val="18"/>
          <w:szCs w:val="18"/>
        </w:rPr>
      </w:pPr>
      <w:r>
        <w:rPr>
          <w:rFonts w:ascii="Verdana" w:hAnsi="Verdana"/>
          <w:iCs/>
          <w:sz w:val="18"/>
          <w:szCs w:val="18"/>
        </w:rPr>
        <w:t xml:space="preserve">Op dit sub-artikel wordt EUR </w:t>
      </w:r>
      <w:r w:rsidR="00241E33">
        <w:rPr>
          <w:rFonts w:ascii="Verdana" w:hAnsi="Verdana"/>
          <w:iCs/>
          <w:sz w:val="18"/>
          <w:szCs w:val="18"/>
        </w:rPr>
        <w:t>400</w:t>
      </w:r>
      <w:r>
        <w:rPr>
          <w:rFonts w:ascii="Verdana" w:hAnsi="Verdana"/>
          <w:iCs/>
          <w:sz w:val="18"/>
          <w:szCs w:val="18"/>
        </w:rPr>
        <w:t xml:space="preserve"> miljoen vrijgemaakt ter </w:t>
      </w:r>
      <w:r w:rsidR="00406507">
        <w:rPr>
          <w:rFonts w:ascii="Verdana" w:hAnsi="Verdana"/>
          <w:iCs/>
          <w:sz w:val="18"/>
          <w:szCs w:val="18"/>
        </w:rPr>
        <w:t>financiering</w:t>
      </w:r>
      <w:r>
        <w:rPr>
          <w:rFonts w:ascii="Verdana" w:hAnsi="Verdana"/>
          <w:iCs/>
          <w:sz w:val="18"/>
          <w:szCs w:val="18"/>
        </w:rPr>
        <w:t xml:space="preserve"> van de sterk toegenomen kosten van de eerstejaarsopvang van asielzoekers uit DAC-landen. Deze kosten worden toegerekend aan het ODA-budget. </w:t>
      </w:r>
      <w:r w:rsidR="0036056B">
        <w:rPr>
          <w:rFonts w:ascii="Verdana" w:hAnsi="Verdana"/>
          <w:iCs/>
          <w:sz w:val="18"/>
          <w:szCs w:val="18"/>
        </w:rPr>
        <w:t xml:space="preserve">Binnen de regering is besloten </w:t>
      </w:r>
      <w:r w:rsidR="00406507">
        <w:rPr>
          <w:rFonts w:ascii="Verdana" w:hAnsi="Verdana"/>
          <w:iCs/>
          <w:sz w:val="18"/>
          <w:szCs w:val="18"/>
        </w:rPr>
        <w:t>dit bedrag</w:t>
      </w:r>
      <w:r w:rsidR="0036056B" w:rsidRPr="00AF31B5">
        <w:rPr>
          <w:rFonts w:ascii="Verdana" w:hAnsi="Verdana"/>
          <w:iCs/>
          <w:sz w:val="18"/>
          <w:szCs w:val="18"/>
        </w:rPr>
        <w:t xml:space="preserve"> </w:t>
      </w:r>
      <w:r w:rsidR="0036056B">
        <w:rPr>
          <w:rFonts w:ascii="Verdana" w:hAnsi="Verdana"/>
          <w:iCs/>
          <w:sz w:val="18"/>
          <w:szCs w:val="18"/>
        </w:rPr>
        <w:t xml:space="preserve">te dekken </w:t>
      </w:r>
      <w:r w:rsidR="0036056B" w:rsidRPr="00AF31B5">
        <w:rPr>
          <w:rFonts w:ascii="Verdana" w:hAnsi="Verdana"/>
          <w:iCs/>
          <w:sz w:val="18"/>
          <w:szCs w:val="18"/>
        </w:rPr>
        <w:t>door middel van de volgende budgettaire mutaties binnen de BHOS begroting:</w:t>
      </w:r>
    </w:p>
    <w:p w:rsidR="00531DA5" w:rsidRPr="00AF31B5" w:rsidRDefault="00531DA5" w:rsidP="00531DA5">
      <w:pPr>
        <w:pStyle w:val="Plattetekst2"/>
        <w:numPr>
          <w:ilvl w:val="0"/>
          <w:numId w:val="22"/>
        </w:numPr>
        <w:tabs>
          <w:tab w:val="left" w:pos="709"/>
        </w:tabs>
        <w:outlineLvl w:val="0"/>
        <w:rPr>
          <w:rFonts w:ascii="Verdana" w:hAnsi="Verdana"/>
          <w:iCs/>
          <w:sz w:val="18"/>
          <w:szCs w:val="18"/>
        </w:rPr>
      </w:pPr>
      <w:r w:rsidRPr="00AF31B5">
        <w:rPr>
          <w:rFonts w:ascii="Verdana" w:hAnsi="Verdana"/>
          <w:iCs/>
          <w:sz w:val="18"/>
          <w:szCs w:val="18"/>
        </w:rPr>
        <w:t>EUR 345 miljoen: een kasschuif van de geraamde BNP-macromeevallers in de periode 2016-2020.</w:t>
      </w:r>
    </w:p>
    <w:p w:rsidR="00531DA5" w:rsidRPr="00AF31B5" w:rsidRDefault="00406507" w:rsidP="00531DA5">
      <w:pPr>
        <w:pStyle w:val="Plattetekst2"/>
        <w:numPr>
          <w:ilvl w:val="0"/>
          <w:numId w:val="22"/>
        </w:numPr>
        <w:tabs>
          <w:tab w:val="left" w:pos="709"/>
        </w:tabs>
        <w:outlineLvl w:val="0"/>
        <w:rPr>
          <w:rFonts w:ascii="Verdana" w:hAnsi="Verdana"/>
          <w:iCs/>
          <w:sz w:val="18"/>
          <w:szCs w:val="18"/>
        </w:rPr>
      </w:pPr>
      <w:r>
        <w:rPr>
          <w:rFonts w:ascii="Verdana" w:hAnsi="Verdana"/>
          <w:iCs/>
          <w:sz w:val="18"/>
          <w:szCs w:val="18"/>
        </w:rPr>
        <w:t>EUR 30</w:t>
      </w:r>
      <w:r w:rsidR="00531DA5" w:rsidRPr="00AF31B5">
        <w:rPr>
          <w:rFonts w:ascii="Verdana" w:hAnsi="Verdana"/>
          <w:iCs/>
          <w:sz w:val="18"/>
          <w:szCs w:val="18"/>
        </w:rPr>
        <w:t xml:space="preserve"> miljoen: </w:t>
      </w:r>
      <w:r w:rsidR="0036056B">
        <w:rPr>
          <w:rFonts w:ascii="Verdana" w:hAnsi="Verdana"/>
          <w:iCs/>
          <w:sz w:val="18"/>
          <w:szCs w:val="18"/>
        </w:rPr>
        <w:t>door geraamde ODA middelen uit 2020 naar voren te halen en in te zetten in 2015.</w:t>
      </w:r>
    </w:p>
    <w:p w:rsidR="00531DA5" w:rsidRDefault="00531DA5" w:rsidP="00531DA5">
      <w:pPr>
        <w:pStyle w:val="Plattetekst2"/>
        <w:numPr>
          <w:ilvl w:val="0"/>
          <w:numId w:val="22"/>
        </w:numPr>
        <w:tabs>
          <w:tab w:val="left" w:pos="709"/>
        </w:tabs>
        <w:outlineLvl w:val="0"/>
        <w:rPr>
          <w:rFonts w:ascii="Verdana" w:hAnsi="Verdana"/>
          <w:iCs/>
          <w:sz w:val="18"/>
          <w:szCs w:val="18"/>
        </w:rPr>
      </w:pPr>
      <w:r w:rsidRPr="00AF31B5">
        <w:rPr>
          <w:rFonts w:ascii="Verdana" w:hAnsi="Verdana"/>
          <w:iCs/>
          <w:sz w:val="18"/>
          <w:szCs w:val="18"/>
        </w:rPr>
        <w:t>EUR 24 miljoen: het aanwenden van een deel van de non-ODA eindejaarsmarge uit 2014.</w:t>
      </w:r>
    </w:p>
    <w:p w:rsidR="00531DA5" w:rsidRDefault="0036056B" w:rsidP="00531DA5">
      <w:pPr>
        <w:pStyle w:val="Plattetekst2"/>
        <w:tabs>
          <w:tab w:val="left" w:pos="709"/>
        </w:tabs>
        <w:outlineLvl w:val="0"/>
        <w:rPr>
          <w:rFonts w:ascii="Verdana" w:hAnsi="Verdana"/>
          <w:iCs/>
          <w:sz w:val="18"/>
          <w:szCs w:val="18"/>
        </w:rPr>
      </w:pPr>
      <w:r>
        <w:rPr>
          <w:rFonts w:ascii="Verdana" w:hAnsi="Verdana"/>
          <w:iCs/>
          <w:sz w:val="18"/>
          <w:szCs w:val="18"/>
        </w:rPr>
        <w:t xml:space="preserve">Het betreft hier een toerekening waardoor de mutatie niet zichtbaar is in bovenstaande tabel. </w:t>
      </w:r>
    </w:p>
    <w:p w:rsidR="00531DA5" w:rsidRDefault="00531DA5" w:rsidP="00531DA5">
      <w:pPr>
        <w:pStyle w:val="Plattetekst2"/>
        <w:tabs>
          <w:tab w:val="left" w:pos="709"/>
        </w:tabs>
        <w:outlineLvl w:val="0"/>
        <w:rPr>
          <w:rFonts w:ascii="Verdana" w:hAnsi="Verdana"/>
          <w:sz w:val="18"/>
          <w:szCs w:val="18"/>
        </w:rPr>
      </w:pPr>
    </w:p>
    <w:p w:rsidR="003412C1" w:rsidRPr="00531DA5" w:rsidRDefault="00531DA5" w:rsidP="00531DA5">
      <w:pPr>
        <w:pStyle w:val="Plattetekst2"/>
        <w:tabs>
          <w:tab w:val="left" w:pos="709"/>
        </w:tabs>
        <w:outlineLvl w:val="0"/>
        <w:rPr>
          <w:rFonts w:ascii="Verdana" w:hAnsi="Verdana"/>
          <w:iCs/>
          <w:sz w:val="18"/>
          <w:szCs w:val="18"/>
        </w:rPr>
      </w:pPr>
      <w:r>
        <w:rPr>
          <w:rFonts w:ascii="Verdana" w:hAnsi="Verdana"/>
          <w:sz w:val="18"/>
          <w:szCs w:val="18"/>
        </w:rPr>
        <w:t xml:space="preserve">Voorst is op dit sub-artikel sprake van een </w:t>
      </w:r>
      <w:r w:rsidRPr="003D3912">
        <w:rPr>
          <w:rFonts w:ascii="Verdana" w:hAnsi="Verdana"/>
          <w:sz w:val="18"/>
          <w:szCs w:val="18"/>
        </w:rPr>
        <w:t>technische bijstelling.</w:t>
      </w:r>
      <w:r>
        <w:rPr>
          <w:rFonts w:ascii="Verdana" w:hAnsi="Verdana"/>
          <w:sz w:val="18"/>
          <w:szCs w:val="18"/>
        </w:rPr>
        <w:t xml:space="preserve"> </w:t>
      </w:r>
      <w:r w:rsidR="00D43DDE">
        <w:rPr>
          <w:rFonts w:ascii="Verdana" w:hAnsi="Verdana"/>
          <w:sz w:val="18"/>
          <w:szCs w:val="18"/>
        </w:rPr>
        <w:t>Als gevolg van een BNP-meevaller daalt de BNP-korting die in 2015 moet worden ingevuld van EUR 183 miljoen (Ontwerpbegroting) naar EUR 150 miljoen (Eerste Suppletoire Begroting), hetgeen leidt tot een verhoging van sub-artikel 5.2.</w:t>
      </w:r>
      <w:r w:rsidR="003D3912">
        <w:rPr>
          <w:rFonts w:ascii="Verdana" w:hAnsi="Verdana"/>
          <w:sz w:val="18"/>
          <w:szCs w:val="18"/>
        </w:rPr>
        <w:t xml:space="preserve"> </w:t>
      </w:r>
    </w:p>
    <w:p w:rsidR="00531DA5" w:rsidRDefault="00531DA5" w:rsidP="001A3ABA">
      <w:pPr>
        <w:rPr>
          <w:rFonts w:ascii="Verdana" w:hAnsi="Verdana"/>
          <w:sz w:val="18"/>
          <w:szCs w:val="18"/>
        </w:rPr>
      </w:pPr>
    </w:p>
    <w:p w:rsidR="006768AD" w:rsidRDefault="006768AD" w:rsidP="001A3ABA">
      <w:pPr>
        <w:rPr>
          <w:rFonts w:ascii="Verdana" w:hAnsi="Verdana"/>
          <w:i/>
          <w:sz w:val="18"/>
          <w:szCs w:val="18"/>
        </w:rPr>
      </w:pPr>
      <w:r w:rsidRPr="006768AD">
        <w:rPr>
          <w:rFonts w:ascii="Verdana" w:hAnsi="Verdana"/>
          <w:i/>
          <w:sz w:val="18"/>
          <w:szCs w:val="18"/>
        </w:rPr>
        <w:t>Ontvangsten</w:t>
      </w:r>
    </w:p>
    <w:p w:rsidR="008D5E3D" w:rsidRDefault="008D5E3D" w:rsidP="001A3ABA">
      <w:pPr>
        <w:rPr>
          <w:rFonts w:ascii="Verdana" w:hAnsi="Verdana"/>
          <w:sz w:val="18"/>
          <w:szCs w:val="18"/>
        </w:rPr>
      </w:pPr>
    </w:p>
    <w:p w:rsidR="00BB4EB6" w:rsidRPr="00BB4EB6" w:rsidRDefault="00BB4EB6" w:rsidP="001A3ABA">
      <w:pPr>
        <w:rPr>
          <w:rFonts w:ascii="Verdana" w:hAnsi="Verdana"/>
          <w:sz w:val="18"/>
          <w:szCs w:val="18"/>
        </w:rPr>
      </w:pPr>
      <w:r>
        <w:rPr>
          <w:rFonts w:ascii="Verdana" w:hAnsi="Verdana"/>
          <w:sz w:val="18"/>
          <w:szCs w:val="18"/>
        </w:rPr>
        <w:t>Geen toelichting</w:t>
      </w:r>
      <w:r w:rsidR="009F7768">
        <w:rPr>
          <w:rFonts w:ascii="Verdana" w:hAnsi="Verdana"/>
          <w:sz w:val="18"/>
          <w:szCs w:val="18"/>
        </w:rPr>
        <w:t>.</w:t>
      </w:r>
    </w:p>
    <w:sectPr w:rsidR="00BB4EB6" w:rsidRPr="00BB4EB6" w:rsidSect="008473BD">
      <w:headerReference w:type="even" r:id="rId24"/>
      <w:headerReference w:type="default" r:id="rId25"/>
      <w:footerReference w:type="even" r:id="rId26"/>
      <w:footerReference w:type="default" r:id="rId27"/>
      <w:headerReference w:type="first" r:id="rId28"/>
      <w:footerReference w:type="first" r:id="rId29"/>
      <w:pgSz w:w="11907" w:h="16834"/>
      <w:pgMar w:top="1134" w:right="1134"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6C5" w:rsidRDefault="006A06C5">
      <w:r>
        <w:separator/>
      </w:r>
    </w:p>
  </w:endnote>
  <w:endnote w:type="continuationSeparator" w:id="0">
    <w:p w:rsidR="006A06C5" w:rsidRDefault="006A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E1)">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4D" w:rsidRDefault="005B014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988708"/>
      <w:docPartObj>
        <w:docPartGallery w:val="Page Numbers (Bottom of Page)"/>
        <w:docPartUnique/>
      </w:docPartObj>
    </w:sdtPr>
    <w:sdtEndPr>
      <w:rPr>
        <w:rFonts w:ascii="Verdana" w:hAnsi="Verdana"/>
        <w:noProof/>
        <w:sz w:val="18"/>
        <w:szCs w:val="18"/>
      </w:rPr>
    </w:sdtEndPr>
    <w:sdtContent>
      <w:p w:rsidR="00C34AE8" w:rsidRPr="00762973" w:rsidRDefault="00513848">
        <w:pPr>
          <w:pStyle w:val="Voettekst"/>
          <w:jc w:val="center"/>
          <w:rPr>
            <w:rFonts w:ascii="Verdana" w:hAnsi="Verdana"/>
            <w:sz w:val="18"/>
            <w:szCs w:val="18"/>
          </w:rPr>
        </w:pPr>
        <w:r w:rsidRPr="00762973">
          <w:rPr>
            <w:rFonts w:ascii="Verdana" w:hAnsi="Verdana"/>
            <w:sz w:val="18"/>
            <w:szCs w:val="18"/>
          </w:rPr>
          <w:fldChar w:fldCharType="begin"/>
        </w:r>
        <w:r w:rsidR="00C34AE8" w:rsidRPr="00762973">
          <w:rPr>
            <w:rFonts w:ascii="Verdana" w:hAnsi="Verdana"/>
            <w:sz w:val="18"/>
            <w:szCs w:val="18"/>
          </w:rPr>
          <w:instrText xml:space="preserve"> PAGE   \* MERGEFORMAT </w:instrText>
        </w:r>
        <w:r w:rsidRPr="00762973">
          <w:rPr>
            <w:rFonts w:ascii="Verdana" w:hAnsi="Verdana"/>
            <w:sz w:val="18"/>
            <w:szCs w:val="18"/>
          </w:rPr>
          <w:fldChar w:fldCharType="separate"/>
        </w:r>
        <w:r w:rsidR="006E37AD">
          <w:rPr>
            <w:rFonts w:ascii="Verdana" w:hAnsi="Verdana"/>
            <w:noProof/>
            <w:sz w:val="18"/>
            <w:szCs w:val="18"/>
          </w:rPr>
          <w:t>2</w:t>
        </w:r>
        <w:r w:rsidRPr="00762973">
          <w:rPr>
            <w:rFonts w:ascii="Verdana" w:hAnsi="Verdana"/>
            <w:noProof/>
            <w:sz w:val="18"/>
            <w:szCs w:val="18"/>
          </w:rPr>
          <w:fldChar w:fldCharType="end"/>
        </w:r>
      </w:p>
    </w:sdtContent>
  </w:sdt>
  <w:p w:rsidR="00C34AE8" w:rsidRDefault="00C34AE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4D" w:rsidRDefault="005B014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6C5" w:rsidRDefault="006A06C5">
      <w:r>
        <w:separator/>
      </w:r>
    </w:p>
  </w:footnote>
  <w:footnote w:type="continuationSeparator" w:id="0">
    <w:p w:rsidR="006A06C5" w:rsidRDefault="006A0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4D" w:rsidRDefault="005B014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4D" w:rsidRDefault="005B014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4D" w:rsidRDefault="005B014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614"/>
    <w:multiLevelType w:val="hybridMultilevel"/>
    <w:tmpl w:val="B3CE81A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4696369"/>
    <w:multiLevelType w:val="hybridMultilevel"/>
    <w:tmpl w:val="D6B0BC88"/>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nsid w:val="087807EF"/>
    <w:multiLevelType w:val="hybridMultilevel"/>
    <w:tmpl w:val="6E38EB68"/>
    <w:lvl w:ilvl="0" w:tplc="0413000F">
      <w:start w:val="1"/>
      <w:numFmt w:val="decimal"/>
      <w:lvlText w:val="%1."/>
      <w:lvlJc w:val="left"/>
      <w:pPr>
        <w:tabs>
          <w:tab w:val="num" w:pos="360"/>
        </w:tabs>
        <w:ind w:left="360" w:hanging="360"/>
      </w:pPr>
      <w:rPr>
        <w:rFonts w:cs="Times New Roman" w:hint="default"/>
      </w:rPr>
    </w:lvl>
    <w:lvl w:ilvl="1" w:tplc="04130019">
      <w:start w:val="1"/>
      <w:numFmt w:val="lowerLetter"/>
      <w:lvlText w:val="%2."/>
      <w:lvlJc w:val="left"/>
      <w:pPr>
        <w:tabs>
          <w:tab w:val="num" w:pos="2084"/>
        </w:tabs>
        <w:ind w:left="2084" w:hanging="360"/>
      </w:pPr>
      <w:rPr>
        <w:rFonts w:cs="Times New Roman"/>
      </w:rPr>
    </w:lvl>
    <w:lvl w:ilvl="2" w:tplc="0413001B" w:tentative="1">
      <w:start w:val="1"/>
      <w:numFmt w:val="lowerRoman"/>
      <w:lvlText w:val="%3."/>
      <w:lvlJc w:val="right"/>
      <w:pPr>
        <w:tabs>
          <w:tab w:val="num" w:pos="2804"/>
        </w:tabs>
        <w:ind w:left="2804" w:hanging="180"/>
      </w:pPr>
      <w:rPr>
        <w:rFonts w:cs="Times New Roman"/>
      </w:rPr>
    </w:lvl>
    <w:lvl w:ilvl="3" w:tplc="0413000F" w:tentative="1">
      <w:start w:val="1"/>
      <w:numFmt w:val="decimal"/>
      <w:lvlText w:val="%4."/>
      <w:lvlJc w:val="left"/>
      <w:pPr>
        <w:tabs>
          <w:tab w:val="num" w:pos="3524"/>
        </w:tabs>
        <w:ind w:left="3524" w:hanging="360"/>
      </w:pPr>
      <w:rPr>
        <w:rFonts w:cs="Times New Roman"/>
      </w:rPr>
    </w:lvl>
    <w:lvl w:ilvl="4" w:tplc="04130019" w:tentative="1">
      <w:start w:val="1"/>
      <w:numFmt w:val="lowerLetter"/>
      <w:lvlText w:val="%5."/>
      <w:lvlJc w:val="left"/>
      <w:pPr>
        <w:tabs>
          <w:tab w:val="num" w:pos="4244"/>
        </w:tabs>
        <w:ind w:left="4244" w:hanging="360"/>
      </w:pPr>
      <w:rPr>
        <w:rFonts w:cs="Times New Roman"/>
      </w:rPr>
    </w:lvl>
    <w:lvl w:ilvl="5" w:tplc="0413001B" w:tentative="1">
      <w:start w:val="1"/>
      <w:numFmt w:val="lowerRoman"/>
      <w:lvlText w:val="%6."/>
      <w:lvlJc w:val="right"/>
      <w:pPr>
        <w:tabs>
          <w:tab w:val="num" w:pos="4964"/>
        </w:tabs>
        <w:ind w:left="4964" w:hanging="180"/>
      </w:pPr>
      <w:rPr>
        <w:rFonts w:cs="Times New Roman"/>
      </w:rPr>
    </w:lvl>
    <w:lvl w:ilvl="6" w:tplc="0413000F" w:tentative="1">
      <w:start w:val="1"/>
      <w:numFmt w:val="decimal"/>
      <w:lvlText w:val="%7."/>
      <w:lvlJc w:val="left"/>
      <w:pPr>
        <w:tabs>
          <w:tab w:val="num" w:pos="5684"/>
        </w:tabs>
        <w:ind w:left="5684" w:hanging="360"/>
      </w:pPr>
      <w:rPr>
        <w:rFonts w:cs="Times New Roman"/>
      </w:rPr>
    </w:lvl>
    <w:lvl w:ilvl="7" w:tplc="04130019" w:tentative="1">
      <w:start w:val="1"/>
      <w:numFmt w:val="lowerLetter"/>
      <w:lvlText w:val="%8."/>
      <w:lvlJc w:val="left"/>
      <w:pPr>
        <w:tabs>
          <w:tab w:val="num" w:pos="6404"/>
        </w:tabs>
        <w:ind w:left="6404" w:hanging="360"/>
      </w:pPr>
      <w:rPr>
        <w:rFonts w:cs="Times New Roman"/>
      </w:rPr>
    </w:lvl>
    <w:lvl w:ilvl="8" w:tplc="0413001B" w:tentative="1">
      <w:start w:val="1"/>
      <w:numFmt w:val="lowerRoman"/>
      <w:lvlText w:val="%9."/>
      <w:lvlJc w:val="right"/>
      <w:pPr>
        <w:tabs>
          <w:tab w:val="num" w:pos="7124"/>
        </w:tabs>
        <w:ind w:left="7124" w:hanging="180"/>
      </w:pPr>
      <w:rPr>
        <w:rFonts w:cs="Times New Roman"/>
      </w:rPr>
    </w:lvl>
  </w:abstractNum>
  <w:abstractNum w:abstractNumId="3">
    <w:nsid w:val="0A3E1CE9"/>
    <w:multiLevelType w:val="hybridMultilevel"/>
    <w:tmpl w:val="20EA0E6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B235EB7"/>
    <w:multiLevelType w:val="hybridMultilevel"/>
    <w:tmpl w:val="D86AF854"/>
    <w:lvl w:ilvl="0" w:tplc="0413000F">
      <w:start w:val="1"/>
      <w:numFmt w:val="decimal"/>
      <w:lvlText w:val="%1."/>
      <w:lvlJc w:val="left"/>
      <w:pPr>
        <w:ind w:left="360" w:hanging="360"/>
      </w:pPr>
    </w:lvl>
    <w:lvl w:ilvl="1" w:tplc="0413001B">
      <w:start w:val="1"/>
      <w:numFmt w:val="lowerRoman"/>
      <w:lvlText w:val="%2."/>
      <w:lvlJc w:val="righ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0B5C7E65"/>
    <w:multiLevelType w:val="hybridMultilevel"/>
    <w:tmpl w:val="D33C37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0FF84C29"/>
    <w:multiLevelType w:val="hybridMultilevel"/>
    <w:tmpl w:val="2DD8FDA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31A0350"/>
    <w:multiLevelType w:val="hybridMultilevel"/>
    <w:tmpl w:val="8ED4E41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16E57BD0"/>
    <w:multiLevelType w:val="hybridMultilevel"/>
    <w:tmpl w:val="F2EE3B92"/>
    <w:lvl w:ilvl="0" w:tplc="30ACC6AA">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BE43FB1"/>
    <w:multiLevelType w:val="multilevel"/>
    <w:tmpl w:val="60F4C804"/>
    <w:lvl w:ilvl="0">
      <w:start w:val="6"/>
      <w:numFmt w:val="decimal"/>
      <w:lvlText w:val="%1"/>
      <w:lvlJc w:val="left"/>
      <w:pPr>
        <w:tabs>
          <w:tab w:val="num" w:pos="360"/>
        </w:tabs>
        <w:ind w:left="360" w:hanging="360"/>
      </w:pPr>
      <w:rPr>
        <w:rFonts w:cs="Courier New" w:hint="default"/>
        <w:b w:val="0"/>
      </w:rPr>
    </w:lvl>
    <w:lvl w:ilvl="1">
      <w:start w:val="1"/>
      <w:numFmt w:val="decimal"/>
      <w:lvlText w:val="%1.%2"/>
      <w:lvlJc w:val="left"/>
      <w:pPr>
        <w:tabs>
          <w:tab w:val="num" w:pos="720"/>
        </w:tabs>
        <w:ind w:left="720" w:hanging="720"/>
      </w:pPr>
      <w:rPr>
        <w:rFonts w:cs="Courier New" w:hint="default"/>
        <w:b w:val="0"/>
      </w:rPr>
    </w:lvl>
    <w:lvl w:ilvl="2">
      <w:start w:val="1"/>
      <w:numFmt w:val="decimal"/>
      <w:lvlText w:val="%1.%2.%3"/>
      <w:lvlJc w:val="left"/>
      <w:pPr>
        <w:tabs>
          <w:tab w:val="num" w:pos="720"/>
        </w:tabs>
        <w:ind w:left="720" w:hanging="720"/>
      </w:pPr>
      <w:rPr>
        <w:rFonts w:cs="Courier New" w:hint="default"/>
        <w:b w:val="0"/>
      </w:rPr>
    </w:lvl>
    <w:lvl w:ilvl="3">
      <w:start w:val="1"/>
      <w:numFmt w:val="decimal"/>
      <w:lvlText w:val="%1.%2.%3.%4"/>
      <w:lvlJc w:val="left"/>
      <w:pPr>
        <w:tabs>
          <w:tab w:val="num" w:pos="1080"/>
        </w:tabs>
        <w:ind w:left="1080" w:hanging="1080"/>
      </w:pPr>
      <w:rPr>
        <w:rFonts w:cs="Courier New" w:hint="default"/>
        <w:b w:val="0"/>
      </w:rPr>
    </w:lvl>
    <w:lvl w:ilvl="4">
      <w:start w:val="1"/>
      <w:numFmt w:val="decimal"/>
      <w:lvlText w:val="%1.%2.%3.%4.%5"/>
      <w:lvlJc w:val="left"/>
      <w:pPr>
        <w:tabs>
          <w:tab w:val="num" w:pos="1080"/>
        </w:tabs>
        <w:ind w:left="1080" w:hanging="1080"/>
      </w:pPr>
      <w:rPr>
        <w:rFonts w:cs="Courier New" w:hint="default"/>
        <w:b w:val="0"/>
      </w:rPr>
    </w:lvl>
    <w:lvl w:ilvl="5">
      <w:start w:val="1"/>
      <w:numFmt w:val="decimal"/>
      <w:lvlText w:val="%1.%2.%3.%4.%5.%6"/>
      <w:lvlJc w:val="left"/>
      <w:pPr>
        <w:tabs>
          <w:tab w:val="num" w:pos="1440"/>
        </w:tabs>
        <w:ind w:left="1440" w:hanging="1440"/>
      </w:pPr>
      <w:rPr>
        <w:rFonts w:cs="Courier New" w:hint="default"/>
        <w:b w:val="0"/>
      </w:rPr>
    </w:lvl>
    <w:lvl w:ilvl="6">
      <w:start w:val="1"/>
      <w:numFmt w:val="decimal"/>
      <w:lvlText w:val="%1.%2.%3.%4.%5.%6.%7"/>
      <w:lvlJc w:val="left"/>
      <w:pPr>
        <w:tabs>
          <w:tab w:val="num" w:pos="1800"/>
        </w:tabs>
        <w:ind w:left="1800" w:hanging="1800"/>
      </w:pPr>
      <w:rPr>
        <w:rFonts w:cs="Courier New" w:hint="default"/>
        <w:b w:val="0"/>
      </w:rPr>
    </w:lvl>
    <w:lvl w:ilvl="7">
      <w:start w:val="1"/>
      <w:numFmt w:val="decimal"/>
      <w:lvlText w:val="%1.%2.%3.%4.%5.%6.%7.%8"/>
      <w:lvlJc w:val="left"/>
      <w:pPr>
        <w:tabs>
          <w:tab w:val="num" w:pos="1800"/>
        </w:tabs>
        <w:ind w:left="1800" w:hanging="1800"/>
      </w:pPr>
      <w:rPr>
        <w:rFonts w:cs="Courier New" w:hint="default"/>
        <w:b w:val="0"/>
      </w:rPr>
    </w:lvl>
    <w:lvl w:ilvl="8">
      <w:start w:val="1"/>
      <w:numFmt w:val="decimal"/>
      <w:lvlText w:val="%1.%2.%3.%4.%5.%6.%7.%8.%9"/>
      <w:lvlJc w:val="left"/>
      <w:pPr>
        <w:tabs>
          <w:tab w:val="num" w:pos="2160"/>
        </w:tabs>
        <w:ind w:left="2160" w:hanging="2160"/>
      </w:pPr>
      <w:rPr>
        <w:rFonts w:cs="Courier New" w:hint="default"/>
        <w:b w:val="0"/>
      </w:rPr>
    </w:lvl>
  </w:abstractNum>
  <w:abstractNum w:abstractNumId="10">
    <w:nsid w:val="28284775"/>
    <w:multiLevelType w:val="multilevel"/>
    <w:tmpl w:val="12FE156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AC03104"/>
    <w:multiLevelType w:val="hybridMultilevel"/>
    <w:tmpl w:val="D89C758A"/>
    <w:lvl w:ilvl="0" w:tplc="39F255C4">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D12398B"/>
    <w:multiLevelType w:val="hybridMultilevel"/>
    <w:tmpl w:val="DEFAB47C"/>
    <w:lvl w:ilvl="0" w:tplc="BAEA117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49E5D1E"/>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4">
    <w:nsid w:val="38CC30A9"/>
    <w:multiLevelType w:val="hybridMultilevel"/>
    <w:tmpl w:val="12A240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40F11B40"/>
    <w:multiLevelType w:val="hybridMultilevel"/>
    <w:tmpl w:val="7B3C1708"/>
    <w:lvl w:ilvl="0" w:tplc="0512F22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13603E7"/>
    <w:multiLevelType w:val="hybridMultilevel"/>
    <w:tmpl w:val="9CA841F6"/>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nsid w:val="41BC0CB9"/>
    <w:multiLevelType w:val="hybridMultilevel"/>
    <w:tmpl w:val="B54EFA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5AFE0497"/>
    <w:multiLevelType w:val="hybridMultilevel"/>
    <w:tmpl w:val="550890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62773941"/>
    <w:multiLevelType w:val="hybridMultilevel"/>
    <w:tmpl w:val="133A1958"/>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71547F5E"/>
    <w:multiLevelType w:val="multilevel"/>
    <w:tmpl w:val="00D2C84C"/>
    <w:lvl w:ilvl="0">
      <w:start w:val="6"/>
      <w:numFmt w:val="decimal"/>
      <w:lvlText w:val="%1"/>
      <w:lvlJc w:val="left"/>
      <w:pPr>
        <w:tabs>
          <w:tab w:val="num" w:pos="360"/>
        </w:tabs>
        <w:ind w:left="360" w:hanging="360"/>
      </w:pPr>
      <w:rPr>
        <w:rFonts w:cs="Courier New" w:hint="default"/>
        <w:b w:val="0"/>
      </w:rPr>
    </w:lvl>
    <w:lvl w:ilvl="1">
      <w:start w:val="1"/>
      <w:numFmt w:val="decimal"/>
      <w:lvlText w:val="%1.%2"/>
      <w:lvlJc w:val="left"/>
      <w:pPr>
        <w:tabs>
          <w:tab w:val="num" w:pos="720"/>
        </w:tabs>
        <w:ind w:left="720" w:hanging="720"/>
      </w:pPr>
      <w:rPr>
        <w:rFonts w:cs="Courier New" w:hint="default"/>
        <w:b w:val="0"/>
      </w:rPr>
    </w:lvl>
    <w:lvl w:ilvl="2">
      <w:start w:val="1"/>
      <w:numFmt w:val="decimal"/>
      <w:lvlText w:val="%1.%2.%3"/>
      <w:lvlJc w:val="left"/>
      <w:pPr>
        <w:tabs>
          <w:tab w:val="num" w:pos="720"/>
        </w:tabs>
        <w:ind w:left="720" w:hanging="720"/>
      </w:pPr>
      <w:rPr>
        <w:rFonts w:cs="Courier New" w:hint="default"/>
        <w:b w:val="0"/>
      </w:rPr>
    </w:lvl>
    <w:lvl w:ilvl="3">
      <w:start w:val="1"/>
      <w:numFmt w:val="decimal"/>
      <w:lvlText w:val="%1.%2.%3.%4"/>
      <w:lvlJc w:val="left"/>
      <w:pPr>
        <w:tabs>
          <w:tab w:val="num" w:pos="1080"/>
        </w:tabs>
        <w:ind w:left="1080" w:hanging="1080"/>
      </w:pPr>
      <w:rPr>
        <w:rFonts w:cs="Courier New" w:hint="default"/>
        <w:b w:val="0"/>
      </w:rPr>
    </w:lvl>
    <w:lvl w:ilvl="4">
      <w:start w:val="1"/>
      <w:numFmt w:val="decimal"/>
      <w:lvlText w:val="%1.%2.%3.%4.%5"/>
      <w:lvlJc w:val="left"/>
      <w:pPr>
        <w:tabs>
          <w:tab w:val="num" w:pos="1080"/>
        </w:tabs>
        <w:ind w:left="1080" w:hanging="1080"/>
      </w:pPr>
      <w:rPr>
        <w:rFonts w:cs="Courier New" w:hint="default"/>
        <w:b w:val="0"/>
      </w:rPr>
    </w:lvl>
    <w:lvl w:ilvl="5">
      <w:start w:val="1"/>
      <w:numFmt w:val="decimal"/>
      <w:lvlText w:val="%1.%2.%3.%4.%5.%6"/>
      <w:lvlJc w:val="left"/>
      <w:pPr>
        <w:tabs>
          <w:tab w:val="num" w:pos="1440"/>
        </w:tabs>
        <w:ind w:left="1440" w:hanging="1440"/>
      </w:pPr>
      <w:rPr>
        <w:rFonts w:cs="Courier New" w:hint="default"/>
        <w:b w:val="0"/>
      </w:rPr>
    </w:lvl>
    <w:lvl w:ilvl="6">
      <w:start w:val="1"/>
      <w:numFmt w:val="decimal"/>
      <w:lvlText w:val="%1.%2.%3.%4.%5.%6.%7"/>
      <w:lvlJc w:val="left"/>
      <w:pPr>
        <w:tabs>
          <w:tab w:val="num" w:pos="1800"/>
        </w:tabs>
        <w:ind w:left="1800" w:hanging="1800"/>
      </w:pPr>
      <w:rPr>
        <w:rFonts w:cs="Courier New" w:hint="default"/>
        <w:b w:val="0"/>
      </w:rPr>
    </w:lvl>
    <w:lvl w:ilvl="7">
      <w:start w:val="1"/>
      <w:numFmt w:val="decimal"/>
      <w:lvlText w:val="%1.%2.%3.%4.%5.%6.%7.%8"/>
      <w:lvlJc w:val="left"/>
      <w:pPr>
        <w:tabs>
          <w:tab w:val="num" w:pos="1800"/>
        </w:tabs>
        <w:ind w:left="1800" w:hanging="1800"/>
      </w:pPr>
      <w:rPr>
        <w:rFonts w:cs="Courier New" w:hint="default"/>
        <w:b w:val="0"/>
      </w:rPr>
    </w:lvl>
    <w:lvl w:ilvl="8">
      <w:start w:val="1"/>
      <w:numFmt w:val="decimal"/>
      <w:lvlText w:val="%1.%2.%3.%4.%5.%6.%7.%8.%9"/>
      <w:lvlJc w:val="left"/>
      <w:pPr>
        <w:tabs>
          <w:tab w:val="num" w:pos="2160"/>
        </w:tabs>
        <w:ind w:left="2160" w:hanging="2160"/>
      </w:pPr>
      <w:rPr>
        <w:rFonts w:cs="Courier New" w:hint="default"/>
        <w:b w:val="0"/>
      </w:rPr>
    </w:lvl>
  </w:abstractNum>
  <w:abstractNum w:abstractNumId="21">
    <w:nsid w:val="7FF107A5"/>
    <w:multiLevelType w:val="hybridMultilevel"/>
    <w:tmpl w:val="17CA23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6"/>
  </w:num>
  <w:num w:numId="2">
    <w:abstractNumId w:val="2"/>
  </w:num>
  <w:num w:numId="3">
    <w:abstractNumId w:val="13"/>
  </w:num>
  <w:num w:numId="4">
    <w:abstractNumId w:val="1"/>
  </w:num>
  <w:num w:numId="5">
    <w:abstractNumId w:val="9"/>
  </w:num>
  <w:num w:numId="6">
    <w:abstractNumId w:val="20"/>
  </w:num>
  <w:num w:numId="7">
    <w:abstractNumId w:val="10"/>
  </w:num>
  <w:num w:numId="8">
    <w:abstractNumId w:val="11"/>
  </w:num>
  <w:num w:numId="9">
    <w:abstractNumId w:val="3"/>
  </w:num>
  <w:num w:numId="10">
    <w:abstractNumId w:val="5"/>
  </w:num>
  <w:num w:numId="11">
    <w:abstractNumId w:val="17"/>
  </w:num>
  <w:num w:numId="12">
    <w:abstractNumId w:val="6"/>
  </w:num>
  <w:num w:numId="13">
    <w:abstractNumId w:val="4"/>
  </w:num>
  <w:num w:numId="14">
    <w:abstractNumId w:val="7"/>
  </w:num>
  <w:num w:numId="15">
    <w:abstractNumId w:val="15"/>
  </w:num>
  <w:num w:numId="16">
    <w:abstractNumId w:val="8"/>
  </w:num>
  <w:num w:numId="17">
    <w:abstractNumId w:val="19"/>
  </w:num>
  <w:num w:numId="18">
    <w:abstractNumId w:val="12"/>
  </w:num>
  <w:num w:numId="19">
    <w:abstractNumId w:val="0"/>
  </w:num>
  <w:num w:numId="20">
    <w:abstractNumId w:val="21"/>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2C"/>
    <w:rsid w:val="00030468"/>
    <w:rsid w:val="00030533"/>
    <w:rsid w:val="000307FD"/>
    <w:rsid w:val="00034FB4"/>
    <w:rsid w:val="0003680A"/>
    <w:rsid w:val="00037C22"/>
    <w:rsid w:val="00043C5B"/>
    <w:rsid w:val="000513B7"/>
    <w:rsid w:val="00052EA7"/>
    <w:rsid w:val="00064B56"/>
    <w:rsid w:val="00066DFB"/>
    <w:rsid w:val="00070015"/>
    <w:rsid w:val="000724F8"/>
    <w:rsid w:val="0007582D"/>
    <w:rsid w:val="000814CE"/>
    <w:rsid w:val="000815DF"/>
    <w:rsid w:val="00085940"/>
    <w:rsid w:val="00091C6D"/>
    <w:rsid w:val="00094AE5"/>
    <w:rsid w:val="00095BB9"/>
    <w:rsid w:val="000A50ED"/>
    <w:rsid w:val="000A6EB2"/>
    <w:rsid w:val="000B5041"/>
    <w:rsid w:val="000B5C00"/>
    <w:rsid w:val="000B7A9B"/>
    <w:rsid w:val="000C0570"/>
    <w:rsid w:val="000C4C26"/>
    <w:rsid w:val="000E0788"/>
    <w:rsid w:val="000E72AB"/>
    <w:rsid w:val="000E7A16"/>
    <w:rsid w:val="000F0016"/>
    <w:rsid w:val="001103DA"/>
    <w:rsid w:val="00110A29"/>
    <w:rsid w:val="0011335D"/>
    <w:rsid w:val="00117E3A"/>
    <w:rsid w:val="001202B4"/>
    <w:rsid w:val="00122A6A"/>
    <w:rsid w:val="001236E0"/>
    <w:rsid w:val="00125B12"/>
    <w:rsid w:val="001276B5"/>
    <w:rsid w:val="0013656F"/>
    <w:rsid w:val="0014010F"/>
    <w:rsid w:val="001402D9"/>
    <w:rsid w:val="00150C12"/>
    <w:rsid w:val="001515BE"/>
    <w:rsid w:val="00151883"/>
    <w:rsid w:val="00163117"/>
    <w:rsid w:val="00163471"/>
    <w:rsid w:val="00163786"/>
    <w:rsid w:val="001655AF"/>
    <w:rsid w:val="00165EA7"/>
    <w:rsid w:val="001678B8"/>
    <w:rsid w:val="00175109"/>
    <w:rsid w:val="00177BA8"/>
    <w:rsid w:val="00180994"/>
    <w:rsid w:val="00181018"/>
    <w:rsid w:val="00186B40"/>
    <w:rsid w:val="00190F55"/>
    <w:rsid w:val="001922A0"/>
    <w:rsid w:val="00193302"/>
    <w:rsid w:val="00196063"/>
    <w:rsid w:val="001A032E"/>
    <w:rsid w:val="001A0AD1"/>
    <w:rsid w:val="001A3ABA"/>
    <w:rsid w:val="001B7695"/>
    <w:rsid w:val="001D2060"/>
    <w:rsid w:val="001D3405"/>
    <w:rsid w:val="001D39A0"/>
    <w:rsid w:val="001D7A55"/>
    <w:rsid w:val="001E3A8B"/>
    <w:rsid w:val="001F15D0"/>
    <w:rsid w:val="001F1D3A"/>
    <w:rsid w:val="001F2F73"/>
    <w:rsid w:val="001F3FD4"/>
    <w:rsid w:val="001F7199"/>
    <w:rsid w:val="00204465"/>
    <w:rsid w:val="002221DA"/>
    <w:rsid w:val="00232681"/>
    <w:rsid w:val="002358F5"/>
    <w:rsid w:val="00241E33"/>
    <w:rsid w:val="00247AE7"/>
    <w:rsid w:val="00256167"/>
    <w:rsid w:val="00256BD8"/>
    <w:rsid w:val="00265307"/>
    <w:rsid w:val="0027648D"/>
    <w:rsid w:val="00276BF8"/>
    <w:rsid w:val="00277ADF"/>
    <w:rsid w:val="002811DE"/>
    <w:rsid w:val="00292EDD"/>
    <w:rsid w:val="00296F40"/>
    <w:rsid w:val="002A1DFA"/>
    <w:rsid w:val="002A7672"/>
    <w:rsid w:val="002C1A72"/>
    <w:rsid w:val="002C42D6"/>
    <w:rsid w:val="002C730D"/>
    <w:rsid w:val="002D57FA"/>
    <w:rsid w:val="002E7883"/>
    <w:rsid w:val="002F1D5D"/>
    <w:rsid w:val="002F416F"/>
    <w:rsid w:val="002F64EB"/>
    <w:rsid w:val="003024A6"/>
    <w:rsid w:val="00304FCA"/>
    <w:rsid w:val="00310533"/>
    <w:rsid w:val="00324957"/>
    <w:rsid w:val="00330E97"/>
    <w:rsid w:val="003412C1"/>
    <w:rsid w:val="00343F74"/>
    <w:rsid w:val="0034772C"/>
    <w:rsid w:val="00357B0D"/>
    <w:rsid w:val="0036056B"/>
    <w:rsid w:val="00360C9B"/>
    <w:rsid w:val="00360D95"/>
    <w:rsid w:val="00363353"/>
    <w:rsid w:val="00364F18"/>
    <w:rsid w:val="003673C9"/>
    <w:rsid w:val="003767E6"/>
    <w:rsid w:val="003771E6"/>
    <w:rsid w:val="0038087B"/>
    <w:rsid w:val="00385F83"/>
    <w:rsid w:val="00390602"/>
    <w:rsid w:val="00395814"/>
    <w:rsid w:val="00396F28"/>
    <w:rsid w:val="003A4649"/>
    <w:rsid w:val="003B3E39"/>
    <w:rsid w:val="003B4186"/>
    <w:rsid w:val="003B7AB8"/>
    <w:rsid w:val="003C54F5"/>
    <w:rsid w:val="003D1624"/>
    <w:rsid w:val="003D1B4D"/>
    <w:rsid w:val="003D2C86"/>
    <w:rsid w:val="003D3912"/>
    <w:rsid w:val="003E16EE"/>
    <w:rsid w:val="003E5382"/>
    <w:rsid w:val="003F13D4"/>
    <w:rsid w:val="003F34F0"/>
    <w:rsid w:val="003F557A"/>
    <w:rsid w:val="003F6214"/>
    <w:rsid w:val="003F67CE"/>
    <w:rsid w:val="00403469"/>
    <w:rsid w:val="0040478A"/>
    <w:rsid w:val="00406507"/>
    <w:rsid w:val="0041193A"/>
    <w:rsid w:val="00431F13"/>
    <w:rsid w:val="00433722"/>
    <w:rsid w:val="0044609D"/>
    <w:rsid w:val="00455EB8"/>
    <w:rsid w:val="00456454"/>
    <w:rsid w:val="004565A4"/>
    <w:rsid w:val="0046086E"/>
    <w:rsid w:val="00467647"/>
    <w:rsid w:val="0046766D"/>
    <w:rsid w:val="004710A7"/>
    <w:rsid w:val="004754BE"/>
    <w:rsid w:val="00477ECB"/>
    <w:rsid w:val="00480D63"/>
    <w:rsid w:val="004866CA"/>
    <w:rsid w:val="00486773"/>
    <w:rsid w:val="004876E4"/>
    <w:rsid w:val="00495C81"/>
    <w:rsid w:val="004A1071"/>
    <w:rsid w:val="004A3990"/>
    <w:rsid w:val="004A40CA"/>
    <w:rsid w:val="004A6858"/>
    <w:rsid w:val="004B38FE"/>
    <w:rsid w:val="004B5774"/>
    <w:rsid w:val="004B5854"/>
    <w:rsid w:val="004B68DE"/>
    <w:rsid w:val="004C4787"/>
    <w:rsid w:val="004C50ED"/>
    <w:rsid w:val="004C5D55"/>
    <w:rsid w:val="004C5D5C"/>
    <w:rsid w:val="004C5D9A"/>
    <w:rsid w:val="004D6DD9"/>
    <w:rsid w:val="004D75D9"/>
    <w:rsid w:val="004E2B90"/>
    <w:rsid w:val="004E70FE"/>
    <w:rsid w:val="004F1FED"/>
    <w:rsid w:val="004F6F69"/>
    <w:rsid w:val="00502A5E"/>
    <w:rsid w:val="0050422B"/>
    <w:rsid w:val="00510F94"/>
    <w:rsid w:val="00511106"/>
    <w:rsid w:val="00513848"/>
    <w:rsid w:val="00516C79"/>
    <w:rsid w:val="00521C20"/>
    <w:rsid w:val="00523F31"/>
    <w:rsid w:val="00531DA5"/>
    <w:rsid w:val="00532BF1"/>
    <w:rsid w:val="00537BA4"/>
    <w:rsid w:val="00542E23"/>
    <w:rsid w:val="00543307"/>
    <w:rsid w:val="00545041"/>
    <w:rsid w:val="00545AAA"/>
    <w:rsid w:val="00553869"/>
    <w:rsid w:val="00553F91"/>
    <w:rsid w:val="0056054C"/>
    <w:rsid w:val="0056290E"/>
    <w:rsid w:val="00562E6B"/>
    <w:rsid w:val="00564C85"/>
    <w:rsid w:val="005813E7"/>
    <w:rsid w:val="00596975"/>
    <w:rsid w:val="005A1BA9"/>
    <w:rsid w:val="005A3441"/>
    <w:rsid w:val="005A4845"/>
    <w:rsid w:val="005B014D"/>
    <w:rsid w:val="005D31E9"/>
    <w:rsid w:val="005D4E67"/>
    <w:rsid w:val="005F032C"/>
    <w:rsid w:val="005F3291"/>
    <w:rsid w:val="005F589A"/>
    <w:rsid w:val="005F6994"/>
    <w:rsid w:val="00603D0B"/>
    <w:rsid w:val="0060488B"/>
    <w:rsid w:val="00612297"/>
    <w:rsid w:val="006179D1"/>
    <w:rsid w:val="00620EE5"/>
    <w:rsid w:val="006227A6"/>
    <w:rsid w:val="00627CCC"/>
    <w:rsid w:val="00631D4D"/>
    <w:rsid w:val="00643667"/>
    <w:rsid w:val="0064548F"/>
    <w:rsid w:val="00650AF0"/>
    <w:rsid w:val="006533E1"/>
    <w:rsid w:val="00653E58"/>
    <w:rsid w:val="00654B1C"/>
    <w:rsid w:val="00655782"/>
    <w:rsid w:val="00656ABD"/>
    <w:rsid w:val="006620E5"/>
    <w:rsid w:val="00663C96"/>
    <w:rsid w:val="006704AC"/>
    <w:rsid w:val="006742F2"/>
    <w:rsid w:val="006768AD"/>
    <w:rsid w:val="00677A69"/>
    <w:rsid w:val="0068240F"/>
    <w:rsid w:val="006918AD"/>
    <w:rsid w:val="00694442"/>
    <w:rsid w:val="0069599F"/>
    <w:rsid w:val="006A00F1"/>
    <w:rsid w:val="006A06C5"/>
    <w:rsid w:val="006A1299"/>
    <w:rsid w:val="006A152C"/>
    <w:rsid w:val="006A1E51"/>
    <w:rsid w:val="006B2886"/>
    <w:rsid w:val="006B4BF1"/>
    <w:rsid w:val="006C546F"/>
    <w:rsid w:val="006C5F82"/>
    <w:rsid w:val="006E09EE"/>
    <w:rsid w:val="006E2BDD"/>
    <w:rsid w:val="006E37AD"/>
    <w:rsid w:val="006F1270"/>
    <w:rsid w:val="006F46C2"/>
    <w:rsid w:val="00702B82"/>
    <w:rsid w:val="0070641D"/>
    <w:rsid w:val="007106EB"/>
    <w:rsid w:val="00717331"/>
    <w:rsid w:val="00717627"/>
    <w:rsid w:val="007209D9"/>
    <w:rsid w:val="007219D5"/>
    <w:rsid w:val="00726D3C"/>
    <w:rsid w:val="007274EE"/>
    <w:rsid w:val="00735C7E"/>
    <w:rsid w:val="00736CDA"/>
    <w:rsid w:val="007500AD"/>
    <w:rsid w:val="0075080D"/>
    <w:rsid w:val="00753A76"/>
    <w:rsid w:val="00760727"/>
    <w:rsid w:val="007616C9"/>
    <w:rsid w:val="00761FD9"/>
    <w:rsid w:val="00762973"/>
    <w:rsid w:val="00763C91"/>
    <w:rsid w:val="00772910"/>
    <w:rsid w:val="00774896"/>
    <w:rsid w:val="00780001"/>
    <w:rsid w:val="0078248E"/>
    <w:rsid w:val="00783E62"/>
    <w:rsid w:val="00784DAA"/>
    <w:rsid w:val="007A11C7"/>
    <w:rsid w:val="007A4C90"/>
    <w:rsid w:val="007B12F1"/>
    <w:rsid w:val="007C313F"/>
    <w:rsid w:val="007C32C5"/>
    <w:rsid w:val="007C3386"/>
    <w:rsid w:val="007C59BD"/>
    <w:rsid w:val="007D5B1D"/>
    <w:rsid w:val="007D7C15"/>
    <w:rsid w:val="007E37D0"/>
    <w:rsid w:val="007E7AC4"/>
    <w:rsid w:val="00820255"/>
    <w:rsid w:val="00822AFF"/>
    <w:rsid w:val="00823520"/>
    <w:rsid w:val="00826721"/>
    <w:rsid w:val="00833FAC"/>
    <w:rsid w:val="00834074"/>
    <w:rsid w:val="008365A0"/>
    <w:rsid w:val="00841FE2"/>
    <w:rsid w:val="008473BD"/>
    <w:rsid w:val="008514C1"/>
    <w:rsid w:val="008518F7"/>
    <w:rsid w:val="008526F8"/>
    <w:rsid w:val="00861125"/>
    <w:rsid w:val="00866E57"/>
    <w:rsid w:val="008819A0"/>
    <w:rsid w:val="0088222C"/>
    <w:rsid w:val="0088461B"/>
    <w:rsid w:val="00884C96"/>
    <w:rsid w:val="008860FA"/>
    <w:rsid w:val="00886CFE"/>
    <w:rsid w:val="008907DF"/>
    <w:rsid w:val="00892D2B"/>
    <w:rsid w:val="008947AB"/>
    <w:rsid w:val="00897CC0"/>
    <w:rsid w:val="008A0FEC"/>
    <w:rsid w:val="008A2992"/>
    <w:rsid w:val="008A337C"/>
    <w:rsid w:val="008B416F"/>
    <w:rsid w:val="008B7657"/>
    <w:rsid w:val="008B76F6"/>
    <w:rsid w:val="008C5307"/>
    <w:rsid w:val="008D5E3D"/>
    <w:rsid w:val="008E6D9E"/>
    <w:rsid w:val="008F6863"/>
    <w:rsid w:val="00900EC1"/>
    <w:rsid w:val="009074EF"/>
    <w:rsid w:val="00907752"/>
    <w:rsid w:val="00910CFB"/>
    <w:rsid w:val="009128C2"/>
    <w:rsid w:val="0091750D"/>
    <w:rsid w:val="009208A1"/>
    <w:rsid w:val="009250B6"/>
    <w:rsid w:val="00930F06"/>
    <w:rsid w:val="009324F2"/>
    <w:rsid w:val="00933D43"/>
    <w:rsid w:val="0093497F"/>
    <w:rsid w:val="00936C3A"/>
    <w:rsid w:val="0094343F"/>
    <w:rsid w:val="00951496"/>
    <w:rsid w:val="009527AF"/>
    <w:rsid w:val="00952C63"/>
    <w:rsid w:val="00955E2B"/>
    <w:rsid w:val="00956DB4"/>
    <w:rsid w:val="00980DE1"/>
    <w:rsid w:val="00982445"/>
    <w:rsid w:val="009902ED"/>
    <w:rsid w:val="00994174"/>
    <w:rsid w:val="0099481D"/>
    <w:rsid w:val="009966DF"/>
    <w:rsid w:val="009A5A57"/>
    <w:rsid w:val="009A6B27"/>
    <w:rsid w:val="009B1F5B"/>
    <w:rsid w:val="009B3A85"/>
    <w:rsid w:val="009B6668"/>
    <w:rsid w:val="009C67D9"/>
    <w:rsid w:val="009D0193"/>
    <w:rsid w:val="009D5698"/>
    <w:rsid w:val="009D706F"/>
    <w:rsid w:val="009E33BB"/>
    <w:rsid w:val="009E353E"/>
    <w:rsid w:val="009E4200"/>
    <w:rsid w:val="009E46CE"/>
    <w:rsid w:val="009E7A01"/>
    <w:rsid w:val="009F10A6"/>
    <w:rsid w:val="009F5251"/>
    <w:rsid w:val="009F5F11"/>
    <w:rsid w:val="009F7768"/>
    <w:rsid w:val="00A05F84"/>
    <w:rsid w:val="00A07B0A"/>
    <w:rsid w:val="00A119D2"/>
    <w:rsid w:val="00A13D38"/>
    <w:rsid w:val="00A17670"/>
    <w:rsid w:val="00A23144"/>
    <w:rsid w:val="00A24C84"/>
    <w:rsid w:val="00A277C2"/>
    <w:rsid w:val="00A31DE8"/>
    <w:rsid w:val="00A440B6"/>
    <w:rsid w:val="00A46338"/>
    <w:rsid w:val="00A518BC"/>
    <w:rsid w:val="00A51F92"/>
    <w:rsid w:val="00A53DED"/>
    <w:rsid w:val="00A550BE"/>
    <w:rsid w:val="00A60F54"/>
    <w:rsid w:val="00A61223"/>
    <w:rsid w:val="00A647C4"/>
    <w:rsid w:val="00A733D8"/>
    <w:rsid w:val="00A778C4"/>
    <w:rsid w:val="00A803E2"/>
    <w:rsid w:val="00A8351E"/>
    <w:rsid w:val="00A83F75"/>
    <w:rsid w:val="00A8588D"/>
    <w:rsid w:val="00A86AA9"/>
    <w:rsid w:val="00A9158A"/>
    <w:rsid w:val="00A96FF0"/>
    <w:rsid w:val="00AA1618"/>
    <w:rsid w:val="00AA1CA5"/>
    <w:rsid w:val="00AA29CD"/>
    <w:rsid w:val="00AA5072"/>
    <w:rsid w:val="00AA5241"/>
    <w:rsid w:val="00AB65BD"/>
    <w:rsid w:val="00AC1356"/>
    <w:rsid w:val="00AC49FE"/>
    <w:rsid w:val="00AD5217"/>
    <w:rsid w:val="00AD59E9"/>
    <w:rsid w:val="00AD6244"/>
    <w:rsid w:val="00AD6A28"/>
    <w:rsid w:val="00AE1702"/>
    <w:rsid w:val="00AE1EDB"/>
    <w:rsid w:val="00AE4DCD"/>
    <w:rsid w:val="00AF31B5"/>
    <w:rsid w:val="00AF3FBF"/>
    <w:rsid w:val="00AF68D0"/>
    <w:rsid w:val="00B10BF5"/>
    <w:rsid w:val="00B15A7A"/>
    <w:rsid w:val="00B15F20"/>
    <w:rsid w:val="00B26786"/>
    <w:rsid w:val="00B361D5"/>
    <w:rsid w:val="00B428F7"/>
    <w:rsid w:val="00B46957"/>
    <w:rsid w:val="00B50BB3"/>
    <w:rsid w:val="00B55ABC"/>
    <w:rsid w:val="00B65FF1"/>
    <w:rsid w:val="00B732BF"/>
    <w:rsid w:val="00B73F8F"/>
    <w:rsid w:val="00B74F21"/>
    <w:rsid w:val="00B83A35"/>
    <w:rsid w:val="00B95EB3"/>
    <w:rsid w:val="00BA01D6"/>
    <w:rsid w:val="00BA0514"/>
    <w:rsid w:val="00BA6A4A"/>
    <w:rsid w:val="00BB4EB6"/>
    <w:rsid w:val="00BD0E14"/>
    <w:rsid w:val="00BD3375"/>
    <w:rsid w:val="00BD777E"/>
    <w:rsid w:val="00BE140E"/>
    <w:rsid w:val="00BE21F4"/>
    <w:rsid w:val="00BE62A2"/>
    <w:rsid w:val="00BE7D43"/>
    <w:rsid w:val="00BF6149"/>
    <w:rsid w:val="00C03573"/>
    <w:rsid w:val="00C05635"/>
    <w:rsid w:val="00C10C4F"/>
    <w:rsid w:val="00C11F19"/>
    <w:rsid w:val="00C2017B"/>
    <w:rsid w:val="00C2048F"/>
    <w:rsid w:val="00C23AB6"/>
    <w:rsid w:val="00C320E4"/>
    <w:rsid w:val="00C337B1"/>
    <w:rsid w:val="00C34AE8"/>
    <w:rsid w:val="00C40400"/>
    <w:rsid w:val="00C50818"/>
    <w:rsid w:val="00C5345D"/>
    <w:rsid w:val="00C540A3"/>
    <w:rsid w:val="00C575C6"/>
    <w:rsid w:val="00C61DE7"/>
    <w:rsid w:val="00C67618"/>
    <w:rsid w:val="00C73476"/>
    <w:rsid w:val="00C8144E"/>
    <w:rsid w:val="00C814E6"/>
    <w:rsid w:val="00C878AD"/>
    <w:rsid w:val="00C911EE"/>
    <w:rsid w:val="00C9321A"/>
    <w:rsid w:val="00CA17AA"/>
    <w:rsid w:val="00CA1DC9"/>
    <w:rsid w:val="00CA2829"/>
    <w:rsid w:val="00CA3B59"/>
    <w:rsid w:val="00CA4B7C"/>
    <w:rsid w:val="00CA79BA"/>
    <w:rsid w:val="00CB0FD8"/>
    <w:rsid w:val="00CB1989"/>
    <w:rsid w:val="00CB4BDA"/>
    <w:rsid w:val="00CB706B"/>
    <w:rsid w:val="00CC1FEC"/>
    <w:rsid w:val="00CD0D87"/>
    <w:rsid w:val="00CD21A8"/>
    <w:rsid w:val="00CD21FE"/>
    <w:rsid w:val="00CD56B9"/>
    <w:rsid w:val="00CE1112"/>
    <w:rsid w:val="00CF391B"/>
    <w:rsid w:val="00CF752D"/>
    <w:rsid w:val="00D017E5"/>
    <w:rsid w:val="00D0267B"/>
    <w:rsid w:val="00D13D4F"/>
    <w:rsid w:val="00D15A83"/>
    <w:rsid w:val="00D16917"/>
    <w:rsid w:val="00D23BD3"/>
    <w:rsid w:val="00D368A7"/>
    <w:rsid w:val="00D41A0B"/>
    <w:rsid w:val="00D42D43"/>
    <w:rsid w:val="00D43DDE"/>
    <w:rsid w:val="00D455BD"/>
    <w:rsid w:val="00D63382"/>
    <w:rsid w:val="00D63C52"/>
    <w:rsid w:val="00D6783F"/>
    <w:rsid w:val="00D72095"/>
    <w:rsid w:val="00D75AF6"/>
    <w:rsid w:val="00D818F1"/>
    <w:rsid w:val="00D8263A"/>
    <w:rsid w:val="00D83A13"/>
    <w:rsid w:val="00D83ECB"/>
    <w:rsid w:val="00D8449C"/>
    <w:rsid w:val="00D84CE1"/>
    <w:rsid w:val="00D85A6B"/>
    <w:rsid w:val="00D9574A"/>
    <w:rsid w:val="00DA6050"/>
    <w:rsid w:val="00DA6378"/>
    <w:rsid w:val="00DA652E"/>
    <w:rsid w:val="00DB4CA4"/>
    <w:rsid w:val="00DB6C97"/>
    <w:rsid w:val="00DC3EDF"/>
    <w:rsid w:val="00DC5173"/>
    <w:rsid w:val="00DC702B"/>
    <w:rsid w:val="00DD0EF2"/>
    <w:rsid w:val="00DF0C99"/>
    <w:rsid w:val="00DF1F5F"/>
    <w:rsid w:val="00DF3EC0"/>
    <w:rsid w:val="00E00395"/>
    <w:rsid w:val="00E02322"/>
    <w:rsid w:val="00E03768"/>
    <w:rsid w:val="00E108A1"/>
    <w:rsid w:val="00E25F68"/>
    <w:rsid w:val="00E26ADE"/>
    <w:rsid w:val="00E26FDE"/>
    <w:rsid w:val="00E30642"/>
    <w:rsid w:val="00E31EE1"/>
    <w:rsid w:val="00E36845"/>
    <w:rsid w:val="00E4136D"/>
    <w:rsid w:val="00E425C2"/>
    <w:rsid w:val="00E43BB4"/>
    <w:rsid w:val="00E43F7E"/>
    <w:rsid w:val="00E440E9"/>
    <w:rsid w:val="00E44291"/>
    <w:rsid w:val="00E4569D"/>
    <w:rsid w:val="00E45B42"/>
    <w:rsid w:val="00E47E20"/>
    <w:rsid w:val="00E54221"/>
    <w:rsid w:val="00E57147"/>
    <w:rsid w:val="00E64351"/>
    <w:rsid w:val="00E673BF"/>
    <w:rsid w:val="00E67D9E"/>
    <w:rsid w:val="00E71470"/>
    <w:rsid w:val="00E745F4"/>
    <w:rsid w:val="00E77AFA"/>
    <w:rsid w:val="00E8463C"/>
    <w:rsid w:val="00E87C6D"/>
    <w:rsid w:val="00E93F7A"/>
    <w:rsid w:val="00EA77B0"/>
    <w:rsid w:val="00EB71BD"/>
    <w:rsid w:val="00EB7EE4"/>
    <w:rsid w:val="00EC6CAF"/>
    <w:rsid w:val="00EC7BCB"/>
    <w:rsid w:val="00ED23EB"/>
    <w:rsid w:val="00ED3D7B"/>
    <w:rsid w:val="00ED42EF"/>
    <w:rsid w:val="00ED585C"/>
    <w:rsid w:val="00ED7AAA"/>
    <w:rsid w:val="00EE6C85"/>
    <w:rsid w:val="00EF730F"/>
    <w:rsid w:val="00EF7E36"/>
    <w:rsid w:val="00F05CC4"/>
    <w:rsid w:val="00F1010B"/>
    <w:rsid w:val="00F1216F"/>
    <w:rsid w:val="00F15C7B"/>
    <w:rsid w:val="00F2587D"/>
    <w:rsid w:val="00F313BF"/>
    <w:rsid w:val="00F3230F"/>
    <w:rsid w:val="00F45153"/>
    <w:rsid w:val="00F47148"/>
    <w:rsid w:val="00F62ADF"/>
    <w:rsid w:val="00F64F2F"/>
    <w:rsid w:val="00F7025E"/>
    <w:rsid w:val="00F726B9"/>
    <w:rsid w:val="00F74FC2"/>
    <w:rsid w:val="00F84038"/>
    <w:rsid w:val="00F87B7C"/>
    <w:rsid w:val="00F91B15"/>
    <w:rsid w:val="00F94A54"/>
    <w:rsid w:val="00F94AE4"/>
    <w:rsid w:val="00F9562D"/>
    <w:rsid w:val="00F9615B"/>
    <w:rsid w:val="00F97B99"/>
    <w:rsid w:val="00F97D04"/>
    <w:rsid w:val="00FA5602"/>
    <w:rsid w:val="00FB0016"/>
    <w:rsid w:val="00FB2B0E"/>
    <w:rsid w:val="00FC1B23"/>
    <w:rsid w:val="00FC1C9F"/>
    <w:rsid w:val="00FC2409"/>
    <w:rsid w:val="00FC2B6C"/>
    <w:rsid w:val="00FC62D2"/>
    <w:rsid w:val="00FD06C8"/>
    <w:rsid w:val="00FD510A"/>
    <w:rsid w:val="00FD56D9"/>
    <w:rsid w:val="00FE6384"/>
    <w:rsid w:val="00FF4D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50C12"/>
    <w:rPr>
      <w:sz w:val="24"/>
      <w:szCs w:val="24"/>
      <w:lang w:eastAsia="zh-CN"/>
    </w:rPr>
  </w:style>
  <w:style w:type="paragraph" w:styleId="Kop2">
    <w:name w:val="heading 2"/>
    <w:basedOn w:val="Standaard"/>
    <w:next w:val="Standaard"/>
    <w:qFormat/>
    <w:rsid w:val="000724F8"/>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NAW">
    <w:name w:val="Huisstijl-NAW"/>
    <w:basedOn w:val="Standaard"/>
    <w:rsid w:val="00D83ECB"/>
    <w:pPr>
      <w:adjustRightInd w:val="0"/>
      <w:spacing w:line="240" w:lineRule="atLeast"/>
    </w:pPr>
    <w:rPr>
      <w:rFonts w:ascii="Verdana" w:hAnsi="Verdana" w:cs="Verdana"/>
      <w:noProof/>
      <w:sz w:val="18"/>
      <w:szCs w:val="18"/>
      <w:lang w:eastAsia="nl-NL"/>
    </w:rPr>
  </w:style>
  <w:style w:type="paragraph" w:styleId="Voetnoottekst">
    <w:name w:val="footnote text"/>
    <w:basedOn w:val="Standaard"/>
    <w:semiHidden/>
    <w:rsid w:val="0088461B"/>
    <w:rPr>
      <w:sz w:val="20"/>
      <w:szCs w:val="20"/>
    </w:rPr>
  </w:style>
  <w:style w:type="character" w:styleId="Voetnootmarkering">
    <w:name w:val="footnote reference"/>
    <w:semiHidden/>
    <w:rsid w:val="0088461B"/>
    <w:rPr>
      <w:rFonts w:cs="Times New Roman"/>
      <w:vertAlign w:val="superscript"/>
    </w:rPr>
  </w:style>
  <w:style w:type="paragraph" w:styleId="Plattetekst2">
    <w:name w:val="Body Text 2"/>
    <w:basedOn w:val="Standaard"/>
    <w:rsid w:val="00F9615B"/>
    <w:rPr>
      <w:rFonts w:ascii="CG Times (E1)" w:hAnsi="CG Times (E1)"/>
      <w:sz w:val="22"/>
      <w:szCs w:val="20"/>
      <w:lang w:eastAsia="en-US"/>
    </w:rPr>
  </w:style>
  <w:style w:type="table" w:styleId="Tabelraster">
    <w:name w:val="Table Grid"/>
    <w:basedOn w:val="Standaardtabel"/>
    <w:rsid w:val="001A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277C2"/>
    <w:pPr>
      <w:ind w:left="720"/>
      <w:contextualSpacing/>
    </w:pPr>
  </w:style>
  <w:style w:type="paragraph" w:styleId="Koptekst">
    <w:name w:val="header"/>
    <w:basedOn w:val="Standaard"/>
    <w:link w:val="HeaderChar"/>
    <w:rsid w:val="00762973"/>
    <w:pPr>
      <w:tabs>
        <w:tab w:val="center" w:pos="4513"/>
        <w:tab w:val="right" w:pos="9026"/>
      </w:tabs>
    </w:pPr>
  </w:style>
  <w:style w:type="character" w:customStyle="1" w:styleId="HeaderChar">
    <w:name w:val="Header Char"/>
    <w:basedOn w:val="Standaardalinea-lettertype"/>
    <w:link w:val="Koptekst"/>
    <w:rsid w:val="00762973"/>
    <w:rPr>
      <w:sz w:val="24"/>
      <w:szCs w:val="24"/>
      <w:lang w:eastAsia="zh-CN"/>
    </w:rPr>
  </w:style>
  <w:style w:type="paragraph" w:styleId="Voettekst">
    <w:name w:val="footer"/>
    <w:basedOn w:val="Standaard"/>
    <w:link w:val="FooterChar"/>
    <w:uiPriority w:val="99"/>
    <w:rsid w:val="00762973"/>
    <w:pPr>
      <w:tabs>
        <w:tab w:val="center" w:pos="4513"/>
        <w:tab w:val="right" w:pos="9026"/>
      </w:tabs>
    </w:pPr>
  </w:style>
  <w:style w:type="character" w:customStyle="1" w:styleId="FooterChar">
    <w:name w:val="Footer Char"/>
    <w:basedOn w:val="Standaardalinea-lettertype"/>
    <w:link w:val="Voettekst"/>
    <w:uiPriority w:val="99"/>
    <w:rsid w:val="00762973"/>
    <w:rPr>
      <w:sz w:val="24"/>
      <w:szCs w:val="24"/>
      <w:lang w:eastAsia="zh-CN"/>
    </w:rPr>
  </w:style>
  <w:style w:type="paragraph" w:styleId="Ballontekst">
    <w:name w:val="Balloon Text"/>
    <w:basedOn w:val="Standaard"/>
    <w:link w:val="BalloonTextChar"/>
    <w:rsid w:val="00762973"/>
    <w:rPr>
      <w:rFonts w:ascii="Tahoma" w:hAnsi="Tahoma" w:cs="Tahoma"/>
      <w:sz w:val="16"/>
      <w:szCs w:val="16"/>
    </w:rPr>
  </w:style>
  <w:style w:type="character" w:customStyle="1" w:styleId="BalloonTextChar">
    <w:name w:val="Balloon Text Char"/>
    <w:basedOn w:val="Standaardalinea-lettertype"/>
    <w:link w:val="Ballontekst"/>
    <w:rsid w:val="00762973"/>
    <w:rPr>
      <w:rFonts w:ascii="Tahoma" w:hAnsi="Tahoma" w:cs="Tahoma"/>
      <w:sz w:val="16"/>
      <w:szCs w:val="16"/>
      <w:lang w:eastAsia="zh-CN"/>
    </w:rPr>
  </w:style>
  <w:style w:type="paragraph" w:customStyle="1" w:styleId="Default">
    <w:name w:val="Default"/>
    <w:rsid w:val="00DA6050"/>
    <w:pPr>
      <w:autoSpaceDE w:val="0"/>
      <w:autoSpaceDN w:val="0"/>
      <w:adjustRightInd w:val="0"/>
    </w:pPr>
    <w:rPr>
      <w:rFonts w:ascii="Verdana" w:hAnsi="Verdana" w:cs="Verdana"/>
      <w:color w:val="000000"/>
      <w:sz w:val="24"/>
      <w:szCs w:val="24"/>
    </w:rPr>
  </w:style>
  <w:style w:type="table" w:styleId="Lichtelijst-accent3">
    <w:name w:val="Light List Accent 3"/>
    <w:basedOn w:val="Standaardtabel"/>
    <w:uiPriority w:val="61"/>
    <w:rsid w:val="00C34AE8"/>
    <w:rPr>
      <w:rFonts w:ascii="Verdana" w:eastAsiaTheme="minorHAnsi" w:hAnsi="Verdana" w:cstheme="minorBidi"/>
      <w:sz w:val="18"/>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Verwijzingopmerking">
    <w:name w:val="annotation reference"/>
    <w:basedOn w:val="Standaardalinea-lettertype"/>
    <w:rsid w:val="00F3230F"/>
    <w:rPr>
      <w:sz w:val="16"/>
      <w:szCs w:val="16"/>
    </w:rPr>
  </w:style>
  <w:style w:type="paragraph" w:styleId="Tekstopmerking">
    <w:name w:val="annotation text"/>
    <w:basedOn w:val="Standaard"/>
    <w:link w:val="CommentTextChar"/>
    <w:rsid w:val="00F3230F"/>
    <w:rPr>
      <w:sz w:val="20"/>
      <w:szCs w:val="20"/>
    </w:rPr>
  </w:style>
  <w:style w:type="character" w:customStyle="1" w:styleId="CommentTextChar">
    <w:name w:val="Comment Text Char"/>
    <w:basedOn w:val="Standaardalinea-lettertype"/>
    <w:link w:val="Tekstopmerking"/>
    <w:rsid w:val="00F3230F"/>
    <w:rPr>
      <w:lang w:eastAsia="zh-CN"/>
    </w:rPr>
  </w:style>
  <w:style w:type="paragraph" w:styleId="Onderwerpvanopmerking">
    <w:name w:val="annotation subject"/>
    <w:basedOn w:val="Tekstopmerking"/>
    <w:next w:val="Tekstopmerking"/>
    <w:link w:val="CommentSubjectChar"/>
    <w:rsid w:val="00F3230F"/>
    <w:rPr>
      <w:b/>
      <w:bCs/>
    </w:rPr>
  </w:style>
  <w:style w:type="character" w:customStyle="1" w:styleId="CommentSubjectChar">
    <w:name w:val="Comment Subject Char"/>
    <w:basedOn w:val="CommentTextChar"/>
    <w:link w:val="Onderwerpvanopmerking"/>
    <w:rsid w:val="00F3230F"/>
    <w:rPr>
      <w:b/>
      <w:bCs/>
      <w:lang w:eastAsia="zh-CN"/>
    </w:rPr>
  </w:style>
  <w:style w:type="table" w:styleId="Klassieketabel1">
    <w:name w:val="Table Classic 1"/>
    <w:basedOn w:val="Standaardtabel"/>
    <w:rsid w:val="000E07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50C12"/>
    <w:rPr>
      <w:sz w:val="24"/>
      <w:szCs w:val="24"/>
      <w:lang w:eastAsia="zh-CN"/>
    </w:rPr>
  </w:style>
  <w:style w:type="paragraph" w:styleId="Kop2">
    <w:name w:val="heading 2"/>
    <w:basedOn w:val="Standaard"/>
    <w:next w:val="Standaard"/>
    <w:qFormat/>
    <w:rsid w:val="000724F8"/>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NAW">
    <w:name w:val="Huisstijl-NAW"/>
    <w:basedOn w:val="Standaard"/>
    <w:rsid w:val="00D83ECB"/>
    <w:pPr>
      <w:adjustRightInd w:val="0"/>
      <w:spacing w:line="240" w:lineRule="atLeast"/>
    </w:pPr>
    <w:rPr>
      <w:rFonts w:ascii="Verdana" w:hAnsi="Verdana" w:cs="Verdana"/>
      <w:noProof/>
      <w:sz w:val="18"/>
      <w:szCs w:val="18"/>
      <w:lang w:eastAsia="nl-NL"/>
    </w:rPr>
  </w:style>
  <w:style w:type="paragraph" w:styleId="Voetnoottekst">
    <w:name w:val="footnote text"/>
    <w:basedOn w:val="Standaard"/>
    <w:semiHidden/>
    <w:rsid w:val="0088461B"/>
    <w:rPr>
      <w:sz w:val="20"/>
      <w:szCs w:val="20"/>
    </w:rPr>
  </w:style>
  <w:style w:type="character" w:styleId="Voetnootmarkering">
    <w:name w:val="footnote reference"/>
    <w:semiHidden/>
    <w:rsid w:val="0088461B"/>
    <w:rPr>
      <w:rFonts w:cs="Times New Roman"/>
      <w:vertAlign w:val="superscript"/>
    </w:rPr>
  </w:style>
  <w:style w:type="paragraph" w:styleId="Plattetekst2">
    <w:name w:val="Body Text 2"/>
    <w:basedOn w:val="Standaard"/>
    <w:rsid w:val="00F9615B"/>
    <w:rPr>
      <w:rFonts w:ascii="CG Times (E1)" w:hAnsi="CG Times (E1)"/>
      <w:sz w:val="22"/>
      <w:szCs w:val="20"/>
      <w:lang w:eastAsia="en-US"/>
    </w:rPr>
  </w:style>
  <w:style w:type="table" w:styleId="Tabelraster">
    <w:name w:val="Table Grid"/>
    <w:basedOn w:val="Standaardtabel"/>
    <w:rsid w:val="001A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277C2"/>
    <w:pPr>
      <w:ind w:left="720"/>
      <w:contextualSpacing/>
    </w:pPr>
  </w:style>
  <w:style w:type="paragraph" w:styleId="Koptekst">
    <w:name w:val="header"/>
    <w:basedOn w:val="Standaard"/>
    <w:link w:val="HeaderChar"/>
    <w:rsid w:val="00762973"/>
    <w:pPr>
      <w:tabs>
        <w:tab w:val="center" w:pos="4513"/>
        <w:tab w:val="right" w:pos="9026"/>
      </w:tabs>
    </w:pPr>
  </w:style>
  <w:style w:type="character" w:customStyle="1" w:styleId="HeaderChar">
    <w:name w:val="Header Char"/>
    <w:basedOn w:val="Standaardalinea-lettertype"/>
    <w:link w:val="Koptekst"/>
    <w:rsid w:val="00762973"/>
    <w:rPr>
      <w:sz w:val="24"/>
      <w:szCs w:val="24"/>
      <w:lang w:eastAsia="zh-CN"/>
    </w:rPr>
  </w:style>
  <w:style w:type="paragraph" w:styleId="Voettekst">
    <w:name w:val="footer"/>
    <w:basedOn w:val="Standaard"/>
    <w:link w:val="FooterChar"/>
    <w:uiPriority w:val="99"/>
    <w:rsid w:val="00762973"/>
    <w:pPr>
      <w:tabs>
        <w:tab w:val="center" w:pos="4513"/>
        <w:tab w:val="right" w:pos="9026"/>
      </w:tabs>
    </w:pPr>
  </w:style>
  <w:style w:type="character" w:customStyle="1" w:styleId="FooterChar">
    <w:name w:val="Footer Char"/>
    <w:basedOn w:val="Standaardalinea-lettertype"/>
    <w:link w:val="Voettekst"/>
    <w:uiPriority w:val="99"/>
    <w:rsid w:val="00762973"/>
    <w:rPr>
      <w:sz w:val="24"/>
      <w:szCs w:val="24"/>
      <w:lang w:eastAsia="zh-CN"/>
    </w:rPr>
  </w:style>
  <w:style w:type="paragraph" w:styleId="Ballontekst">
    <w:name w:val="Balloon Text"/>
    <w:basedOn w:val="Standaard"/>
    <w:link w:val="BalloonTextChar"/>
    <w:rsid w:val="00762973"/>
    <w:rPr>
      <w:rFonts w:ascii="Tahoma" w:hAnsi="Tahoma" w:cs="Tahoma"/>
      <w:sz w:val="16"/>
      <w:szCs w:val="16"/>
    </w:rPr>
  </w:style>
  <w:style w:type="character" w:customStyle="1" w:styleId="BalloonTextChar">
    <w:name w:val="Balloon Text Char"/>
    <w:basedOn w:val="Standaardalinea-lettertype"/>
    <w:link w:val="Ballontekst"/>
    <w:rsid w:val="00762973"/>
    <w:rPr>
      <w:rFonts w:ascii="Tahoma" w:hAnsi="Tahoma" w:cs="Tahoma"/>
      <w:sz w:val="16"/>
      <w:szCs w:val="16"/>
      <w:lang w:eastAsia="zh-CN"/>
    </w:rPr>
  </w:style>
  <w:style w:type="paragraph" w:customStyle="1" w:styleId="Default">
    <w:name w:val="Default"/>
    <w:rsid w:val="00DA6050"/>
    <w:pPr>
      <w:autoSpaceDE w:val="0"/>
      <w:autoSpaceDN w:val="0"/>
      <w:adjustRightInd w:val="0"/>
    </w:pPr>
    <w:rPr>
      <w:rFonts w:ascii="Verdana" w:hAnsi="Verdana" w:cs="Verdana"/>
      <w:color w:val="000000"/>
      <w:sz w:val="24"/>
      <w:szCs w:val="24"/>
    </w:rPr>
  </w:style>
  <w:style w:type="table" w:styleId="Lichtelijst-accent3">
    <w:name w:val="Light List Accent 3"/>
    <w:basedOn w:val="Standaardtabel"/>
    <w:uiPriority w:val="61"/>
    <w:rsid w:val="00C34AE8"/>
    <w:rPr>
      <w:rFonts w:ascii="Verdana" w:eastAsiaTheme="minorHAnsi" w:hAnsi="Verdana" w:cstheme="minorBidi"/>
      <w:sz w:val="18"/>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Verwijzingopmerking">
    <w:name w:val="annotation reference"/>
    <w:basedOn w:val="Standaardalinea-lettertype"/>
    <w:rsid w:val="00F3230F"/>
    <w:rPr>
      <w:sz w:val="16"/>
      <w:szCs w:val="16"/>
    </w:rPr>
  </w:style>
  <w:style w:type="paragraph" w:styleId="Tekstopmerking">
    <w:name w:val="annotation text"/>
    <w:basedOn w:val="Standaard"/>
    <w:link w:val="CommentTextChar"/>
    <w:rsid w:val="00F3230F"/>
    <w:rPr>
      <w:sz w:val="20"/>
      <w:szCs w:val="20"/>
    </w:rPr>
  </w:style>
  <w:style w:type="character" w:customStyle="1" w:styleId="CommentTextChar">
    <w:name w:val="Comment Text Char"/>
    <w:basedOn w:val="Standaardalinea-lettertype"/>
    <w:link w:val="Tekstopmerking"/>
    <w:rsid w:val="00F3230F"/>
    <w:rPr>
      <w:lang w:eastAsia="zh-CN"/>
    </w:rPr>
  </w:style>
  <w:style w:type="paragraph" w:styleId="Onderwerpvanopmerking">
    <w:name w:val="annotation subject"/>
    <w:basedOn w:val="Tekstopmerking"/>
    <w:next w:val="Tekstopmerking"/>
    <w:link w:val="CommentSubjectChar"/>
    <w:rsid w:val="00F3230F"/>
    <w:rPr>
      <w:b/>
      <w:bCs/>
    </w:rPr>
  </w:style>
  <w:style w:type="character" w:customStyle="1" w:styleId="CommentSubjectChar">
    <w:name w:val="Comment Subject Char"/>
    <w:basedOn w:val="CommentTextChar"/>
    <w:link w:val="Onderwerpvanopmerking"/>
    <w:rsid w:val="00F3230F"/>
    <w:rPr>
      <w:b/>
      <w:bCs/>
      <w:lang w:eastAsia="zh-CN"/>
    </w:rPr>
  </w:style>
  <w:style w:type="table" w:styleId="Klassieketabel1">
    <w:name w:val="Table Classic 1"/>
    <w:basedOn w:val="Standaardtabel"/>
    <w:rsid w:val="000E07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29826268">
      <w:bodyDiv w:val="1"/>
      <w:marLeft w:val="0"/>
      <w:marRight w:val="0"/>
      <w:marTop w:val="0"/>
      <w:marBottom w:val="0"/>
      <w:divBdr>
        <w:top w:val="none" w:sz="0" w:space="0" w:color="auto"/>
        <w:left w:val="none" w:sz="0" w:space="0" w:color="auto"/>
        <w:bottom w:val="none" w:sz="0" w:space="0" w:color="auto"/>
        <w:right w:val="none" w:sz="0" w:space="0" w:color="auto"/>
      </w:divBdr>
    </w:div>
    <w:div w:id="1155487759">
      <w:bodyDiv w:val="1"/>
      <w:marLeft w:val="0"/>
      <w:marRight w:val="0"/>
      <w:marTop w:val="0"/>
      <w:marBottom w:val="0"/>
      <w:divBdr>
        <w:top w:val="none" w:sz="0" w:space="0" w:color="auto"/>
        <w:left w:val="none" w:sz="0" w:space="0" w:color="auto"/>
        <w:bottom w:val="none" w:sz="0" w:space="0" w:color="auto"/>
        <w:right w:val="none" w:sz="0" w:space="0" w:color="auto"/>
      </w:divBdr>
    </w:div>
    <w:div w:id="1157264972">
      <w:bodyDiv w:val="1"/>
      <w:marLeft w:val="0"/>
      <w:marRight w:val="0"/>
      <w:marTop w:val="0"/>
      <w:marBottom w:val="0"/>
      <w:divBdr>
        <w:top w:val="none" w:sz="0" w:space="0" w:color="auto"/>
        <w:left w:val="none" w:sz="0" w:space="0" w:color="auto"/>
        <w:bottom w:val="none" w:sz="0" w:space="0" w:color="auto"/>
        <w:right w:val="none" w:sz="0" w:space="0" w:color="auto"/>
      </w:divBdr>
    </w:div>
    <w:div w:id="1221789114">
      <w:bodyDiv w:val="1"/>
      <w:marLeft w:val="0"/>
      <w:marRight w:val="0"/>
      <w:marTop w:val="0"/>
      <w:marBottom w:val="0"/>
      <w:divBdr>
        <w:top w:val="none" w:sz="0" w:space="0" w:color="auto"/>
        <w:left w:val="none" w:sz="0" w:space="0" w:color="auto"/>
        <w:bottom w:val="none" w:sz="0" w:space="0" w:color="auto"/>
        <w:right w:val="none" w:sz="0" w:space="0" w:color="auto"/>
      </w:divBdr>
    </w:div>
    <w:div w:id="1400440477">
      <w:bodyDiv w:val="1"/>
      <w:marLeft w:val="0"/>
      <w:marRight w:val="0"/>
      <w:marTop w:val="0"/>
      <w:marBottom w:val="0"/>
      <w:divBdr>
        <w:top w:val="none" w:sz="0" w:space="0" w:color="auto"/>
        <w:left w:val="none" w:sz="0" w:space="0" w:color="auto"/>
        <w:bottom w:val="none" w:sz="0" w:space="0" w:color="auto"/>
        <w:right w:val="none" w:sz="0" w:space="0" w:color="auto"/>
      </w:divBdr>
    </w:div>
    <w:div w:id="1725564159">
      <w:bodyDiv w:val="1"/>
      <w:marLeft w:val="0"/>
      <w:marRight w:val="0"/>
      <w:marTop w:val="0"/>
      <w:marBottom w:val="0"/>
      <w:divBdr>
        <w:top w:val="none" w:sz="0" w:space="0" w:color="auto"/>
        <w:left w:val="none" w:sz="0" w:space="0" w:color="auto"/>
        <w:bottom w:val="none" w:sz="0" w:space="0" w:color="auto"/>
        <w:right w:val="none" w:sz="0" w:space="0" w:color="auto"/>
      </w:divBdr>
    </w:div>
    <w:div w:id="1738430349">
      <w:bodyDiv w:val="1"/>
      <w:marLeft w:val="0"/>
      <w:marRight w:val="0"/>
      <w:marTop w:val="0"/>
      <w:marBottom w:val="0"/>
      <w:divBdr>
        <w:top w:val="none" w:sz="0" w:space="0" w:color="auto"/>
        <w:left w:val="none" w:sz="0" w:space="0" w:color="auto"/>
        <w:bottom w:val="none" w:sz="0" w:space="0" w:color="auto"/>
        <w:right w:val="none" w:sz="0" w:space="0" w:color="auto"/>
      </w:divBdr>
    </w:div>
    <w:div w:id="190259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1.xlsx"/><Relationship Id="rId18" Type="http://schemas.openxmlformats.org/officeDocument/2006/relationships/image" Target="media/image4.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Microsoft_Excel_97-2003_Worksheet4.xls"/><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oleObject" Target="embeddings/Microsoft_Excel_97-2003_Worksheet2.xls"/><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Microsoft_Excel_97-2003_Worksheet1.xls"/><Relationship Id="rId23" Type="http://schemas.openxmlformats.org/officeDocument/2006/relationships/oleObject" Target="embeddings/Microsoft_Excel_97-2003_Worksheet5.xls"/><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Microsoft_Excel_97-2003_Worksheet3.xls"/><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94C579B2BF72438FFD5DCE97224A3A" ma:contentTypeVersion="0" ma:contentTypeDescription="Een nieuw document maken." ma:contentTypeScope="" ma:versionID="8a4b654a6de083bd0b2e304d0993204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42219-7DE6-4FC4-987F-84F3C27C029F}"/>
</file>

<file path=customXml/itemProps2.xml><?xml version="1.0" encoding="utf-8"?>
<ds:datastoreItem xmlns:ds="http://schemas.openxmlformats.org/officeDocument/2006/customXml" ds:itemID="{F5C3C7F5-50AA-4720-A2F0-E258D84280F8}"/>
</file>

<file path=customXml/itemProps3.xml><?xml version="1.0" encoding="utf-8"?>
<ds:datastoreItem xmlns:ds="http://schemas.openxmlformats.org/officeDocument/2006/customXml" ds:itemID="{BE457A38-58C3-4A56-9073-C85CDAF2AC1B}"/>
</file>

<file path=customXml/itemProps4.xml><?xml version="1.0" encoding="utf-8"?>
<ds:datastoreItem xmlns:ds="http://schemas.openxmlformats.org/officeDocument/2006/customXml" ds:itemID="{4E19D0C7-B7FE-453B-B5AF-689FFB31BA57}"/>
</file>

<file path=docProps/app.xml><?xml version="1.0" encoding="utf-8"?>
<Properties xmlns="http://schemas.openxmlformats.org/officeDocument/2006/extended-properties" xmlns:vt="http://schemas.openxmlformats.org/officeDocument/2006/docPropsVTypes">
  <Template>5A77A82</Template>
  <TotalTime>0</TotalTime>
  <Pages>10</Pages>
  <Words>1752</Words>
  <Characters>9641</Characters>
  <Application>Microsoft Office Word</Application>
  <DocSecurity>4</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VOORSTEL VAN WET</vt:lpstr>
      <vt:lpstr>VOORSTEL VAN WET</vt:lpstr>
    </vt:vector>
  </TitlesOfParts>
  <Company>Ministerie van Buitenlandse Zaken</Company>
  <LinksUpToDate>false</LinksUpToDate>
  <CharactersWithSpaces>11371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VOORSTEL VAN WET</dc:title>
  <dc:creator>Marc H.C. Sprik</dc:creator>
  <cp:lastModifiedBy>Stefano Tamin</cp:lastModifiedBy>
  <cp:revision>2</cp:revision>
  <cp:lastPrinted>2015-05-21T09:55:00Z</cp:lastPrinted>
  <dcterms:created xsi:type="dcterms:W3CDTF">2015-06-01T16:21:00Z</dcterms:created>
  <dcterms:modified xsi:type="dcterms:W3CDTF">2015-06-01T16:21:00Z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Wed Mar 02 08:56:23 CET 2011</vt:lpwstr>
  </property>
  <property fmtid="{D5CDD505-2E9C-101B-9397-08002B2CF9AE}" pid="3" name="jforVersion">
    <vt:lpwstr>jfor V0.7.2rc1 - see http://www.jfor.org</vt:lpwstr>
  </property>
  <property fmtid="{D5CDD505-2E9C-101B-9397-08002B2CF9AE}" pid="4" name="ContentTypeId">
    <vt:lpwstr>0x0101002394C579B2BF72438FFD5DCE97224A3A</vt:lpwstr>
  </property>
</Properties>
</file>