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9E9" w:rsidRPr="00403D25" w:rsidRDefault="00AD59E9" w:rsidP="00AD59E9">
      <w:pPr>
        <w:widowControl w:val="0"/>
        <w:autoSpaceDE w:val="0"/>
        <w:autoSpaceDN w:val="0"/>
        <w:adjustRightInd w:val="0"/>
        <w:rPr>
          <w:rFonts w:ascii="Arial" w:hAnsi="Arial" w:cs="Arial"/>
          <w:sz w:val="20"/>
          <w:szCs w:val="20"/>
        </w:rPr>
      </w:pPr>
    </w:p>
    <w:p w:rsidR="00037C22" w:rsidRPr="00403D25" w:rsidRDefault="00037C22" w:rsidP="00037C22">
      <w:pPr>
        <w:widowControl w:val="0"/>
        <w:autoSpaceDE w:val="0"/>
        <w:autoSpaceDN w:val="0"/>
        <w:adjustRightInd w:val="0"/>
        <w:rPr>
          <w:rFonts w:ascii="Arial" w:hAnsi="Arial" w:cs="Arial"/>
        </w:rPr>
      </w:pPr>
      <w:r w:rsidRPr="00403D25">
        <w:rPr>
          <w:rFonts w:ascii="Arial" w:hAnsi="Arial" w:cs="Arial"/>
          <w:b/>
          <w:bCs/>
          <w:sz w:val="20"/>
          <w:szCs w:val="20"/>
        </w:rPr>
        <w:t>A. ARTIKELSGEWIJZE TOELICHTING BIJ HET WETSVOORSTEL</w:t>
      </w:r>
    </w:p>
    <w:p w:rsidR="00037C22" w:rsidRPr="00403D25" w:rsidRDefault="00037C22" w:rsidP="00037C22">
      <w:pPr>
        <w:widowControl w:val="0"/>
        <w:autoSpaceDE w:val="0"/>
        <w:autoSpaceDN w:val="0"/>
        <w:adjustRightInd w:val="0"/>
        <w:rPr>
          <w:rFonts w:ascii="Arial" w:hAnsi="Arial" w:cs="Arial"/>
        </w:rPr>
      </w:pPr>
      <w:r w:rsidRPr="00403D25">
        <w:rPr>
          <w:rFonts w:ascii="Arial" w:hAnsi="Arial" w:cs="Arial"/>
        </w:rPr>
        <w:t> </w:t>
      </w:r>
    </w:p>
    <w:p w:rsidR="00037C22" w:rsidRPr="00403D25" w:rsidRDefault="00037C22" w:rsidP="00037C22">
      <w:pPr>
        <w:widowControl w:val="0"/>
        <w:autoSpaceDE w:val="0"/>
        <w:autoSpaceDN w:val="0"/>
        <w:adjustRightInd w:val="0"/>
        <w:rPr>
          <w:rFonts w:ascii="Arial" w:hAnsi="Arial" w:cs="Arial"/>
        </w:rPr>
      </w:pPr>
      <w:r w:rsidRPr="00403D25">
        <w:rPr>
          <w:rFonts w:ascii="Arial" w:hAnsi="Arial" w:cs="Arial"/>
          <w:b/>
          <w:bCs/>
          <w:sz w:val="20"/>
          <w:szCs w:val="20"/>
        </w:rPr>
        <w:t>Wetsartikelen 1 tot en met 3</w:t>
      </w:r>
    </w:p>
    <w:p w:rsidR="00037C22" w:rsidRPr="00403D25" w:rsidRDefault="00037C22" w:rsidP="00037C22">
      <w:pPr>
        <w:widowControl w:val="0"/>
        <w:autoSpaceDE w:val="0"/>
        <w:autoSpaceDN w:val="0"/>
        <w:adjustRightInd w:val="0"/>
        <w:rPr>
          <w:rFonts w:ascii="Arial" w:hAnsi="Arial" w:cs="Arial"/>
        </w:rPr>
      </w:pPr>
      <w:r w:rsidRPr="00403D25">
        <w:rPr>
          <w:rFonts w:ascii="Arial" w:hAnsi="Arial" w:cs="Arial"/>
        </w:rPr>
        <w:t> </w:t>
      </w:r>
    </w:p>
    <w:p w:rsidR="00037C22" w:rsidRPr="00403D25" w:rsidRDefault="00037C22" w:rsidP="00037C22">
      <w:pPr>
        <w:widowControl w:val="0"/>
        <w:autoSpaceDE w:val="0"/>
        <w:autoSpaceDN w:val="0"/>
        <w:adjustRightInd w:val="0"/>
        <w:rPr>
          <w:rFonts w:ascii="Arial" w:hAnsi="Arial" w:cs="Arial"/>
        </w:rPr>
      </w:pPr>
      <w:r w:rsidRPr="00403D25">
        <w:rPr>
          <w:rFonts w:ascii="Arial" w:hAnsi="Arial" w:cs="Arial"/>
          <w:sz w:val="20"/>
          <w:szCs w:val="20"/>
        </w:rPr>
        <w:t>De begrotingsstaten die onderdeel zijn van de Rijksbegroting, worden op grond van artikel 1, derde lid, van de Comptabiliteitswet 2001 elk afzonderlijk bij de wet vastgesteld en derhalve ook gewijzigd. Het onderhavige wetsvoorstel strekt ertoe om voor het jaar 201</w:t>
      </w:r>
      <w:r w:rsidR="0014788F" w:rsidRPr="00403D25">
        <w:rPr>
          <w:rFonts w:ascii="Arial" w:hAnsi="Arial" w:cs="Arial"/>
          <w:sz w:val="20"/>
          <w:szCs w:val="20"/>
        </w:rPr>
        <w:t>5</w:t>
      </w:r>
      <w:r w:rsidRPr="00403D25">
        <w:rPr>
          <w:rFonts w:ascii="Arial" w:hAnsi="Arial" w:cs="Arial"/>
          <w:sz w:val="20"/>
          <w:szCs w:val="20"/>
        </w:rPr>
        <w:t xml:space="preserve"> wijzigingen aan te brengen in: </w:t>
      </w:r>
    </w:p>
    <w:p w:rsidR="00037C22" w:rsidRPr="00403D25" w:rsidRDefault="00037C22" w:rsidP="00037C22">
      <w:pPr>
        <w:widowControl w:val="0"/>
        <w:autoSpaceDE w:val="0"/>
        <w:autoSpaceDN w:val="0"/>
        <w:adjustRightInd w:val="0"/>
        <w:rPr>
          <w:rFonts w:ascii="Arial" w:hAnsi="Arial" w:cs="Arial"/>
        </w:rPr>
      </w:pPr>
      <w:r w:rsidRPr="00403D25">
        <w:rPr>
          <w:rFonts w:ascii="Arial" w:hAnsi="Arial" w:cs="Arial"/>
        </w:rPr>
        <w:t> </w:t>
      </w:r>
    </w:p>
    <w:p w:rsidR="00037C22" w:rsidRPr="00403D25" w:rsidRDefault="00037C22" w:rsidP="00037C22">
      <w:pPr>
        <w:widowControl w:val="0"/>
        <w:autoSpaceDE w:val="0"/>
        <w:autoSpaceDN w:val="0"/>
        <w:adjustRightInd w:val="0"/>
        <w:spacing w:after="200"/>
        <w:ind w:left="320"/>
        <w:rPr>
          <w:rFonts w:ascii="Arial" w:hAnsi="Arial" w:cs="Arial"/>
          <w:sz w:val="20"/>
          <w:szCs w:val="20"/>
        </w:rPr>
      </w:pPr>
      <w:r w:rsidRPr="00403D25">
        <w:rPr>
          <w:rFonts w:ascii="Arial" w:hAnsi="Arial" w:cs="Arial"/>
          <w:sz w:val="20"/>
          <w:szCs w:val="20"/>
        </w:rPr>
        <w:t xml:space="preserve">de departementale begrotingsstaat van het Ministerie van Buitenlandse Zaken (V); </w:t>
      </w:r>
    </w:p>
    <w:p w:rsidR="00037C22" w:rsidRPr="00403D25" w:rsidRDefault="00037C22" w:rsidP="00037C22">
      <w:pPr>
        <w:widowControl w:val="0"/>
        <w:autoSpaceDE w:val="0"/>
        <w:autoSpaceDN w:val="0"/>
        <w:adjustRightInd w:val="0"/>
        <w:rPr>
          <w:rFonts w:ascii="Arial" w:hAnsi="Arial" w:cs="Arial"/>
        </w:rPr>
      </w:pPr>
      <w:r w:rsidRPr="00403D25">
        <w:rPr>
          <w:rFonts w:ascii="Arial" w:hAnsi="Arial" w:cs="Arial"/>
        </w:rPr>
        <w:t> </w:t>
      </w:r>
    </w:p>
    <w:p w:rsidR="00037C22" w:rsidRPr="00403D25" w:rsidRDefault="00037C22" w:rsidP="00037C22">
      <w:pPr>
        <w:widowControl w:val="0"/>
        <w:autoSpaceDE w:val="0"/>
        <w:autoSpaceDN w:val="0"/>
        <w:adjustRightInd w:val="0"/>
        <w:rPr>
          <w:rFonts w:ascii="Arial" w:hAnsi="Arial" w:cs="Arial"/>
        </w:rPr>
      </w:pPr>
      <w:r w:rsidRPr="00403D25">
        <w:rPr>
          <w:rFonts w:ascii="Arial" w:hAnsi="Arial" w:cs="Arial"/>
          <w:sz w:val="20"/>
          <w:szCs w:val="20"/>
        </w:rPr>
        <w:t>De in de begrotingssta</w:t>
      </w:r>
      <w:r w:rsidR="004A3990" w:rsidRPr="00403D25">
        <w:rPr>
          <w:rFonts w:ascii="Arial" w:hAnsi="Arial" w:cs="Arial"/>
          <w:sz w:val="20"/>
          <w:szCs w:val="20"/>
        </w:rPr>
        <w:t>a</w:t>
      </w:r>
      <w:r w:rsidRPr="00403D25">
        <w:rPr>
          <w:rFonts w:ascii="Arial" w:hAnsi="Arial" w:cs="Arial"/>
          <w:sz w:val="20"/>
          <w:szCs w:val="20"/>
        </w:rPr>
        <w:t xml:space="preserve">t opgenomen begrotingsartikelen worden in onderdeel B van deze memorie van toelichting toegelicht (de zgn. begrotingstoelichting). </w:t>
      </w:r>
    </w:p>
    <w:p w:rsidR="00037C22" w:rsidRPr="00403D25" w:rsidRDefault="00037C22" w:rsidP="00037C22">
      <w:pPr>
        <w:widowControl w:val="0"/>
        <w:autoSpaceDE w:val="0"/>
        <w:autoSpaceDN w:val="0"/>
        <w:adjustRightInd w:val="0"/>
        <w:rPr>
          <w:rFonts w:ascii="Arial" w:hAnsi="Arial" w:cs="Arial"/>
        </w:rPr>
      </w:pPr>
    </w:p>
    <w:p w:rsidR="00037C22" w:rsidRPr="00403D25" w:rsidRDefault="00037C22" w:rsidP="00037C22">
      <w:pPr>
        <w:widowControl w:val="0"/>
        <w:autoSpaceDE w:val="0"/>
        <w:autoSpaceDN w:val="0"/>
        <w:adjustRightInd w:val="0"/>
        <w:rPr>
          <w:rFonts w:ascii="Arial" w:hAnsi="Arial" w:cs="Arial"/>
        </w:rPr>
      </w:pPr>
    </w:p>
    <w:p w:rsidR="00037C22" w:rsidRPr="00403D25" w:rsidRDefault="00037C22" w:rsidP="00037C22">
      <w:pPr>
        <w:widowControl w:val="0"/>
        <w:autoSpaceDE w:val="0"/>
        <w:autoSpaceDN w:val="0"/>
        <w:adjustRightInd w:val="0"/>
        <w:rPr>
          <w:rFonts w:ascii="Arial" w:hAnsi="Arial" w:cs="Arial"/>
        </w:rPr>
      </w:pPr>
      <w:r w:rsidRPr="00403D25">
        <w:rPr>
          <w:rFonts w:ascii="Arial" w:hAnsi="Arial" w:cs="Arial"/>
        </w:rPr>
        <w:t> </w:t>
      </w:r>
    </w:p>
    <w:p w:rsidR="00037C22" w:rsidRPr="00403D25" w:rsidRDefault="00037C22" w:rsidP="00037C22">
      <w:pPr>
        <w:widowControl w:val="0"/>
        <w:autoSpaceDE w:val="0"/>
        <w:autoSpaceDN w:val="0"/>
        <w:adjustRightInd w:val="0"/>
        <w:rPr>
          <w:rFonts w:ascii="Arial" w:hAnsi="Arial" w:cs="Arial"/>
        </w:rPr>
      </w:pPr>
      <w:r w:rsidRPr="00403D25">
        <w:rPr>
          <w:rFonts w:ascii="Arial" w:hAnsi="Arial" w:cs="Arial"/>
        </w:rPr>
        <w:t> </w:t>
      </w:r>
      <w:bookmarkStart w:id="0" w:name="_GoBack"/>
      <w:bookmarkEnd w:id="0"/>
    </w:p>
    <w:p w:rsidR="00037C22" w:rsidRPr="00403D25" w:rsidRDefault="00037C22" w:rsidP="00037C22">
      <w:pPr>
        <w:widowControl w:val="0"/>
        <w:autoSpaceDE w:val="0"/>
        <w:autoSpaceDN w:val="0"/>
        <w:adjustRightInd w:val="0"/>
        <w:rPr>
          <w:rFonts w:ascii="Arial" w:hAnsi="Arial" w:cs="Arial"/>
          <w:sz w:val="20"/>
          <w:szCs w:val="20"/>
        </w:rPr>
      </w:pPr>
      <w:r w:rsidRPr="00403D25">
        <w:rPr>
          <w:rFonts w:ascii="Arial" w:hAnsi="Arial" w:cs="Arial"/>
          <w:sz w:val="20"/>
          <w:szCs w:val="20"/>
        </w:rPr>
        <w:t xml:space="preserve">De </w:t>
      </w:r>
      <w:r w:rsidR="00667643" w:rsidRPr="00403D25">
        <w:rPr>
          <w:rFonts w:ascii="Arial" w:hAnsi="Arial" w:cs="Arial"/>
          <w:sz w:val="20"/>
          <w:szCs w:val="20"/>
        </w:rPr>
        <w:t>M</w:t>
      </w:r>
      <w:r w:rsidRPr="00403D25">
        <w:rPr>
          <w:rFonts w:ascii="Arial" w:hAnsi="Arial" w:cs="Arial"/>
          <w:sz w:val="20"/>
          <w:szCs w:val="20"/>
        </w:rPr>
        <w:t>inister van Buitenlandse Zaken</w:t>
      </w:r>
    </w:p>
    <w:p w:rsidR="003A4649" w:rsidRPr="00403D25" w:rsidRDefault="003A4649" w:rsidP="00037C22">
      <w:pPr>
        <w:widowControl w:val="0"/>
        <w:autoSpaceDE w:val="0"/>
        <w:autoSpaceDN w:val="0"/>
        <w:adjustRightInd w:val="0"/>
        <w:rPr>
          <w:rFonts w:ascii="Arial" w:hAnsi="Arial" w:cs="Arial"/>
          <w:sz w:val="20"/>
          <w:szCs w:val="20"/>
        </w:rPr>
      </w:pPr>
    </w:p>
    <w:p w:rsidR="003A4649" w:rsidRPr="00403D25" w:rsidRDefault="003A4649" w:rsidP="00037C22">
      <w:pPr>
        <w:widowControl w:val="0"/>
        <w:autoSpaceDE w:val="0"/>
        <w:autoSpaceDN w:val="0"/>
        <w:adjustRightInd w:val="0"/>
        <w:rPr>
          <w:rFonts w:ascii="Arial" w:hAnsi="Arial" w:cs="Arial"/>
          <w:sz w:val="20"/>
          <w:szCs w:val="20"/>
        </w:rPr>
      </w:pPr>
    </w:p>
    <w:p w:rsidR="003A4649" w:rsidRPr="00403D25" w:rsidRDefault="003A4649" w:rsidP="00037C22">
      <w:pPr>
        <w:widowControl w:val="0"/>
        <w:autoSpaceDE w:val="0"/>
        <w:autoSpaceDN w:val="0"/>
        <w:adjustRightInd w:val="0"/>
        <w:rPr>
          <w:rFonts w:ascii="Arial" w:hAnsi="Arial" w:cs="Arial"/>
          <w:sz w:val="20"/>
          <w:szCs w:val="20"/>
        </w:rPr>
      </w:pPr>
    </w:p>
    <w:p w:rsidR="003A4649" w:rsidRPr="00403D25" w:rsidRDefault="003A4649" w:rsidP="00037C22">
      <w:pPr>
        <w:widowControl w:val="0"/>
        <w:autoSpaceDE w:val="0"/>
        <w:autoSpaceDN w:val="0"/>
        <w:adjustRightInd w:val="0"/>
        <w:rPr>
          <w:rFonts w:ascii="Arial" w:hAnsi="Arial" w:cs="Arial"/>
          <w:sz w:val="20"/>
          <w:szCs w:val="20"/>
        </w:rPr>
      </w:pPr>
    </w:p>
    <w:p w:rsidR="000724F8" w:rsidRPr="00403D25" w:rsidRDefault="000724F8" w:rsidP="000724F8">
      <w:pPr>
        <w:pStyle w:val="Kop2"/>
        <w:tabs>
          <w:tab w:val="left" w:pos="5293"/>
        </w:tabs>
        <w:rPr>
          <w:rFonts w:ascii="Verdana" w:hAnsi="Verdana"/>
          <w:sz w:val="18"/>
          <w:szCs w:val="18"/>
        </w:rPr>
      </w:pPr>
      <w:r w:rsidRPr="00403D25">
        <w:rPr>
          <w:sz w:val="20"/>
          <w:szCs w:val="20"/>
        </w:rPr>
        <w:br w:type="page"/>
      </w:r>
      <w:r w:rsidRPr="00403D25">
        <w:rPr>
          <w:rFonts w:ascii="Verdana" w:hAnsi="Verdana" w:cs="Times New Roman"/>
          <w:i w:val="0"/>
          <w:sz w:val="18"/>
          <w:szCs w:val="18"/>
        </w:rPr>
        <w:lastRenderedPageBreak/>
        <w:t>B) BEGROTINGSTOELICHTING</w:t>
      </w:r>
    </w:p>
    <w:p w:rsidR="000724F8" w:rsidRPr="00403D25" w:rsidRDefault="000724F8" w:rsidP="00AD59E9">
      <w:pPr>
        <w:widowControl w:val="0"/>
        <w:autoSpaceDE w:val="0"/>
        <w:autoSpaceDN w:val="0"/>
        <w:adjustRightInd w:val="0"/>
        <w:rPr>
          <w:rFonts w:ascii="Arial" w:hAnsi="Arial" w:cs="Arial"/>
        </w:rPr>
      </w:pPr>
    </w:p>
    <w:p w:rsidR="00163471" w:rsidRPr="00403D25" w:rsidRDefault="00163471" w:rsidP="00163471">
      <w:pPr>
        <w:pStyle w:val="Lijstalinea"/>
        <w:widowControl w:val="0"/>
        <w:numPr>
          <w:ilvl w:val="0"/>
          <w:numId w:val="10"/>
        </w:numPr>
        <w:autoSpaceDE w:val="0"/>
        <w:autoSpaceDN w:val="0"/>
        <w:adjustRightInd w:val="0"/>
        <w:spacing w:line="276" w:lineRule="auto"/>
        <w:rPr>
          <w:rFonts w:ascii="Verdana" w:hAnsi="Verdana"/>
          <w:b/>
          <w:sz w:val="18"/>
          <w:szCs w:val="18"/>
        </w:rPr>
      </w:pPr>
      <w:r w:rsidRPr="00403D25">
        <w:rPr>
          <w:rFonts w:ascii="Verdana" w:hAnsi="Verdana"/>
          <w:b/>
          <w:sz w:val="18"/>
          <w:szCs w:val="18"/>
        </w:rPr>
        <w:t>Voorstel van Wet</w:t>
      </w:r>
    </w:p>
    <w:p w:rsidR="00163471" w:rsidRPr="00403D25" w:rsidRDefault="00EA2DA4" w:rsidP="00163471">
      <w:pPr>
        <w:widowControl w:val="0"/>
        <w:autoSpaceDE w:val="0"/>
        <w:autoSpaceDN w:val="0"/>
        <w:adjustRightInd w:val="0"/>
        <w:rPr>
          <w:rFonts w:ascii="Verdana" w:hAnsi="Verdana"/>
          <w:b/>
          <w:iCs/>
          <w:sz w:val="18"/>
          <w:szCs w:val="18"/>
        </w:rPr>
      </w:pPr>
      <w:r w:rsidRPr="00403D25">
        <w:rPr>
          <w:rFonts w:ascii="Verdana" w:hAnsi="Verdana"/>
          <w:sz w:val="18"/>
          <w:szCs w:val="18"/>
        </w:rPr>
        <w:t>Het</w:t>
      </w:r>
      <w:r w:rsidR="00163471" w:rsidRPr="00403D25">
        <w:rPr>
          <w:rFonts w:ascii="Verdana" w:hAnsi="Verdana"/>
          <w:sz w:val="18"/>
          <w:szCs w:val="18"/>
        </w:rPr>
        <w:t xml:space="preserve"> onderhavige wetsvoorstel </w:t>
      </w:r>
      <w:r w:rsidRPr="00403D25">
        <w:rPr>
          <w:rFonts w:ascii="Verdana" w:hAnsi="Verdana"/>
          <w:sz w:val="18"/>
          <w:szCs w:val="18"/>
        </w:rPr>
        <w:t>leidt tot</w:t>
      </w:r>
      <w:r w:rsidR="004E279B">
        <w:rPr>
          <w:rFonts w:ascii="Verdana" w:hAnsi="Verdana"/>
          <w:sz w:val="18"/>
          <w:szCs w:val="18"/>
        </w:rPr>
        <w:t xml:space="preserve"> een opwaartse bijstelling</w:t>
      </w:r>
      <w:r w:rsidR="00163471" w:rsidRPr="00403D25">
        <w:rPr>
          <w:rFonts w:ascii="Verdana" w:hAnsi="Verdana"/>
          <w:sz w:val="18"/>
          <w:szCs w:val="18"/>
        </w:rPr>
        <w:t xml:space="preserve"> </w:t>
      </w:r>
      <w:r w:rsidRPr="00403D25">
        <w:rPr>
          <w:rFonts w:ascii="Verdana" w:hAnsi="Verdana"/>
          <w:sz w:val="18"/>
          <w:szCs w:val="18"/>
        </w:rPr>
        <w:t>op</w:t>
      </w:r>
      <w:r w:rsidR="00163471" w:rsidRPr="00403D25">
        <w:rPr>
          <w:rFonts w:ascii="Verdana" w:hAnsi="Verdana"/>
          <w:sz w:val="18"/>
          <w:szCs w:val="18"/>
        </w:rPr>
        <w:t xml:space="preserve"> de begroting 201</w:t>
      </w:r>
      <w:r w:rsidR="0014788F" w:rsidRPr="00403D25">
        <w:rPr>
          <w:rFonts w:ascii="Verdana" w:hAnsi="Verdana"/>
          <w:sz w:val="18"/>
          <w:szCs w:val="18"/>
        </w:rPr>
        <w:t>5</w:t>
      </w:r>
      <w:r w:rsidR="00163471" w:rsidRPr="00403D25">
        <w:rPr>
          <w:rFonts w:ascii="Verdana" w:hAnsi="Verdana"/>
          <w:sz w:val="18"/>
          <w:szCs w:val="18"/>
        </w:rPr>
        <w:t xml:space="preserve"> van Buitenlandse Zaken (V) </w:t>
      </w:r>
      <w:r w:rsidRPr="00403D25">
        <w:rPr>
          <w:rFonts w:ascii="Verdana" w:hAnsi="Verdana"/>
          <w:sz w:val="18"/>
          <w:szCs w:val="18"/>
        </w:rPr>
        <w:t>van</w:t>
      </w:r>
      <w:r w:rsidR="00163471" w:rsidRPr="00403D25">
        <w:rPr>
          <w:rFonts w:ascii="Verdana" w:hAnsi="Verdana"/>
          <w:sz w:val="18"/>
          <w:szCs w:val="18"/>
        </w:rPr>
        <w:t xml:space="preserve"> EUR</w:t>
      </w:r>
      <w:r w:rsidR="00FC5260" w:rsidRPr="00403D25">
        <w:rPr>
          <w:rFonts w:ascii="Verdana" w:hAnsi="Verdana"/>
          <w:sz w:val="18"/>
          <w:szCs w:val="18"/>
        </w:rPr>
        <w:t xml:space="preserve"> 1,</w:t>
      </w:r>
      <w:r w:rsidR="00AF4926" w:rsidRPr="00403D25">
        <w:rPr>
          <w:rFonts w:ascii="Verdana" w:hAnsi="Verdana"/>
          <w:sz w:val="18"/>
          <w:szCs w:val="18"/>
        </w:rPr>
        <w:t>44</w:t>
      </w:r>
      <w:r w:rsidR="00FC5260" w:rsidRPr="00403D25">
        <w:rPr>
          <w:rFonts w:ascii="Verdana" w:hAnsi="Verdana"/>
          <w:sz w:val="18"/>
          <w:szCs w:val="18"/>
        </w:rPr>
        <w:t xml:space="preserve"> miljard</w:t>
      </w:r>
      <w:r w:rsidR="004A3990" w:rsidRPr="00403D25">
        <w:rPr>
          <w:rFonts w:ascii="Verdana" w:hAnsi="Verdana"/>
          <w:sz w:val="18"/>
          <w:szCs w:val="18"/>
        </w:rPr>
        <w:t xml:space="preserve"> </w:t>
      </w:r>
      <w:r w:rsidR="004E279B">
        <w:rPr>
          <w:rFonts w:ascii="Verdana" w:hAnsi="Verdana"/>
          <w:sz w:val="18"/>
          <w:szCs w:val="18"/>
        </w:rPr>
        <w:t xml:space="preserve">door met name de vertraagde ratificatie van het Eigen Middelenbesluit. Dat leidt tot een verschuiving van ontvangsten </w:t>
      </w:r>
      <w:r w:rsidR="00391EE0">
        <w:rPr>
          <w:rFonts w:ascii="Verdana" w:hAnsi="Verdana"/>
          <w:sz w:val="18"/>
          <w:szCs w:val="18"/>
        </w:rPr>
        <w:t xml:space="preserve">van 2015 </w:t>
      </w:r>
      <w:r w:rsidR="004E279B">
        <w:rPr>
          <w:rFonts w:ascii="Verdana" w:hAnsi="Verdana"/>
          <w:sz w:val="18"/>
          <w:szCs w:val="18"/>
        </w:rPr>
        <w:t xml:space="preserve">naar 2016. Daarnaast is sprake van </w:t>
      </w:r>
      <w:r w:rsidRPr="00403D25">
        <w:rPr>
          <w:rFonts w:ascii="Verdana" w:hAnsi="Verdana"/>
          <w:sz w:val="18"/>
          <w:szCs w:val="18"/>
        </w:rPr>
        <w:t>additionele</w:t>
      </w:r>
      <w:r w:rsidR="00B11103" w:rsidRPr="00403D25">
        <w:rPr>
          <w:rFonts w:ascii="Verdana" w:hAnsi="Verdana"/>
          <w:sz w:val="18"/>
          <w:szCs w:val="18"/>
        </w:rPr>
        <w:t xml:space="preserve"> </w:t>
      </w:r>
      <w:r w:rsidR="004A3990" w:rsidRPr="00403D25">
        <w:rPr>
          <w:rFonts w:ascii="Verdana" w:hAnsi="Verdana"/>
          <w:sz w:val="18"/>
          <w:szCs w:val="18"/>
        </w:rPr>
        <w:t>ontvangsten</w:t>
      </w:r>
      <w:r w:rsidRPr="00403D25">
        <w:rPr>
          <w:rFonts w:ascii="Verdana" w:hAnsi="Verdana"/>
          <w:sz w:val="18"/>
          <w:szCs w:val="18"/>
        </w:rPr>
        <w:t xml:space="preserve"> van</w:t>
      </w:r>
      <w:r w:rsidR="004A3990" w:rsidRPr="00403D25">
        <w:rPr>
          <w:rFonts w:ascii="Verdana" w:hAnsi="Verdana"/>
          <w:sz w:val="18"/>
          <w:szCs w:val="18"/>
        </w:rPr>
        <w:t xml:space="preserve"> EUR </w:t>
      </w:r>
      <w:r w:rsidR="00AF4926" w:rsidRPr="00403D25">
        <w:rPr>
          <w:rFonts w:ascii="Verdana" w:hAnsi="Verdana"/>
          <w:sz w:val="18"/>
          <w:szCs w:val="18"/>
        </w:rPr>
        <w:t>263</w:t>
      </w:r>
      <w:r w:rsidR="00FC5260" w:rsidRPr="00403D25">
        <w:rPr>
          <w:rFonts w:ascii="Verdana" w:hAnsi="Verdana"/>
          <w:sz w:val="18"/>
          <w:szCs w:val="18"/>
        </w:rPr>
        <w:t xml:space="preserve"> </w:t>
      </w:r>
      <w:r w:rsidR="004A3990" w:rsidRPr="00403D25">
        <w:rPr>
          <w:rFonts w:ascii="Verdana" w:hAnsi="Verdana"/>
          <w:sz w:val="18"/>
          <w:szCs w:val="18"/>
        </w:rPr>
        <w:t>miljoen.</w:t>
      </w:r>
      <w:r w:rsidR="00163471" w:rsidRPr="00403D25">
        <w:rPr>
          <w:rFonts w:ascii="Verdana" w:hAnsi="Verdana"/>
          <w:sz w:val="18"/>
          <w:szCs w:val="18"/>
        </w:rPr>
        <w:t xml:space="preserve"> </w:t>
      </w:r>
    </w:p>
    <w:p w:rsidR="00163471" w:rsidRPr="00403D25" w:rsidRDefault="00163471" w:rsidP="00163471">
      <w:pPr>
        <w:widowControl w:val="0"/>
        <w:autoSpaceDE w:val="0"/>
        <w:autoSpaceDN w:val="0"/>
        <w:adjustRightInd w:val="0"/>
        <w:rPr>
          <w:rFonts w:ascii="Verdana" w:hAnsi="Verdana"/>
          <w:b/>
          <w:iCs/>
          <w:sz w:val="18"/>
          <w:szCs w:val="18"/>
        </w:rPr>
      </w:pPr>
    </w:p>
    <w:p w:rsidR="00FC62D2" w:rsidRPr="00403D25" w:rsidRDefault="00FC62D2" w:rsidP="00FC62D2">
      <w:pPr>
        <w:pStyle w:val="Lijstalinea"/>
        <w:widowControl w:val="0"/>
        <w:numPr>
          <w:ilvl w:val="0"/>
          <w:numId w:val="10"/>
        </w:numPr>
        <w:autoSpaceDE w:val="0"/>
        <w:autoSpaceDN w:val="0"/>
        <w:adjustRightInd w:val="0"/>
        <w:rPr>
          <w:rFonts w:ascii="Verdana" w:hAnsi="Verdana"/>
          <w:b/>
          <w:iCs/>
          <w:sz w:val="18"/>
          <w:szCs w:val="18"/>
        </w:rPr>
      </w:pPr>
      <w:r w:rsidRPr="00403D25">
        <w:rPr>
          <w:rFonts w:ascii="Verdana" w:hAnsi="Verdana"/>
          <w:b/>
          <w:iCs/>
          <w:sz w:val="18"/>
          <w:szCs w:val="18"/>
        </w:rPr>
        <w:t>Leeswijzer</w:t>
      </w:r>
    </w:p>
    <w:p w:rsidR="00FC62D2" w:rsidRPr="00403D25" w:rsidRDefault="00FC62D2" w:rsidP="00FC62D2">
      <w:pPr>
        <w:widowControl w:val="0"/>
        <w:autoSpaceDE w:val="0"/>
        <w:autoSpaceDN w:val="0"/>
        <w:adjustRightInd w:val="0"/>
        <w:rPr>
          <w:rFonts w:ascii="Verdana" w:hAnsi="Verdana"/>
          <w:iCs/>
          <w:sz w:val="18"/>
          <w:szCs w:val="18"/>
        </w:rPr>
      </w:pPr>
    </w:p>
    <w:p w:rsidR="00122A6A" w:rsidRPr="00403D25" w:rsidRDefault="000724F8" w:rsidP="00FC62D2">
      <w:pPr>
        <w:widowControl w:val="0"/>
        <w:autoSpaceDE w:val="0"/>
        <w:autoSpaceDN w:val="0"/>
        <w:adjustRightInd w:val="0"/>
        <w:rPr>
          <w:rFonts w:ascii="Verdana" w:hAnsi="Verdana"/>
          <w:iCs/>
          <w:sz w:val="18"/>
          <w:szCs w:val="18"/>
        </w:rPr>
      </w:pPr>
      <w:r w:rsidRPr="00403D25">
        <w:rPr>
          <w:rFonts w:ascii="Verdana" w:hAnsi="Verdana"/>
          <w:iCs/>
          <w:sz w:val="18"/>
          <w:szCs w:val="18"/>
        </w:rPr>
        <w:t xml:space="preserve">De voorliggende suppletoire begroting bevat de voorgestelde wijzigingen ten opzichte van de </w:t>
      </w:r>
      <w:r w:rsidR="004A3990" w:rsidRPr="00403D25">
        <w:rPr>
          <w:rFonts w:ascii="Verdana" w:hAnsi="Verdana"/>
          <w:iCs/>
          <w:sz w:val="18"/>
          <w:szCs w:val="18"/>
        </w:rPr>
        <w:t>Ontwerpb</w:t>
      </w:r>
      <w:r w:rsidR="003A4649" w:rsidRPr="00403D25">
        <w:rPr>
          <w:rFonts w:ascii="Verdana" w:hAnsi="Verdana"/>
          <w:iCs/>
          <w:sz w:val="18"/>
          <w:szCs w:val="18"/>
        </w:rPr>
        <w:t>egroting</w:t>
      </w:r>
      <w:r w:rsidRPr="00403D25">
        <w:rPr>
          <w:rFonts w:ascii="Verdana" w:hAnsi="Verdana"/>
          <w:iCs/>
          <w:sz w:val="18"/>
          <w:szCs w:val="18"/>
        </w:rPr>
        <w:t xml:space="preserve"> 201</w:t>
      </w:r>
      <w:r w:rsidR="0014788F" w:rsidRPr="00403D25">
        <w:rPr>
          <w:rFonts w:ascii="Verdana" w:hAnsi="Verdana"/>
          <w:iCs/>
          <w:sz w:val="18"/>
          <w:szCs w:val="18"/>
        </w:rPr>
        <w:t>5</w:t>
      </w:r>
      <w:r w:rsidR="00833FAC" w:rsidRPr="00403D25">
        <w:rPr>
          <w:rFonts w:ascii="Verdana" w:hAnsi="Verdana"/>
          <w:iCs/>
          <w:sz w:val="18"/>
          <w:szCs w:val="18"/>
        </w:rPr>
        <w:t xml:space="preserve"> van hoofdstuk V van de begroting van het Rijk. </w:t>
      </w:r>
    </w:p>
    <w:p w:rsidR="00165EA7" w:rsidRPr="00403D25" w:rsidRDefault="00165EA7" w:rsidP="00833FAC">
      <w:pPr>
        <w:widowControl w:val="0"/>
        <w:autoSpaceDE w:val="0"/>
        <w:autoSpaceDN w:val="0"/>
        <w:adjustRightInd w:val="0"/>
        <w:rPr>
          <w:rFonts w:ascii="Verdana" w:hAnsi="Verdana"/>
          <w:iCs/>
          <w:sz w:val="18"/>
          <w:szCs w:val="18"/>
        </w:rPr>
      </w:pPr>
    </w:p>
    <w:p w:rsidR="00165EA7" w:rsidRPr="00403D25" w:rsidRDefault="00037C22" w:rsidP="00833FAC">
      <w:pPr>
        <w:widowControl w:val="0"/>
        <w:autoSpaceDE w:val="0"/>
        <w:autoSpaceDN w:val="0"/>
        <w:adjustRightInd w:val="0"/>
        <w:rPr>
          <w:rFonts w:ascii="Verdana" w:hAnsi="Verdana"/>
          <w:iCs/>
          <w:sz w:val="18"/>
          <w:szCs w:val="18"/>
        </w:rPr>
      </w:pPr>
      <w:r w:rsidRPr="00403D25">
        <w:rPr>
          <w:rFonts w:ascii="Verdana" w:hAnsi="Verdana"/>
          <w:iCs/>
          <w:sz w:val="18"/>
          <w:szCs w:val="18"/>
        </w:rPr>
        <w:t xml:space="preserve">In de toelichting worden </w:t>
      </w:r>
      <w:r w:rsidR="00F2587D" w:rsidRPr="00403D25">
        <w:rPr>
          <w:rFonts w:ascii="Verdana" w:hAnsi="Verdana"/>
          <w:iCs/>
          <w:sz w:val="18"/>
          <w:szCs w:val="18"/>
        </w:rPr>
        <w:t>de wijzigingen welke zijn opgetreden in de omvang van de HGIS en de belangrijkste mutaties</w:t>
      </w:r>
      <w:r w:rsidR="00F87B7C" w:rsidRPr="00403D25">
        <w:rPr>
          <w:rFonts w:ascii="Verdana" w:hAnsi="Verdana"/>
          <w:iCs/>
          <w:sz w:val="18"/>
          <w:szCs w:val="18"/>
        </w:rPr>
        <w:t xml:space="preserve"> op de begroting van Buitenlandse Zaken</w:t>
      </w:r>
      <w:r w:rsidRPr="00403D25">
        <w:rPr>
          <w:rFonts w:ascii="Verdana" w:hAnsi="Verdana"/>
          <w:iCs/>
          <w:sz w:val="18"/>
          <w:szCs w:val="18"/>
        </w:rPr>
        <w:t xml:space="preserve"> toegelicht</w:t>
      </w:r>
      <w:r w:rsidR="002811DE" w:rsidRPr="00403D25">
        <w:rPr>
          <w:rFonts w:ascii="Verdana" w:hAnsi="Verdana"/>
          <w:iCs/>
          <w:sz w:val="18"/>
          <w:szCs w:val="18"/>
        </w:rPr>
        <w:t xml:space="preserve">. </w:t>
      </w:r>
      <w:r w:rsidR="00F2587D" w:rsidRPr="00403D25">
        <w:rPr>
          <w:rFonts w:ascii="Verdana" w:hAnsi="Verdana"/>
          <w:iCs/>
          <w:sz w:val="18"/>
          <w:szCs w:val="18"/>
        </w:rPr>
        <w:t>T</w:t>
      </w:r>
      <w:r w:rsidR="00EB71BD" w:rsidRPr="00403D25">
        <w:rPr>
          <w:rFonts w:ascii="Verdana" w:hAnsi="Verdana"/>
          <w:iCs/>
          <w:sz w:val="18"/>
          <w:szCs w:val="18"/>
        </w:rPr>
        <w:t xml:space="preserve">en slotte volgt per artikel de nieuwe stand en een toelichting op de </w:t>
      </w:r>
      <w:r w:rsidR="0094343F" w:rsidRPr="00403D25">
        <w:rPr>
          <w:rFonts w:ascii="Verdana" w:hAnsi="Verdana"/>
          <w:iCs/>
          <w:sz w:val="18"/>
          <w:szCs w:val="18"/>
        </w:rPr>
        <w:t>opmerkelijke verschillen</w:t>
      </w:r>
      <w:r w:rsidR="00EB71BD" w:rsidRPr="00403D25">
        <w:rPr>
          <w:rFonts w:ascii="Verdana" w:hAnsi="Verdana"/>
          <w:iCs/>
          <w:sz w:val="18"/>
          <w:szCs w:val="18"/>
        </w:rPr>
        <w:t xml:space="preserve">. </w:t>
      </w:r>
    </w:p>
    <w:p w:rsidR="00FD06C8" w:rsidRPr="00403D25" w:rsidRDefault="00FD06C8" w:rsidP="00833FAC">
      <w:pPr>
        <w:widowControl w:val="0"/>
        <w:autoSpaceDE w:val="0"/>
        <w:autoSpaceDN w:val="0"/>
        <w:adjustRightInd w:val="0"/>
        <w:rPr>
          <w:rFonts w:ascii="Verdana" w:hAnsi="Verdana"/>
          <w:iCs/>
          <w:sz w:val="18"/>
          <w:szCs w:val="18"/>
        </w:rPr>
      </w:pPr>
    </w:p>
    <w:p w:rsidR="00FD06C8" w:rsidRPr="00403D25" w:rsidRDefault="002358F5" w:rsidP="00833FAC">
      <w:pPr>
        <w:widowControl w:val="0"/>
        <w:autoSpaceDE w:val="0"/>
        <w:autoSpaceDN w:val="0"/>
        <w:adjustRightInd w:val="0"/>
        <w:rPr>
          <w:rFonts w:ascii="Verdana" w:hAnsi="Verdana" w:cs="Arial"/>
          <w:sz w:val="18"/>
          <w:szCs w:val="18"/>
        </w:rPr>
      </w:pPr>
      <w:r w:rsidRPr="00403D25">
        <w:rPr>
          <w:rFonts w:ascii="Verdana" w:hAnsi="Verdana" w:cs="Arial"/>
          <w:sz w:val="18"/>
          <w:szCs w:val="18"/>
        </w:rPr>
        <w:t xml:space="preserve">Per artikel is een tabel opgenomen met de mutaties. </w:t>
      </w:r>
      <w:r w:rsidR="00BE21F4" w:rsidRPr="00403D25">
        <w:rPr>
          <w:rFonts w:ascii="Verdana" w:hAnsi="Verdana" w:cs="Arial"/>
          <w:sz w:val="18"/>
          <w:szCs w:val="18"/>
        </w:rPr>
        <w:t>De toelichting per beleidsartikel heeft betrekking op de kolom mutaties suppletoire begroting.</w:t>
      </w:r>
      <w:r w:rsidR="005F6994" w:rsidRPr="00403D25">
        <w:rPr>
          <w:rFonts w:ascii="Verdana" w:hAnsi="Verdana" w:cs="Arial"/>
          <w:sz w:val="18"/>
          <w:szCs w:val="18"/>
        </w:rPr>
        <w:t xml:space="preserve"> </w:t>
      </w:r>
      <w:r w:rsidR="00A51F92" w:rsidRPr="00403D25">
        <w:rPr>
          <w:rFonts w:ascii="Verdana" w:eastAsia="Calibri" w:hAnsi="Verdana"/>
          <w:sz w:val="18"/>
          <w:szCs w:val="18"/>
        </w:rPr>
        <w:t>Het aantal activiteiten en het aantal financiële instrumenten van het ministerie van Buitenlandse Zaken inclusief het postennet is aanzienlijk. Dat betekent dat er in sommige gevallen geen uitputtende opsomming is van de financiële instrumenten per artikelonderdeel.</w:t>
      </w:r>
    </w:p>
    <w:p w:rsidR="00900EC1" w:rsidRPr="00403D25" w:rsidRDefault="00900EC1" w:rsidP="00833FAC">
      <w:pPr>
        <w:widowControl w:val="0"/>
        <w:autoSpaceDE w:val="0"/>
        <w:autoSpaceDN w:val="0"/>
        <w:adjustRightInd w:val="0"/>
        <w:rPr>
          <w:rFonts w:ascii="Verdana" w:hAnsi="Verdana" w:cs="Arial"/>
          <w:sz w:val="18"/>
          <w:szCs w:val="18"/>
        </w:rPr>
      </w:pPr>
    </w:p>
    <w:p w:rsidR="00EC6CAF" w:rsidRPr="00403D25" w:rsidRDefault="00900EC1" w:rsidP="00833FAC">
      <w:pPr>
        <w:widowControl w:val="0"/>
        <w:autoSpaceDE w:val="0"/>
        <w:autoSpaceDN w:val="0"/>
        <w:adjustRightInd w:val="0"/>
        <w:rPr>
          <w:rFonts w:ascii="Verdana" w:hAnsi="Verdana" w:cs="Arial"/>
          <w:sz w:val="18"/>
          <w:szCs w:val="18"/>
        </w:rPr>
      </w:pPr>
      <w:r w:rsidRPr="00403D25">
        <w:rPr>
          <w:rFonts w:ascii="Verdana" w:hAnsi="Verdana" w:cs="Arial"/>
          <w:sz w:val="18"/>
          <w:szCs w:val="18"/>
        </w:rPr>
        <w:t>Conform de Rijksbegrotingsvoorschriften en de Comp</w:t>
      </w:r>
      <w:r w:rsidR="00B50BB3" w:rsidRPr="00403D25">
        <w:rPr>
          <w:rFonts w:ascii="Verdana" w:hAnsi="Verdana" w:cs="Arial"/>
          <w:sz w:val="18"/>
          <w:szCs w:val="18"/>
        </w:rPr>
        <w:t>t</w:t>
      </w:r>
      <w:r w:rsidRPr="00403D25">
        <w:rPr>
          <w:rFonts w:ascii="Verdana" w:hAnsi="Verdana" w:cs="Arial"/>
          <w:sz w:val="18"/>
          <w:szCs w:val="18"/>
        </w:rPr>
        <w:t>abiliteitswet van 20</w:t>
      </w:r>
      <w:r w:rsidR="006E09EE" w:rsidRPr="00403D25">
        <w:rPr>
          <w:rFonts w:ascii="Verdana" w:hAnsi="Verdana" w:cs="Arial"/>
          <w:sz w:val="18"/>
          <w:szCs w:val="18"/>
        </w:rPr>
        <w:t>0</w:t>
      </w:r>
      <w:r w:rsidRPr="00403D25">
        <w:rPr>
          <w:rFonts w:ascii="Verdana" w:hAnsi="Verdana" w:cs="Arial"/>
          <w:sz w:val="18"/>
          <w:szCs w:val="18"/>
        </w:rPr>
        <w:t xml:space="preserve">1 dienen de opmerkelijke verschillen tussen de oorspronkelijke en huidige raming te worden toegelicht. </w:t>
      </w:r>
      <w:r w:rsidR="008514C1" w:rsidRPr="00403D25">
        <w:rPr>
          <w:rFonts w:ascii="Verdana" w:hAnsi="Verdana" w:cs="Arial"/>
          <w:sz w:val="18"/>
          <w:szCs w:val="18"/>
        </w:rPr>
        <w:t>Op uitgavenniveau is v</w:t>
      </w:r>
      <w:r w:rsidRPr="00403D25">
        <w:rPr>
          <w:rFonts w:ascii="Verdana" w:hAnsi="Verdana" w:cs="Arial"/>
          <w:sz w:val="18"/>
          <w:szCs w:val="18"/>
        </w:rPr>
        <w:t xml:space="preserve">oor deze toelichting een norm gehanteerd waarbij voor de beleidsartikelen </w:t>
      </w:r>
      <w:r w:rsidR="00A51F92" w:rsidRPr="00403D25">
        <w:rPr>
          <w:rFonts w:ascii="Verdana" w:hAnsi="Verdana" w:cs="Arial"/>
          <w:sz w:val="18"/>
          <w:szCs w:val="18"/>
        </w:rPr>
        <w:t>1-</w:t>
      </w:r>
      <w:r w:rsidR="004A3990" w:rsidRPr="00403D25">
        <w:rPr>
          <w:rFonts w:ascii="Verdana" w:hAnsi="Verdana" w:cs="Arial"/>
          <w:sz w:val="18"/>
          <w:szCs w:val="18"/>
        </w:rPr>
        <w:t>4</w:t>
      </w:r>
      <w:r w:rsidR="00A51F92" w:rsidRPr="00403D25">
        <w:rPr>
          <w:rFonts w:ascii="Verdana" w:hAnsi="Verdana" w:cs="Arial"/>
          <w:sz w:val="18"/>
          <w:szCs w:val="18"/>
        </w:rPr>
        <w:t xml:space="preserve"> </w:t>
      </w:r>
      <w:r w:rsidRPr="00403D25">
        <w:rPr>
          <w:rFonts w:ascii="Verdana" w:hAnsi="Verdana" w:cs="Arial"/>
          <w:sz w:val="18"/>
          <w:szCs w:val="18"/>
        </w:rPr>
        <w:t>en niet</w:t>
      </w:r>
      <w:r w:rsidR="00E745F4" w:rsidRPr="00403D25">
        <w:rPr>
          <w:rFonts w:ascii="Verdana" w:hAnsi="Verdana" w:cs="Arial"/>
          <w:sz w:val="18"/>
          <w:szCs w:val="18"/>
        </w:rPr>
        <w:t>-</w:t>
      </w:r>
      <w:r w:rsidRPr="00403D25">
        <w:rPr>
          <w:rFonts w:ascii="Verdana" w:hAnsi="Verdana" w:cs="Arial"/>
          <w:sz w:val="18"/>
          <w:szCs w:val="18"/>
        </w:rPr>
        <w:t xml:space="preserve">beleidsartikel </w:t>
      </w:r>
      <w:r w:rsidR="004A3990" w:rsidRPr="00403D25">
        <w:rPr>
          <w:rFonts w:ascii="Verdana" w:hAnsi="Verdana" w:cs="Arial"/>
          <w:sz w:val="18"/>
          <w:szCs w:val="18"/>
        </w:rPr>
        <w:t>6</w:t>
      </w:r>
      <w:r w:rsidRPr="00403D25">
        <w:rPr>
          <w:rFonts w:ascii="Verdana" w:hAnsi="Verdana" w:cs="Arial"/>
          <w:sz w:val="18"/>
          <w:szCs w:val="18"/>
        </w:rPr>
        <w:t xml:space="preserve"> afwijkingen van 10% of meer</w:t>
      </w:r>
      <w:r w:rsidR="006E09EE" w:rsidRPr="00403D25">
        <w:rPr>
          <w:rFonts w:ascii="Verdana" w:hAnsi="Verdana" w:cs="Arial"/>
          <w:sz w:val="18"/>
          <w:szCs w:val="18"/>
        </w:rPr>
        <w:t>, met een minimum van EUR 2 miljoen,</w:t>
      </w:r>
      <w:r w:rsidRPr="00403D25">
        <w:rPr>
          <w:rFonts w:ascii="Verdana" w:hAnsi="Verdana" w:cs="Arial"/>
          <w:sz w:val="18"/>
          <w:szCs w:val="18"/>
        </w:rPr>
        <w:t xml:space="preserve"> ten opzichte van de </w:t>
      </w:r>
      <w:r w:rsidR="00EC6CAF" w:rsidRPr="00403D25">
        <w:rPr>
          <w:rFonts w:ascii="Verdana" w:hAnsi="Verdana" w:cs="Arial"/>
          <w:sz w:val="18"/>
          <w:szCs w:val="18"/>
        </w:rPr>
        <w:t xml:space="preserve">stand van de </w:t>
      </w:r>
      <w:r w:rsidR="00F1010B" w:rsidRPr="00403D25">
        <w:rPr>
          <w:rFonts w:ascii="Verdana" w:hAnsi="Verdana" w:cs="Arial"/>
          <w:sz w:val="18"/>
          <w:szCs w:val="18"/>
        </w:rPr>
        <w:t>Ontwerpbegroting 201</w:t>
      </w:r>
      <w:r w:rsidR="0014788F" w:rsidRPr="00403D25">
        <w:rPr>
          <w:rFonts w:ascii="Verdana" w:hAnsi="Verdana" w:cs="Arial"/>
          <w:sz w:val="18"/>
          <w:szCs w:val="18"/>
        </w:rPr>
        <w:t>5</w:t>
      </w:r>
      <w:r w:rsidR="00EC6CAF" w:rsidRPr="00403D25">
        <w:rPr>
          <w:rFonts w:ascii="Verdana" w:hAnsi="Verdana" w:cs="Arial"/>
          <w:sz w:val="18"/>
          <w:szCs w:val="18"/>
        </w:rPr>
        <w:t xml:space="preserve"> </w:t>
      </w:r>
      <w:r w:rsidR="008514C1" w:rsidRPr="00403D25">
        <w:rPr>
          <w:rFonts w:ascii="Verdana" w:hAnsi="Verdana" w:cs="Arial"/>
          <w:sz w:val="18"/>
          <w:szCs w:val="18"/>
        </w:rPr>
        <w:t xml:space="preserve">op sub-artikel niveau </w:t>
      </w:r>
      <w:r w:rsidRPr="00403D25">
        <w:rPr>
          <w:rFonts w:ascii="Verdana" w:hAnsi="Verdana" w:cs="Arial"/>
          <w:sz w:val="18"/>
          <w:szCs w:val="18"/>
        </w:rPr>
        <w:t xml:space="preserve">zijn opgenomen. Voor niet-beleidsartikel </w:t>
      </w:r>
      <w:r w:rsidR="00F1010B" w:rsidRPr="00403D25">
        <w:rPr>
          <w:rFonts w:ascii="Verdana" w:hAnsi="Verdana" w:cs="Arial"/>
          <w:sz w:val="18"/>
          <w:szCs w:val="18"/>
        </w:rPr>
        <w:t>7</w:t>
      </w:r>
      <w:r w:rsidRPr="00403D25">
        <w:rPr>
          <w:rFonts w:ascii="Verdana" w:hAnsi="Verdana" w:cs="Arial"/>
          <w:sz w:val="18"/>
          <w:szCs w:val="18"/>
        </w:rPr>
        <w:t xml:space="preserve"> is een afwijking van 1% opgenomen. </w:t>
      </w:r>
      <w:r w:rsidR="00495C81" w:rsidRPr="00403D25">
        <w:rPr>
          <w:rFonts w:ascii="Verdana" w:hAnsi="Verdana" w:cs="Arial"/>
          <w:sz w:val="18"/>
          <w:szCs w:val="18"/>
        </w:rPr>
        <w:t xml:space="preserve">Voor </w:t>
      </w:r>
      <w:r w:rsidR="008514C1" w:rsidRPr="00403D25">
        <w:rPr>
          <w:rFonts w:ascii="Verdana" w:hAnsi="Verdana" w:cs="Arial"/>
          <w:sz w:val="18"/>
          <w:szCs w:val="18"/>
        </w:rPr>
        <w:t>verplichtingen wordt de norm van 10% op artikel niveau aangehouden.</w:t>
      </w:r>
      <w:r w:rsidR="00A51F92" w:rsidRPr="00403D25">
        <w:rPr>
          <w:rFonts w:ascii="Verdana" w:hAnsi="Verdana" w:cs="Arial"/>
          <w:sz w:val="18"/>
          <w:szCs w:val="18"/>
        </w:rPr>
        <w:t xml:space="preserve"> </w:t>
      </w:r>
      <w:r w:rsidR="00E41389" w:rsidRPr="00403D25">
        <w:rPr>
          <w:rFonts w:ascii="Verdana" w:hAnsi="Verdana" w:cs="Arial"/>
          <w:sz w:val="18"/>
          <w:szCs w:val="18"/>
        </w:rPr>
        <w:t xml:space="preserve">In afwijking op bovenstaande </w:t>
      </w:r>
      <w:r w:rsidR="000B6E96" w:rsidRPr="00403D25">
        <w:rPr>
          <w:rFonts w:ascii="Verdana" w:hAnsi="Verdana" w:cs="Arial"/>
          <w:sz w:val="18"/>
          <w:szCs w:val="18"/>
        </w:rPr>
        <w:t xml:space="preserve">zijn </w:t>
      </w:r>
      <w:r w:rsidR="00E41389" w:rsidRPr="00403D25">
        <w:rPr>
          <w:rFonts w:ascii="Verdana" w:hAnsi="Verdana" w:cs="Arial"/>
          <w:sz w:val="18"/>
          <w:szCs w:val="18"/>
        </w:rPr>
        <w:t xml:space="preserve">ook </w:t>
      </w:r>
      <w:r w:rsidR="000B6E96" w:rsidRPr="00403D25">
        <w:rPr>
          <w:rFonts w:ascii="Verdana" w:hAnsi="Verdana" w:cs="Arial"/>
          <w:sz w:val="18"/>
          <w:szCs w:val="18"/>
        </w:rPr>
        <w:t>de</w:t>
      </w:r>
      <w:r w:rsidR="00E41389" w:rsidRPr="00403D25">
        <w:rPr>
          <w:rFonts w:ascii="Verdana" w:hAnsi="Verdana" w:cs="Arial"/>
          <w:sz w:val="18"/>
          <w:szCs w:val="18"/>
        </w:rPr>
        <w:t xml:space="preserve"> </w:t>
      </w:r>
      <w:r w:rsidR="00F6528F" w:rsidRPr="00403D25">
        <w:rPr>
          <w:rFonts w:ascii="Verdana" w:hAnsi="Verdana" w:cs="Arial"/>
          <w:sz w:val="18"/>
          <w:szCs w:val="18"/>
        </w:rPr>
        <w:t xml:space="preserve">uitgaven op de </w:t>
      </w:r>
      <w:r w:rsidR="00E41389" w:rsidRPr="00403D25">
        <w:rPr>
          <w:rFonts w:ascii="Verdana" w:hAnsi="Verdana" w:cs="Arial"/>
          <w:sz w:val="18"/>
          <w:szCs w:val="18"/>
        </w:rPr>
        <w:t>artikelonderdel</w:t>
      </w:r>
      <w:r w:rsidR="000B6E96" w:rsidRPr="00403D25">
        <w:rPr>
          <w:rFonts w:ascii="Verdana" w:hAnsi="Verdana" w:cs="Arial"/>
          <w:sz w:val="18"/>
          <w:szCs w:val="18"/>
        </w:rPr>
        <w:t>en</w:t>
      </w:r>
      <w:r w:rsidR="00E41389" w:rsidRPr="00403D25">
        <w:rPr>
          <w:rFonts w:ascii="Verdana" w:hAnsi="Verdana" w:cs="Arial"/>
          <w:sz w:val="18"/>
          <w:szCs w:val="18"/>
        </w:rPr>
        <w:t xml:space="preserve"> bescherming en bevordering van mensenrechten </w:t>
      </w:r>
      <w:r w:rsidR="000B6E96" w:rsidRPr="00403D25">
        <w:rPr>
          <w:rFonts w:ascii="Verdana" w:hAnsi="Verdana" w:cs="Arial"/>
          <w:sz w:val="18"/>
          <w:szCs w:val="18"/>
        </w:rPr>
        <w:t>(art 1.2) en</w:t>
      </w:r>
      <w:r w:rsidR="000B6E96" w:rsidRPr="00403D25">
        <w:rPr>
          <w:rFonts w:ascii="Verdana" w:hAnsi="Verdana"/>
          <w:sz w:val="18"/>
          <w:szCs w:val="18"/>
        </w:rPr>
        <w:t xml:space="preserve"> bevordering van veiligheid, stabiliteit en rechtsorde in internationaal verband</w:t>
      </w:r>
      <w:r w:rsidR="000B6E96" w:rsidRPr="00403D25">
        <w:rPr>
          <w:rFonts w:ascii="Verdana" w:hAnsi="Verdana" w:cs="Arial"/>
          <w:sz w:val="18"/>
          <w:szCs w:val="18"/>
        </w:rPr>
        <w:t xml:space="preserve"> </w:t>
      </w:r>
      <w:r w:rsidR="00800D06" w:rsidRPr="00403D25">
        <w:rPr>
          <w:rFonts w:ascii="Verdana" w:hAnsi="Verdana" w:cs="Arial"/>
          <w:sz w:val="18"/>
          <w:szCs w:val="18"/>
        </w:rPr>
        <w:t xml:space="preserve">(art 2.4) </w:t>
      </w:r>
      <w:r w:rsidR="00E41389" w:rsidRPr="00403D25">
        <w:rPr>
          <w:rFonts w:ascii="Verdana" w:hAnsi="Verdana" w:cs="Arial"/>
          <w:sz w:val="18"/>
          <w:szCs w:val="18"/>
        </w:rPr>
        <w:t>toegelicht</w:t>
      </w:r>
      <w:r w:rsidR="00F6528F" w:rsidRPr="00403D25">
        <w:rPr>
          <w:rFonts w:ascii="Verdana" w:hAnsi="Verdana" w:cs="Arial"/>
          <w:sz w:val="18"/>
          <w:szCs w:val="18"/>
        </w:rPr>
        <w:t xml:space="preserve"> en de verplichtingen op de Europese samenwerking (art. 3)</w:t>
      </w:r>
      <w:r w:rsidR="00E41389" w:rsidRPr="00403D25">
        <w:rPr>
          <w:rFonts w:ascii="Verdana" w:hAnsi="Verdana" w:cs="Arial"/>
          <w:sz w:val="18"/>
          <w:szCs w:val="18"/>
        </w:rPr>
        <w:t xml:space="preserve">. </w:t>
      </w:r>
    </w:p>
    <w:p w:rsidR="004F6F69" w:rsidRPr="00403D25" w:rsidRDefault="004F6F69" w:rsidP="00833FAC">
      <w:pPr>
        <w:widowControl w:val="0"/>
        <w:autoSpaceDE w:val="0"/>
        <w:autoSpaceDN w:val="0"/>
        <w:adjustRightInd w:val="0"/>
        <w:rPr>
          <w:rFonts w:ascii="Verdana" w:hAnsi="Verdana" w:cs="Arial"/>
          <w:sz w:val="18"/>
          <w:szCs w:val="18"/>
        </w:rPr>
      </w:pPr>
    </w:p>
    <w:p w:rsidR="00834074" w:rsidRPr="00403D25" w:rsidRDefault="002F1D5D" w:rsidP="00834074">
      <w:pPr>
        <w:widowControl w:val="0"/>
        <w:autoSpaceDE w:val="0"/>
        <w:autoSpaceDN w:val="0"/>
        <w:adjustRightInd w:val="0"/>
        <w:rPr>
          <w:rFonts w:ascii="Verdana" w:hAnsi="Verdana" w:cs="Arial"/>
          <w:sz w:val="18"/>
          <w:szCs w:val="18"/>
        </w:rPr>
      </w:pPr>
      <w:r w:rsidRPr="00403D25">
        <w:rPr>
          <w:rFonts w:ascii="Verdana" w:hAnsi="Verdana"/>
          <w:sz w:val="18"/>
          <w:szCs w:val="18"/>
        </w:rPr>
        <w:t xml:space="preserve"> </w:t>
      </w:r>
    </w:p>
    <w:p w:rsidR="00D83ECB" w:rsidRPr="00403D25" w:rsidRDefault="00D83ECB" w:rsidP="00833FAC">
      <w:pPr>
        <w:widowControl w:val="0"/>
        <w:autoSpaceDE w:val="0"/>
        <w:autoSpaceDN w:val="0"/>
        <w:adjustRightInd w:val="0"/>
        <w:rPr>
          <w:rFonts w:ascii="Verdana" w:hAnsi="Verdana" w:cs="Arial"/>
          <w:sz w:val="18"/>
          <w:szCs w:val="18"/>
        </w:rPr>
      </w:pPr>
    </w:p>
    <w:p w:rsidR="00C34AE8" w:rsidRPr="00403D25" w:rsidRDefault="00C34AE8" w:rsidP="00C34AE8">
      <w:pPr>
        <w:spacing w:after="200"/>
        <w:rPr>
          <w:rFonts w:ascii="Verdana" w:eastAsiaTheme="minorHAnsi" w:hAnsi="Verdana" w:cstheme="minorBidi"/>
          <w:sz w:val="16"/>
          <w:szCs w:val="16"/>
          <w:lang w:eastAsia="en-US"/>
        </w:rPr>
      </w:pPr>
    </w:p>
    <w:p w:rsidR="00C34AE8" w:rsidRPr="00403D25" w:rsidRDefault="00C34AE8" w:rsidP="00C34AE8">
      <w:pPr>
        <w:spacing w:after="200"/>
        <w:rPr>
          <w:rFonts w:ascii="Verdana" w:eastAsiaTheme="minorHAnsi" w:hAnsi="Verdana" w:cstheme="minorBidi"/>
          <w:sz w:val="16"/>
          <w:szCs w:val="16"/>
          <w:lang w:eastAsia="en-US"/>
        </w:rPr>
      </w:pPr>
    </w:p>
    <w:p w:rsidR="00C34AE8" w:rsidRPr="00403D25" w:rsidRDefault="00C34AE8" w:rsidP="00C34AE8">
      <w:pPr>
        <w:spacing w:after="200"/>
        <w:rPr>
          <w:rFonts w:ascii="Verdana" w:eastAsiaTheme="minorHAnsi" w:hAnsi="Verdana" w:cstheme="minorBidi"/>
          <w:sz w:val="16"/>
          <w:szCs w:val="16"/>
          <w:lang w:eastAsia="en-US"/>
        </w:rPr>
      </w:pPr>
    </w:p>
    <w:p w:rsidR="004754BE" w:rsidRPr="00403D25" w:rsidRDefault="004754BE">
      <w:pPr>
        <w:rPr>
          <w:rFonts w:ascii="Verdana" w:hAnsi="Verdana"/>
          <w:b/>
          <w:sz w:val="18"/>
          <w:szCs w:val="18"/>
        </w:rPr>
      </w:pPr>
      <w:r w:rsidRPr="00403D25">
        <w:rPr>
          <w:rFonts w:ascii="Verdana" w:hAnsi="Verdana"/>
          <w:b/>
          <w:sz w:val="18"/>
          <w:szCs w:val="18"/>
        </w:rPr>
        <w:br w:type="page"/>
      </w:r>
    </w:p>
    <w:p w:rsidR="0088461B" w:rsidRPr="00403D25" w:rsidRDefault="0088461B" w:rsidP="00FC62D2">
      <w:pPr>
        <w:pStyle w:val="Lijstalinea"/>
        <w:numPr>
          <w:ilvl w:val="0"/>
          <w:numId w:val="10"/>
        </w:numPr>
        <w:rPr>
          <w:rFonts w:ascii="Verdana" w:hAnsi="Verdana"/>
          <w:b/>
          <w:sz w:val="18"/>
          <w:szCs w:val="18"/>
        </w:rPr>
      </w:pPr>
      <w:r w:rsidRPr="00403D25">
        <w:rPr>
          <w:rFonts w:ascii="Verdana" w:hAnsi="Verdana"/>
          <w:b/>
          <w:sz w:val="18"/>
          <w:szCs w:val="18"/>
        </w:rPr>
        <w:lastRenderedPageBreak/>
        <w:t>Wijzigingen in de omvang van de HGIS</w:t>
      </w:r>
    </w:p>
    <w:p w:rsidR="0088461B" w:rsidRPr="00403D25" w:rsidRDefault="0088461B" w:rsidP="0088461B">
      <w:pPr>
        <w:rPr>
          <w:rFonts w:ascii="Verdana" w:hAnsi="Verdana"/>
          <w:sz w:val="18"/>
          <w:szCs w:val="18"/>
        </w:rPr>
      </w:pPr>
    </w:p>
    <w:p w:rsidR="00542E23" w:rsidRPr="00403D25" w:rsidRDefault="00542E23" w:rsidP="00542E23">
      <w:pPr>
        <w:rPr>
          <w:rFonts w:ascii="Verdana" w:hAnsi="Verdana"/>
          <w:sz w:val="18"/>
          <w:szCs w:val="18"/>
        </w:rPr>
      </w:pPr>
      <w:r w:rsidRPr="00403D25">
        <w:rPr>
          <w:rFonts w:ascii="Verdana" w:hAnsi="Verdana"/>
          <w:sz w:val="18"/>
          <w:szCs w:val="18"/>
        </w:rPr>
        <w:t>In deze paragraaf wordt geschetst welke wijzigingen zijn opgetreden in de omvang van de HGIS sinds de Miljoenennota 201</w:t>
      </w:r>
      <w:r w:rsidR="008F6F1E" w:rsidRPr="00403D25">
        <w:rPr>
          <w:rFonts w:ascii="Verdana" w:hAnsi="Verdana"/>
          <w:sz w:val="18"/>
          <w:szCs w:val="18"/>
        </w:rPr>
        <w:t>5</w:t>
      </w:r>
      <w:r w:rsidRPr="00403D25">
        <w:rPr>
          <w:rFonts w:ascii="Verdana" w:hAnsi="Verdana"/>
          <w:sz w:val="18"/>
          <w:szCs w:val="18"/>
        </w:rPr>
        <w:t xml:space="preserve">. Zoals uit de hierna volgende tabel blijkt is de HGIS </w:t>
      </w:r>
      <w:r w:rsidR="004B626D" w:rsidRPr="00403D25">
        <w:rPr>
          <w:rFonts w:ascii="Verdana" w:hAnsi="Verdana"/>
          <w:sz w:val="18"/>
          <w:szCs w:val="18"/>
        </w:rPr>
        <w:t xml:space="preserve">voor 2015 </w:t>
      </w:r>
      <w:r w:rsidR="00030468" w:rsidRPr="00403D25">
        <w:rPr>
          <w:rFonts w:ascii="Verdana" w:hAnsi="Verdana"/>
          <w:sz w:val="18"/>
          <w:szCs w:val="18"/>
        </w:rPr>
        <w:t>toegenomen</w:t>
      </w:r>
      <w:r w:rsidRPr="00403D25">
        <w:rPr>
          <w:rFonts w:ascii="Verdana" w:hAnsi="Verdana"/>
          <w:sz w:val="18"/>
          <w:szCs w:val="18"/>
        </w:rPr>
        <w:t xml:space="preserve"> met EUR </w:t>
      </w:r>
      <w:r w:rsidR="00CA5FF5" w:rsidRPr="00403D25">
        <w:rPr>
          <w:rFonts w:ascii="Verdana" w:hAnsi="Verdana"/>
          <w:sz w:val="18"/>
          <w:szCs w:val="18"/>
        </w:rPr>
        <w:t>671,8</w:t>
      </w:r>
      <w:r w:rsidR="004B626D" w:rsidRPr="00403D25">
        <w:rPr>
          <w:rFonts w:ascii="Verdana" w:hAnsi="Verdana"/>
          <w:sz w:val="18"/>
          <w:szCs w:val="18"/>
        </w:rPr>
        <w:t xml:space="preserve"> </w:t>
      </w:r>
      <w:r w:rsidRPr="00403D25">
        <w:rPr>
          <w:rFonts w:ascii="Verdana" w:hAnsi="Verdana"/>
          <w:sz w:val="18"/>
          <w:szCs w:val="18"/>
        </w:rPr>
        <w:t>miljoen.</w:t>
      </w:r>
      <w:r w:rsidR="00FA3B47" w:rsidRPr="00403D25">
        <w:rPr>
          <w:rFonts w:ascii="Verdana" w:hAnsi="Verdana"/>
          <w:sz w:val="18"/>
          <w:szCs w:val="18"/>
        </w:rPr>
        <w:t xml:space="preserve"> </w:t>
      </w:r>
    </w:p>
    <w:p w:rsidR="00542E23" w:rsidRPr="00403D25" w:rsidRDefault="00542E23" w:rsidP="00542E23">
      <w:pPr>
        <w:rPr>
          <w:rFonts w:ascii="Verdana" w:hAnsi="Verdana"/>
          <w:sz w:val="18"/>
          <w:szCs w:val="18"/>
        </w:rPr>
      </w:pPr>
    </w:p>
    <w:tbl>
      <w:tblPr>
        <w:tblW w:w="9040" w:type="dxa"/>
        <w:tblInd w:w="55" w:type="dxa"/>
        <w:tblCellMar>
          <w:left w:w="70" w:type="dxa"/>
          <w:right w:w="70" w:type="dxa"/>
        </w:tblCellMar>
        <w:tblLook w:val="04A0" w:firstRow="1" w:lastRow="0" w:firstColumn="1" w:lastColumn="0" w:noHBand="0" w:noVBand="1"/>
      </w:tblPr>
      <w:tblGrid>
        <w:gridCol w:w="5560"/>
        <w:gridCol w:w="1160"/>
        <w:gridCol w:w="1160"/>
        <w:gridCol w:w="1160"/>
      </w:tblGrid>
      <w:tr w:rsidR="00542E23" w:rsidRPr="00403D25" w:rsidTr="003275D9">
        <w:trPr>
          <w:trHeight w:val="255"/>
        </w:trPr>
        <w:tc>
          <w:tcPr>
            <w:tcW w:w="5560" w:type="dxa"/>
            <w:tcBorders>
              <w:top w:val="single" w:sz="4" w:space="0" w:color="auto"/>
              <w:left w:val="single" w:sz="4" w:space="0" w:color="auto"/>
              <w:bottom w:val="single" w:sz="4" w:space="0" w:color="auto"/>
              <w:right w:val="nil"/>
            </w:tcBorders>
            <w:shd w:val="clear" w:color="auto" w:fill="auto"/>
            <w:noWrap/>
            <w:vAlign w:val="bottom"/>
            <w:hideMark/>
          </w:tcPr>
          <w:p w:rsidR="00542E23" w:rsidRPr="00403D25" w:rsidRDefault="00542E23" w:rsidP="003275D9">
            <w:pPr>
              <w:rPr>
                <w:rFonts w:ascii="Verdana" w:hAnsi="Verdana"/>
                <w:b/>
                <w:bCs/>
                <w:sz w:val="18"/>
                <w:szCs w:val="18"/>
              </w:rPr>
            </w:pPr>
            <w:r w:rsidRPr="00403D25">
              <w:rPr>
                <w:rFonts w:ascii="Verdana" w:hAnsi="Verdana"/>
                <w:b/>
                <w:bCs/>
                <w:sz w:val="18"/>
                <w:szCs w:val="18"/>
              </w:rPr>
              <w:t>Omvang van de HGIS (bedragen x EUR 1 miljoen)</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E23" w:rsidRPr="00403D25" w:rsidRDefault="00542E23" w:rsidP="008F6F1E">
            <w:pPr>
              <w:jc w:val="right"/>
              <w:rPr>
                <w:rFonts w:ascii="Verdana" w:hAnsi="Verdana"/>
                <w:b/>
                <w:bCs/>
                <w:sz w:val="18"/>
                <w:szCs w:val="18"/>
              </w:rPr>
            </w:pPr>
            <w:r w:rsidRPr="00403D25">
              <w:rPr>
                <w:rFonts w:ascii="Verdana" w:hAnsi="Verdana"/>
                <w:b/>
                <w:bCs/>
                <w:sz w:val="18"/>
                <w:szCs w:val="18"/>
              </w:rPr>
              <w:t>MJN 201</w:t>
            </w:r>
            <w:r w:rsidR="008F6F1E" w:rsidRPr="00403D25">
              <w:rPr>
                <w:rFonts w:ascii="Verdana" w:hAnsi="Verdana"/>
                <w:b/>
                <w:bCs/>
                <w:sz w:val="18"/>
                <w:szCs w:val="18"/>
              </w:rPr>
              <w:t>5</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542E23" w:rsidRPr="00403D25" w:rsidRDefault="00542E23" w:rsidP="008F6F1E">
            <w:pPr>
              <w:jc w:val="right"/>
              <w:rPr>
                <w:rFonts w:ascii="Verdana" w:hAnsi="Verdana"/>
                <w:b/>
                <w:bCs/>
                <w:sz w:val="18"/>
                <w:szCs w:val="18"/>
              </w:rPr>
            </w:pPr>
            <w:r w:rsidRPr="00403D25">
              <w:rPr>
                <w:rFonts w:ascii="Verdana" w:hAnsi="Verdana"/>
                <w:b/>
                <w:bCs/>
                <w:sz w:val="18"/>
                <w:szCs w:val="18"/>
              </w:rPr>
              <w:t>VJN 201</w:t>
            </w:r>
            <w:r w:rsidR="008F6F1E" w:rsidRPr="00403D25">
              <w:rPr>
                <w:rFonts w:ascii="Verdana" w:hAnsi="Verdana"/>
                <w:b/>
                <w:bCs/>
                <w:sz w:val="18"/>
                <w:szCs w:val="18"/>
              </w:rPr>
              <w:t>5</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542E23" w:rsidRPr="00403D25" w:rsidRDefault="00542E23" w:rsidP="003275D9">
            <w:pPr>
              <w:jc w:val="right"/>
              <w:rPr>
                <w:rFonts w:ascii="Verdana" w:hAnsi="Verdana"/>
                <w:b/>
                <w:bCs/>
                <w:sz w:val="18"/>
                <w:szCs w:val="18"/>
              </w:rPr>
            </w:pPr>
            <w:r w:rsidRPr="00403D25">
              <w:rPr>
                <w:rFonts w:ascii="Verdana" w:hAnsi="Verdana"/>
                <w:b/>
                <w:bCs/>
                <w:sz w:val="18"/>
                <w:szCs w:val="18"/>
              </w:rPr>
              <w:t>Mutatie</w:t>
            </w:r>
          </w:p>
        </w:tc>
      </w:tr>
      <w:tr w:rsidR="00542E23" w:rsidRPr="00403D25" w:rsidTr="003275D9">
        <w:trPr>
          <w:trHeight w:val="255"/>
        </w:trPr>
        <w:tc>
          <w:tcPr>
            <w:tcW w:w="5560" w:type="dxa"/>
            <w:tcBorders>
              <w:top w:val="nil"/>
              <w:left w:val="single" w:sz="4" w:space="0" w:color="auto"/>
              <w:bottom w:val="nil"/>
              <w:right w:val="nil"/>
            </w:tcBorders>
            <w:shd w:val="clear" w:color="auto" w:fill="auto"/>
            <w:noWrap/>
            <w:vAlign w:val="bottom"/>
            <w:hideMark/>
          </w:tcPr>
          <w:p w:rsidR="00542E23" w:rsidRPr="00403D25" w:rsidRDefault="00542E23" w:rsidP="003275D9">
            <w:pPr>
              <w:rPr>
                <w:rFonts w:ascii="Verdana" w:hAnsi="Verdana"/>
                <w:sz w:val="18"/>
                <w:szCs w:val="18"/>
              </w:rPr>
            </w:pPr>
            <w:r w:rsidRPr="00403D25">
              <w:rPr>
                <w:rFonts w:ascii="Verdana" w:hAnsi="Verdana"/>
                <w:sz w:val="18"/>
                <w:szCs w:val="18"/>
              </w:rPr>
              <w:t>HGIS-uitgaven</w:t>
            </w:r>
          </w:p>
        </w:tc>
        <w:tc>
          <w:tcPr>
            <w:tcW w:w="1160" w:type="dxa"/>
            <w:tcBorders>
              <w:top w:val="nil"/>
              <w:left w:val="single" w:sz="4" w:space="0" w:color="auto"/>
              <w:bottom w:val="nil"/>
              <w:right w:val="single" w:sz="4" w:space="0" w:color="auto"/>
            </w:tcBorders>
            <w:shd w:val="clear" w:color="auto" w:fill="auto"/>
            <w:noWrap/>
            <w:vAlign w:val="bottom"/>
            <w:hideMark/>
          </w:tcPr>
          <w:p w:rsidR="00542E23" w:rsidRPr="00403D25" w:rsidRDefault="008F6F1E" w:rsidP="00F94A54">
            <w:pPr>
              <w:jc w:val="right"/>
              <w:rPr>
                <w:rFonts w:ascii="Verdana" w:hAnsi="Verdana"/>
                <w:sz w:val="18"/>
                <w:szCs w:val="18"/>
              </w:rPr>
            </w:pPr>
            <w:r w:rsidRPr="00403D25">
              <w:rPr>
                <w:rFonts w:ascii="Verdana" w:hAnsi="Verdana"/>
                <w:sz w:val="18"/>
                <w:szCs w:val="18"/>
              </w:rPr>
              <w:t>5.349,3</w:t>
            </w:r>
          </w:p>
        </w:tc>
        <w:tc>
          <w:tcPr>
            <w:tcW w:w="1160" w:type="dxa"/>
            <w:tcBorders>
              <w:top w:val="nil"/>
              <w:left w:val="nil"/>
              <w:bottom w:val="nil"/>
              <w:right w:val="single" w:sz="4" w:space="0" w:color="auto"/>
            </w:tcBorders>
            <w:shd w:val="clear" w:color="auto" w:fill="auto"/>
            <w:noWrap/>
            <w:vAlign w:val="bottom"/>
            <w:hideMark/>
          </w:tcPr>
          <w:p w:rsidR="00542E23" w:rsidRPr="00403D25" w:rsidRDefault="00EF6D90" w:rsidP="00A14C9B">
            <w:pPr>
              <w:jc w:val="right"/>
              <w:rPr>
                <w:rFonts w:ascii="Verdana" w:hAnsi="Verdana"/>
                <w:sz w:val="18"/>
                <w:szCs w:val="18"/>
              </w:rPr>
            </w:pPr>
            <w:r w:rsidRPr="00403D25">
              <w:rPr>
                <w:rFonts w:ascii="Verdana" w:hAnsi="Verdana"/>
                <w:sz w:val="18"/>
                <w:szCs w:val="18"/>
              </w:rPr>
              <w:t>6.</w:t>
            </w:r>
            <w:r w:rsidR="00A14C9B" w:rsidRPr="00403D25">
              <w:rPr>
                <w:rFonts w:ascii="Verdana" w:hAnsi="Verdana"/>
                <w:sz w:val="18"/>
                <w:szCs w:val="18"/>
              </w:rPr>
              <w:t>024,1</w:t>
            </w:r>
          </w:p>
        </w:tc>
        <w:tc>
          <w:tcPr>
            <w:tcW w:w="1160" w:type="dxa"/>
            <w:tcBorders>
              <w:top w:val="nil"/>
              <w:left w:val="nil"/>
              <w:bottom w:val="nil"/>
              <w:right w:val="single" w:sz="4" w:space="0" w:color="auto"/>
            </w:tcBorders>
            <w:shd w:val="clear" w:color="auto" w:fill="auto"/>
            <w:noWrap/>
            <w:vAlign w:val="bottom"/>
            <w:hideMark/>
          </w:tcPr>
          <w:p w:rsidR="00542E23" w:rsidRPr="00403D25" w:rsidRDefault="00A14C9B" w:rsidP="00785234">
            <w:pPr>
              <w:jc w:val="right"/>
              <w:rPr>
                <w:rFonts w:ascii="Verdana" w:hAnsi="Verdana"/>
                <w:sz w:val="18"/>
                <w:szCs w:val="18"/>
              </w:rPr>
            </w:pPr>
            <w:r w:rsidRPr="00403D25">
              <w:rPr>
                <w:rFonts w:ascii="Verdana" w:hAnsi="Verdana"/>
                <w:sz w:val="18"/>
                <w:szCs w:val="18"/>
              </w:rPr>
              <w:t>674,8</w:t>
            </w:r>
          </w:p>
        </w:tc>
      </w:tr>
      <w:tr w:rsidR="00542E23" w:rsidRPr="00403D25" w:rsidTr="003275D9">
        <w:trPr>
          <w:trHeight w:val="255"/>
        </w:trPr>
        <w:tc>
          <w:tcPr>
            <w:tcW w:w="5560" w:type="dxa"/>
            <w:tcBorders>
              <w:top w:val="nil"/>
              <w:left w:val="single" w:sz="4" w:space="0" w:color="auto"/>
              <w:bottom w:val="nil"/>
              <w:right w:val="nil"/>
            </w:tcBorders>
            <w:shd w:val="clear" w:color="auto" w:fill="auto"/>
            <w:noWrap/>
            <w:vAlign w:val="bottom"/>
            <w:hideMark/>
          </w:tcPr>
          <w:p w:rsidR="00542E23" w:rsidRPr="00403D25" w:rsidRDefault="00542E23" w:rsidP="003275D9">
            <w:pPr>
              <w:rPr>
                <w:rFonts w:ascii="Verdana" w:hAnsi="Verdana"/>
                <w:sz w:val="18"/>
                <w:szCs w:val="18"/>
              </w:rPr>
            </w:pPr>
            <w:r w:rsidRPr="00403D25">
              <w:rPr>
                <w:rFonts w:ascii="Verdana" w:hAnsi="Verdana"/>
                <w:sz w:val="18"/>
                <w:szCs w:val="18"/>
              </w:rPr>
              <w:t>HGIS-ontvangsten</w:t>
            </w:r>
          </w:p>
        </w:tc>
        <w:tc>
          <w:tcPr>
            <w:tcW w:w="1160" w:type="dxa"/>
            <w:tcBorders>
              <w:top w:val="nil"/>
              <w:left w:val="single" w:sz="4" w:space="0" w:color="auto"/>
              <w:bottom w:val="nil"/>
              <w:right w:val="single" w:sz="4" w:space="0" w:color="auto"/>
            </w:tcBorders>
            <w:shd w:val="clear" w:color="auto" w:fill="auto"/>
            <w:noWrap/>
            <w:vAlign w:val="bottom"/>
            <w:hideMark/>
          </w:tcPr>
          <w:p w:rsidR="00542E23" w:rsidRPr="00403D25" w:rsidRDefault="008F6F1E" w:rsidP="00F94A54">
            <w:pPr>
              <w:jc w:val="right"/>
              <w:rPr>
                <w:rFonts w:ascii="Verdana" w:hAnsi="Verdana"/>
                <w:sz w:val="18"/>
                <w:szCs w:val="18"/>
              </w:rPr>
            </w:pPr>
            <w:r w:rsidRPr="00403D25">
              <w:rPr>
                <w:rFonts w:ascii="Verdana" w:hAnsi="Verdana"/>
                <w:sz w:val="18"/>
                <w:szCs w:val="18"/>
              </w:rPr>
              <w:t>130,2</w:t>
            </w:r>
          </w:p>
        </w:tc>
        <w:tc>
          <w:tcPr>
            <w:tcW w:w="1160" w:type="dxa"/>
            <w:tcBorders>
              <w:top w:val="nil"/>
              <w:left w:val="nil"/>
              <w:bottom w:val="nil"/>
              <w:right w:val="single" w:sz="4" w:space="0" w:color="auto"/>
            </w:tcBorders>
            <w:shd w:val="clear" w:color="auto" w:fill="auto"/>
            <w:noWrap/>
            <w:vAlign w:val="bottom"/>
            <w:hideMark/>
          </w:tcPr>
          <w:p w:rsidR="00542E23" w:rsidRPr="00403D25" w:rsidRDefault="008F6F1E" w:rsidP="004B626D">
            <w:pPr>
              <w:jc w:val="right"/>
              <w:rPr>
                <w:rFonts w:ascii="Verdana" w:hAnsi="Verdana"/>
                <w:sz w:val="18"/>
                <w:szCs w:val="18"/>
              </w:rPr>
            </w:pPr>
            <w:r w:rsidRPr="00403D25">
              <w:rPr>
                <w:rFonts w:ascii="Verdana" w:hAnsi="Verdana"/>
                <w:sz w:val="18"/>
                <w:szCs w:val="18"/>
              </w:rPr>
              <w:t>13</w:t>
            </w:r>
            <w:r w:rsidR="004B626D" w:rsidRPr="00403D25">
              <w:rPr>
                <w:rFonts w:ascii="Verdana" w:hAnsi="Verdana"/>
                <w:sz w:val="18"/>
                <w:szCs w:val="18"/>
              </w:rPr>
              <w:t>3</w:t>
            </w:r>
            <w:r w:rsidRPr="00403D25">
              <w:rPr>
                <w:rFonts w:ascii="Verdana" w:hAnsi="Verdana"/>
                <w:sz w:val="18"/>
                <w:szCs w:val="18"/>
              </w:rPr>
              <w:t>,2</w:t>
            </w:r>
          </w:p>
        </w:tc>
        <w:tc>
          <w:tcPr>
            <w:tcW w:w="1160" w:type="dxa"/>
            <w:tcBorders>
              <w:top w:val="nil"/>
              <w:left w:val="nil"/>
              <w:bottom w:val="nil"/>
              <w:right w:val="single" w:sz="4" w:space="0" w:color="auto"/>
            </w:tcBorders>
            <w:shd w:val="clear" w:color="auto" w:fill="auto"/>
            <w:noWrap/>
            <w:vAlign w:val="bottom"/>
            <w:hideMark/>
          </w:tcPr>
          <w:p w:rsidR="00542E23" w:rsidRPr="00403D25" w:rsidRDefault="005A4B55" w:rsidP="005A4B55">
            <w:pPr>
              <w:jc w:val="right"/>
              <w:rPr>
                <w:rFonts w:ascii="Verdana" w:hAnsi="Verdana"/>
                <w:sz w:val="18"/>
                <w:szCs w:val="18"/>
              </w:rPr>
            </w:pPr>
            <w:r w:rsidRPr="00403D25">
              <w:rPr>
                <w:rFonts w:ascii="Verdana" w:hAnsi="Verdana"/>
                <w:sz w:val="18"/>
                <w:szCs w:val="18"/>
              </w:rPr>
              <w:t>3</w:t>
            </w:r>
            <w:r w:rsidR="00785234" w:rsidRPr="00403D25">
              <w:rPr>
                <w:rFonts w:ascii="Verdana" w:hAnsi="Verdana"/>
                <w:sz w:val="18"/>
                <w:szCs w:val="18"/>
              </w:rPr>
              <w:t>,</w:t>
            </w:r>
            <w:r w:rsidR="008F6F1E" w:rsidRPr="00403D25">
              <w:rPr>
                <w:rFonts w:ascii="Verdana" w:hAnsi="Verdana"/>
                <w:sz w:val="18"/>
                <w:szCs w:val="18"/>
              </w:rPr>
              <w:t>0</w:t>
            </w:r>
          </w:p>
        </w:tc>
      </w:tr>
      <w:tr w:rsidR="00542E23" w:rsidRPr="00403D25" w:rsidTr="00181018">
        <w:trPr>
          <w:trHeight w:val="255"/>
        </w:trPr>
        <w:tc>
          <w:tcPr>
            <w:tcW w:w="5560" w:type="dxa"/>
            <w:tcBorders>
              <w:top w:val="single" w:sz="4" w:space="0" w:color="auto"/>
              <w:left w:val="single" w:sz="4" w:space="0" w:color="auto"/>
              <w:bottom w:val="single" w:sz="4" w:space="0" w:color="auto"/>
              <w:right w:val="nil"/>
            </w:tcBorders>
            <w:shd w:val="clear" w:color="auto" w:fill="auto"/>
            <w:noWrap/>
            <w:vAlign w:val="bottom"/>
            <w:hideMark/>
          </w:tcPr>
          <w:p w:rsidR="00542E23" w:rsidRPr="00403D25" w:rsidRDefault="00542E23" w:rsidP="003275D9">
            <w:pPr>
              <w:rPr>
                <w:rFonts w:ascii="Verdana" w:hAnsi="Verdana"/>
                <w:b/>
                <w:bCs/>
                <w:sz w:val="18"/>
                <w:szCs w:val="18"/>
              </w:rPr>
            </w:pPr>
            <w:r w:rsidRPr="00403D25">
              <w:rPr>
                <w:rFonts w:ascii="Verdana" w:hAnsi="Verdana"/>
                <w:b/>
                <w:bCs/>
                <w:sz w:val="18"/>
                <w:szCs w:val="18"/>
              </w:rPr>
              <w:t>Omvang HGIS (uitgaven min ontvangsten)</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E23" w:rsidRPr="00403D25" w:rsidRDefault="008F6F1E" w:rsidP="00181018">
            <w:pPr>
              <w:jc w:val="right"/>
              <w:rPr>
                <w:rFonts w:ascii="Verdana" w:hAnsi="Verdana"/>
                <w:b/>
                <w:bCs/>
                <w:sz w:val="18"/>
                <w:szCs w:val="18"/>
              </w:rPr>
            </w:pPr>
            <w:r w:rsidRPr="00403D25">
              <w:rPr>
                <w:rFonts w:ascii="Verdana" w:hAnsi="Verdana"/>
                <w:b/>
                <w:bCs/>
                <w:sz w:val="18"/>
                <w:szCs w:val="18"/>
              </w:rPr>
              <w:t>5.219,1</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542E23" w:rsidRPr="00403D25" w:rsidRDefault="00A14C9B" w:rsidP="003275D9">
            <w:pPr>
              <w:jc w:val="right"/>
              <w:rPr>
                <w:rFonts w:ascii="Verdana" w:hAnsi="Verdana"/>
                <w:b/>
                <w:bCs/>
                <w:sz w:val="18"/>
                <w:szCs w:val="18"/>
              </w:rPr>
            </w:pPr>
            <w:r w:rsidRPr="00403D25">
              <w:rPr>
                <w:rFonts w:ascii="Verdana" w:hAnsi="Verdana"/>
                <w:b/>
                <w:bCs/>
                <w:sz w:val="18"/>
                <w:szCs w:val="18"/>
              </w:rPr>
              <w:t>5.890,9</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542E23" w:rsidRPr="00403D25" w:rsidRDefault="00A14C9B" w:rsidP="005A4B55">
            <w:pPr>
              <w:jc w:val="right"/>
              <w:rPr>
                <w:rFonts w:ascii="Verdana" w:hAnsi="Verdana"/>
                <w:b/>
                <w:bCs/>
                <w:sz w:val="18"/>
                <w:szCs w:val="18"/>
              </w:rPr>
            </w:pPr>
            <w:r w:rsidRPr="00403D25">
              <w:rPr>
                <w:rFonts w:ascii="Verdana" w:hAnsi="Verdana"/>
                <w:b/>
                <w:bCs/>
                <w:sz w:val="18"/>
                <w:szCs w:val="18"/>
              </w:rPr>
              <w:t>671.8</w:t>
            </w:r>
          </w:p>
        </w:tc>
      </w:tr>
    </w:tbl>
    <w:p w:rsidR="00542E23" w:rsidRPr="00403D25" w:rsidRDefault="00542E23" w:rsidP="00542E23">
      <w:pPr>
        <w:rPr>
          <w:rFonts w:ascii="Verdana" w:hAnsi="Verdana"/>
          <w:sz w:val="18"/>
          <w:szCs w:val="18"/>
        </w:rPr>
      </w:pPr>
    </w:p>
    <w:p w:rsidR="00542E23" w:rsidRPr="00403D25" w:rsidRDefault="00542E23" w:rsidP="00542E23">
      <w:pPr>
        <w:rPr>
          <w:rFonts w:ascii="Verdana" w:hAnsi="Verdana"/>
          <w:sz w:val="18"/>
          <w:szCs w:val="18"/>
        </w:rPr>
      </w:pPr>
      <w:r w:rsidRPr="00403D25">
        <w:rPr>
          <w:rFonts w:ascii="Verdana" w:hAnsi="Verdana"/>
          <w:sz w:val="18"/>
          <w:szCs w:val="18"/>
        </w:rPr>
        <w:t>De</w:t>
      </w:r>
      <w:r w:rsidR="00FA3B47" w:rsidRPr="00403D25">
        <w:rPr>
          <w:rFonts w:ascii="Verdana" w:hAnsi="Verdana"/>
          <w:sz w:val="18"/>
          <w:szCs w:val="18"/>
        </w:rPr>
        <w:t>ze</w:t>
      </w:r>
      <w:r w:rsidRPr="00403D25">
        <w:rPr>
          <w:rFonts w:ascii="Verdana" w:hAnsi="Verdana"/>
          <w:sz w:val="18"/>
          <w:szCs w:val="18"/>
        </w:rPr>
        <w:t xml:space="preserve"> </w:t>
      </w:r>
      <w:r w:rsidR="0016263F" w:rsidRPr="00403D25">
        <w:rPr>
          <w:rFonts w:ascii="Verdana" w:hAnsi="Verdana"/>
          <w:sz w:val="18"/>
          <w:szCs w:val="18"/>
        </w:rPr>
        <w:t>toename</w:t>
      </w:r>
      <w:r w:rsidRPr="00403D25">
        <w:rPr>
          <w:rFonts w:ascii="Verdana" w:hAnsi="Verdana"/>
          <w:sz w:val="18"/>
          <w:szCs w:val="18"/>
        </w:rPr>
        <w:t xml:space="preserve"> van de HGIS is het gevolg van meerdere mutaties</w:t>
      </w:r>
      <w:r w:rsidR="00FA3B47" w:rsidRPr="00403D25">
        <w:rPr>
          <w:rFonts w:ascii="Verdana" w:hAnsi="Verdana"/>
          <w:sz w:val="18"/>
          <w:szCs w:val="18"/>
        </w:rPr>
        <w:t xml:space="preserve"> met name veroorzaakt door toevoeging van de eindejaarsmarge 2014 en kasschuiven uit latere jaren</w:t>
      </w:r>
      <w:r w:rsidRPr="00403D25">
        <w:rPr>
          <w:rFonts w:ascii="Verdana" w:hAnsi="Verdana"/>
          <w:sz w:val="18"/>
          <w:szCs w:val="18"/>
        </w:rPr>
        <w:t>. In de hierna volgende tabellen zijn deze uitgesplitst</w:t>
      </w:r>
      <w:r w:rsidR="00FA3B47" w:rsidRPr="00403D25">
        <w:rPr>
          <w:rFonts w:ascii="Verdana" w:hAnsi="Verdana"/>
          <w:sz w:val="18"/>
          <w:szCs w:val="18"/>
        </w:rPr>
        <w:t xml:space="preserve"> en verder per onderdeel toegelicht</w:t>
      </w:r>
      <w:r w:rsidRPr="00403D25">
        <w:rPr>
          <w:rFonts w:ascii="Verdana" w:hAnsi="Verdana"/>
          <w:sz w:val="18"/>
          <w:szCs w:val="18"/>
        </w:rPr>
        <w:t>.</w:t>
      </w:r>
    </w:p>
    <w:p w:rsidR="00542E23" w:rsidRPr="00403D25" w:rsidRDefault="00542E23" w:rsidP="00542E23">
      <w:pPr>
        <w:rPr>
          <w:rFonts w:ascii="Verdana" w:hAnsi="Verdana"/>
          <w:sz w:val="18"/>
          <w:szCs w:val="18"/>
        </w:rPr>
      </w:pPr>
    </w:p>
    <w:tbl>
      <w:tblPr>
        <w:tblW w:w="6720" w:type="dxa"/>
        <w:tblInd w:w="55" w:type="dxa"/>
        <w:tblCellMar>
          <w:left w:w="70" w:type="dxa"/>
          <w:right w:w="70" w:type="dxa"/>
        </w:tblCellMar>
        <w:tblLook w:val="04A0" w:firstRow="1" w:lastRow="0" w:firstColumn="1" w:lastColumn="0" w:noHBand="0" w:noVBand="1"/>
      </w:tblPr>
      <w:tblGrid>
        <w:gridCol w:w="5560"/>
        <w:gridCol w:w="1160"/>
      </w:tblGrid>
      <w:tr w:rsidR="00542E23" w:rsidRPr="00403D25" w:rsidTr="003275D9">
        <w:trPr>
          <w:trHeight w:val="255"/>
        </w:trPr>
        <w:tc>
          <w:tcPr>
            <w:tcW w:w="5560" w:type="dxa"/>
            <w:tcBorders>
              <w:top w:val="single" w:sz="4" w:space="0" w:color="auto"/>
              <w:left w:val="single" w:sz="4" w:space="0" w:color="auto"/>
              <w:bottom w:val="single" w:sz="4" w:space="0" w:color="auto"/>
              <w:right w:val="nil"/>
            </w:tcBorders>
            <w:shd w:val="clear" w:color="auto" w:fill="auto"/>
            <w:noWrap/>
            <w:vAlign w:val="bottom"/>
            <w:hideMark/>
          </w:tcPr>
          <w:p w:rsidR="00542E23" w:rsidRPr="00403D25" w:rsidRDefault="00542E23" w:rsidP="003275D9">
            <w:pPr>
              <w:rPr>
                <w:rFonts w:ascii="Verdana" w:hAnsi="Verdana"/>
                <w:b/>
                <w:bCs/>
                <w:sz w:val="18"/>
                <w:szCs w:val="18"/>
              </w:rPr>
            </w:pPr>
            <w:r w:rsidRPr="00403D25">
              <w:rPr>
                <w:rFonts w:ascii="Verdana" w:hAnsi="Verdana"/>
                <w:b/>
                <w:bCs/>
                <w:sz w:val="18"/>
                <w:szCs w:val="18"/>
              </w:rPr>
              <w:t>HGIS-uitgaven (bedragen x EUR 1 miljoen)</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E23" w:rsidRPr="00403D25" w:rsidRDefault="00542E23" w:rsidP="003275D9">
            <w:pPr>
              <w:jc w:val="right"/>
              <w:rPr>
                <w:rFonts w:ascii="Verdana" w:hAnsi="Verdana"/>
                <w:b/>
                <w:bCs/>
                <w:sz w:val="18"/>
                <w:szCs w:val="18"/>
              </w:rPr>
            </w:pPr>
            <w:r w:rsidRPr="00403D25">
              <w:rPr>
                <w:rFonts w:ascii="Verdana" w:hAnsi="Verdana"/>
                <w:b/>
                <w:bCs/>
                <w:sz w:val="18"/>
                <w:szCs w:val="18"/>
              </w:rPr>
              <w:t>Totaal</w:t>
            </w:r>
          </w:p>
        </w:tc>
      </w:tr>
      <w:tr w:rsidR="00542E23" w:rsidRPr="00403D25" w:rsidTr="003275D9">
        <w:trPr>
          <w:trHeight w:val="255"/>
        </w:trPr>
        <w:tc>
          <w:tcPr>
            <w:tcW w:w="5560" w:type="dxa"/>
            <w:tcBorders>
              <w:top w:val="nil"/>
              <w:left w:val="single" w:sz="4" w:space="0" w:color="auto"/>
              <w:bottom w:val="single" w:sz="4" w:space="0" w:color="auto"/>
              <w:right w:val="nil"/>
            </w:tcBorders>
            <w:shd w:val="clear" w:color="auto" w:fill="auto"/>
            <w:noWrap/>
            <w:vAlign w:val="bottom"/>
            <w:hideMark/>
          </w:tcPr>
          <w:p w:rsidR="00542E23" w:rsidRPr="00403D25" w:rsidRDefault="00542E23" w:rsidP="00785234">
            <w:pPr>
              <w:rPr>
                <w:rFonts w:ascii="Verdana" w:hAnsi="Verdana"/>
                <w:b/>
                <w:bCs/>
                <w:sz w:val="18"/>
                <w:szCs w:val="18"/>
              </w:rPr>
            </w:pPr>
            <w:r w:rsidRPr="00403D25">
              <w:rPr>
                <w:rFonts w:ascii="Verdana" w:hAnsi="Verdana"/>
                <w:b/>
                <w:bCs/>
                <w:sz w:val="18"/>
                <w:szCs w:val="18"/>
              </w:rPr>
              <w:t>Stand Miljoenennota 201</w:t>
            </w:r>
            <w:r w:rsidR="00785234" w:rsidRPr="00403D25">
              <w:rPr>
                <w:rFonts w:ascii="Verdana" w:hAnsi="Verdana"/>
                <w:b/>
                <w:bCs/>
                <w:sz w:val="18"/>
                <w:szCs w:val="18"/>
              </w:rPr>
              <w:t>5</w:t>
            </w:r>
          </w:p>
        </w:tc>
        <w:tc>
          <w:tcPr>
            <w:tcW w:w="1160" w:type="dxa"/>
            <w:tcBorders>
              <w:top w:val="nil"/>
              <w:left w:val="single" w:sz="4" w:space="0" w:color="auto"/>
              <w:bottom w:val="nil"/>
              <w:right w:val="single" w:sz="4" w:space="0" w:color="auto"/>
            </w:tcBorders>
            <w:shd w:val="clear" w:color="auto" w:fill="auto"/>
            <w:noWrap/>
            <w:vAlign w:val="bottom"/>
            <w:hideMark/>
          </w:tcPr>
          <w:p w:rsidR="00542E23" w:rsidRPr="00403D25" w:rsidRDefault="008F6F1E" w:rsidP="003275D9">
            <w:pPr>
              <w:jc w:val="right"/>
              <w:rPr>
                <w:rFonts w:ascii="Verdana" w:hAnsi="Verdana"/>
                <w:b/>
                <w:bCs/>
                <w:sz w:val="18"/>
                <w:szCs w:val="18"/>
              </w:rPr>
            </w:pPr>
            <w:r w:rsidRPr="00403D25">
              <w:rPr>
                <w:rFonts w:ascii="Verdana" w:hAnsi="Verdana"/>
                <w:b/>
                <w:bCs/>
                <w:sz w:val="18"/>
                <w:szCs w:val="18"/>
              </w:rPr>
              <w:t>5.349,3</w:t>
            </w:r>
          </w:p>
        </w:tc>
      </w:tr>
      <w:tr w:rsidR="00542E23" w:rsidRPr="00403D25" w:rsidTr="003275D9">
        <w:trPr>
          <w:trHeight w:val="255"/>
        </w:trPr>
        <w:tc>
          <w:tcPr>
            <w:tcW w:w="5560" w:type="dxa"/>
            <w:tcBorders>
              <w:top w:val="nil"/>
              <w:left w:val="single" w:sz="4" w:space="0" w:color="auto"/>
              <w:bottom w:val="nil"/>
              <w:right w:val="nil"/>
            </w:tcBorders>
            <w:shd w:val="clear" w:color="auto" w:fill="auto"/>
            <w:noWrap/>
            <w:vAlign w:val="bottom"/>
            <w:hideMark/>
          </w:tcPr>
          <w:p w:rsidR="00542E23" w:rsidRPr="00403D25" w:rsidRDefault="00542E23" w:rsidP="003275D9">
            <w:pPr>
              <w:jc w:val="right"/>
              <w:rPr>
                <w:rFonts w:ascii="Verdana" w:hAnsi="Verdana"/>
                <w:sz w:val="18"/>
                <w:szCs w:val="18"/>
              </w:rPr>
            </w:pPr>
            <w:r w:rsidRPr="00403D25">
              <w:rPr>
                <w:rFonts w:ascii="Verdana" w:hAnsi="Verdana"/>
                <w:sz w:val="18"/>
                <w:szCs w:val="18"/>
              </w:rPr>
              <w:t>1. Aanpassing BNP-raming</w:t>
            </w:r>
          </w:p>
        </w:tc>
        <w:tc>
          <w:tcPr>
            <w:tcW w:w="1160" w:type="dxa"/>
            <w:tcBorders>
              <w:top w:val="nil"/>
              <w:left w:val="single" w:sz="4" w:space="0" w:color="auto"/>
              <w:bottom w:val="nil"/>
              <w:right w:val="single" w:sz="4" w:space="0" w:color="auto"/>
            </w:tcBorders>
            <w:shd w:val="clear" w:color="auto" w:fill="auto"/>
            <w:noWrap/>
            <w:vAlign w:val="bottom"/>
            <w:hideMark/>
          </w:tcPr>
          <w:p w:rsidR="00542E23" w:rsidRPr="00403D25" w:rsidRDefault="008F6F1E" w:rsidP="008F6F1E">
            <w:pPr>
              <w:jc w:val="right"/>
              <w:rPr>
                <w:rFonts w:ascii="Verdana" w:hAnsi="Verdana"/>
                <w:sz w:val="18"/>
                <w:szCs w:val="18"/>
              </w:rPr>
            </w:pPr>
            <w:r w:rsidRPr="00403D25">
              <w:rPr>
                <w:rFonts w:ascii="Verdana" w:hAnsi="Verdana"/>
                <w:sz w:val="18"/>
                <w:szCs w:val="18"/>
              </w:rPr>
              <w:t>29,4</w:t>
            </w:r>
          </w:p>
        </w:tc>
      </w:tr>
      <w:tr w:rsidR="00542E23" w:rsidRPr="00403D25" w:rsidTr="003275D9">
        <w:trPr>
          <w:trHeight w:val="255"/>
        </w:trPr>
        <w:tc>
          <w:tcPr>
            <w:tcW w:w="5560" w:type="dxa"/>
            <w:tcBorders>
              <w:top w:val="nil"/>
              <w:left w:val="single" w:sz="4" w:space="0" w:color="auto"/>
              <w:bottom w:val="nil"/>
              <w:right w:val="nil"/>
            </w:tcBorders>
            <w:shd w:val="clear" w:color="auto" w:fill="auto"/>
            <w:noWrap/>
            <w:vAlign w:val="bottom"/>
            <w:hideMark/>
          </w:tcPr>
          <w:p w:rsidR="00542E23" w:rsidRPr="00403D25" w:rsidRDefault="00542E23" w:rsidP="003275D9">
            <w:pPr>
              <w:jc w:val="right"/>
              <w:rPr>
                <w:rFonts w:ascii="Verdana" w:hAnsi="Verdana"/>
                <w:sz w:val="18"/>
                <w:szCs w:val="18"/>
              </w:rPr>
            </w:pPr>
            <w:r w:rsidRPr="00403D25">
              <w:rPr>
                <w:rFonts w:ascii="Verdana" w:hAnsi="Verdana"/>
                <w:sz w:val="18"/>
                <w:szCs w:val="18"/>
              </w:rPr>
              <w:t>2. Eindejaarsmarge</w:t>
            </w:r>
          </w:p>
        </w:tc>
        <w:tc>
          <w:tcPr>
            <w:tcW w:w="1160" w:type="dxa"/>
            <w:tcBorders>
              <w:top w:val="nil"/>
              <w:left w:val="single" w:sz="4" w:space="0" w:color="auto"/>
              <w:bottom w:val="nil"/>
              <w:right w:val="single" w:sz="4" w:space="0" w:color="auto"/>
            </w:tcBorders>
            <w:shd w:val="clear" w:color="auto" w:fill="auto"/>
            <w:noWrap/>
            <w:vAlign w:val="bottom"/>
            <w:hideMark/>
          </w:tcPr>
          <w:p w:rsidR="00542E23" w:rsidRPr="00403D25" w:rsidRDefault="008F6F1E" w:rsidP="003275D9">
            <w:pPr>
              <w:jc w:val="right"/>
              <w:rPr>
                <w:rFonts w:ascii="Verdana" w:hAnsi="Verdana"/>
                <w:sz w:val="18"/>
                <w:szCs w:val="18"/>
              </w:rPr>
            </w:pPr>
            <w:r w:rsidRPr="00403D25">
              <w:rPr>
                <w:rFonts w:ascii="Verdana" w:hAnsi="Verdana"/>
                <w:sz w:val="18"/>
                <w:szCs w:val="18"/>
              </w:rPr>
              <w:t>263,8</w:t>
            </w:r>
          </w:p>
        </w:tc>
      </w:tr>
      <w:tr w:rsidR="00542E23" w:rsidRPr="00403D25" w:rsidTr="003275D9">
        <w:trPr>
          <w:trHeight w:val="255"/>
        </w:trPr>
        <w:tc>
          <w:tcPr>
            <w:tcW w:w="5560" w:type="dxa"/>
            <w:tcBorders>
              <w:top w:val="nil"/>
              <w:left w:val="single" w:sz="4" w:space="0" w:color="auto"/>
              <w:bottom w:val="nil"/>
              <w:right w:val="nil"/>
            </w:tcBorders>
            <w:shd w:val="clear" w:color="auto" w:fill="auto"/>
            <w:noWrap/>
            <w:vAlign w:val="bottom"/>
            <w:hideMark/>
          </w:tcPr>
          <w:p w:rsidR="00542E23" w:rsidRPr="00403D25" w:rsidRDefault="00542E23" w:rsidP="003275D9">
            <w:pPr>
              <w:jc w:val="right"/>
              <w:rPr>
                <w:rFonts w:ascii="Verdana" w:hAnsi="Verdana"/>
                <w:sz w:val="18"/>
                <w:szCs w:val="18"/>
              </w:rPr>
            </w:pPr>
            <w:r w:rsidRPr="00403D25">
              <w:rPr>
                <w:rFonts w:ascii="Verdana" w:hAnsi="Verdana"/>
                <w:sz w:val="18"/>
                <w:szCs w:val="18"/>
              </w:rPr>
              <w:t>3. Overboekingen van/naar HGIS</w:t>
            </w:r>
          </w:p>
        </w:tc>
        <w:tc>
          <w:tcPr>
            <w:tcW w:w="1160" w:type="dxa"/>
            <w:tcBorders>
              <w:top w:val="nil"/>
              <w:left w:val="single" w:sz="4" w:space="0" w:color="auto"/>
              <w:bottom w:val="nil"/>
              <w:right w:val="single" w:sz="4" w:space="0" w:color="auto"/>
            </w:tcBorders>
            <w:shd w:val="clear" w:color="auto" w:fill="auto"/>
            <w:noWrap/>
            <w:vAlign w:val="bottom"/>
            <w:hideMark/>
          </w:tcPr>
          <w:p w:rsidR="00542E23" w:rsidRPr="00403D25" w:rsidRDefault="009F79CF" w:rsidP="00A14C9B">
            <w:pPr>
              <w:jc w:val="right"/>
              <w:rPr>
                <w:rFonts w:ascii="Verdana" w:hAnsi="Verdana"/>
                <w:sz w:val="18"/>
                <w:szCs w:val="18"/>
              </w:rPr>
            </w:pPr>
            <w:r w:rsidRPr="00403D25">
              <w:rPr>
                <w:rFonts w:ascii="Verdana" w:hAnsi="Verdana"/>
                <w:sz w:val="18"/>
                <w:szCs w:val="18"/>
              </w:rPr>
              <w:t>-</w:t>
            </w:r>
            <w:r w:rsidR="00A14C9B" w:rsidRPr="00403D25">
              <w:rPr>
                <w:rFonts w:ascii="Verdana" w:hAnsi="Verdana"/>
                <w:sz w:val="18"/>
                <w:szCs w:val="18"/>
              </w:rPr>
              <w:t>77,5</w:t>
            </w:r>
          </w:p>
        </w:tc>
      </w:tr>
      <w:tr w:rsidR="00030468" w:rsidRPr="00403D25" w:rsidTr="003275D9">
        <w:trPr>
          <w:trHeight w:val="255"/>
        </w:trPr>
        <w:tc>
          <w:tcPr>
            <w:tcW w:w="5560" w:type="dxa"/>
            <w:tcBorders>
              <w:top w:val="nil"/>
              <w:left w:val="single" w:sz="4" w:space="0" w:color="auto"/>
              <w:bottom w:val="nil"/>
              <w:right w:val="nil"/>
            </w:tcBorders>
            <w:shd w:val="clear" w:color="auto" w:fill="auto"/>
            <w:noWrap/>
            <w:vAlign w:val="bottom"/>
          </w:tcPr>
          <w:p w:rsidR="00030468" w:rsidRPr="00403D25" w:rsidRDefault="00030468" w:rsidP="00030468">
            <w:pPr>
              <w:pStyle w:val="Lijstalinea"/>
              <w:numPr>
                <w:ilvl w:val="0"/>
                <w:numId w:val="10"/>
              </w:numPr>
              <w:jc w:val="right"/>
              <w:rPr>
                <w:rFonts w:ascii="Verdana" w:hAnsi="Verdana"/>
                <w:sz w:val="18"/>
                <w:szCs w:val="18"/>
              </w:rPr>
            </w:pPr>
            <w:r w:rsidRPr="00403D25">
              <w:rPr>
                <w:rFonts w:ascii="Verdana" w:hAnsi="Verdana"/>
                <w:sz w:val="18"/>
                <w:szCs w:val="18"/>
              </w:rPr>
              <w:t>Kasschuiven</w:t>
            </w:r>
          </w:p>
        </w:tc>
        <w:tc>
          <w:tcPr>
            <w:tcW w:w="1160" w:type="dxa"/>
            <w:tcBorders>
              <w:top w:val="nil"/>
              <w:left w:val="single" w:sz="4" w:space="0" w:color="auto"/>
              <w:bottom w:val="nil"/>
              <w:right w:val="single" w:sz="4" w:space="0" w:color="auto"/>
            </w:tcBorders>
            <w:shd w:val="clear" w:color="auto" w:fill="auto"/>
            <w:noWrap/>
            <w:vAlign w:val="bottom"/>
          </w:tcPr>
          <w:p w:rsidR="00030468" w:rsidRPr="00403D25" w:rsidRDefault="004B626D" w:rsidP="00785234">
            <w:pPr>
              <w:jc w:val="right"/>
              <w:rPr>
                <w:rFonts w:ascii="Verdana" w:hAnsi="Verdana"/>
                <w:sz w:val="18"/>
                <w:szCs w:val="18"/>
              </w:rPr>
            </w:pPr>
            <w:r w:rsidRPr="00403D25">
              <w:rPr>
                <w:rFonts w:ascii="Verdana" w:hAnsi="Verdana"/>
                <w:sz w:val="18"/>
                <w:szCs w:val="18"/>
              </w:rPr>
              <w:t>455,7</w:t>
            </w:r>
          </w:p>
        </w:tc>
      </w:tr>
      <w:tr w:rsidR="00030468" w:rsidRPr="00403D25" w:rsidTr="003275D9">
        <w:trPr>
          <w:trHeight w:val="255"/>
        </w:trPr>
        <w:tc>
          <w:tcPr>
            <w:tcW w:w="5560" w:type="dxa"/>
            <w:tcBorders>
              <w:top w:val="nil"/>
              <w:left w:val="single" w:sz="4" w:space="0" w:color="auto"/>
              <w:bottom w:val="nil"/>
              <w:right w:val="nil"/>
            </w:tcBorders>
            <w:shd w:val="clear" w:color="auto" w:fill="auto"/>
            <w:noWrap/>
            <w:vAlign w:val="bottom"/>
          </w:tcPr>
          <w:p w:rsidR="00030468" w:rsidRPr="00403D25" w:rsidRDefault="00030468" w:rsidP="00030468">
            <w:pPr>
              <w:pStyle w:val="Lijstalinea"/>
              <w:numPr>
                <w:ilvl w:val="0"/>
                <w:numId w:val="10"/>
              </w:numPr>
              <w:jc w:val="right"/>
              <w:rPr>
                <w:rFonts w:ascii="Verdana" w:hAnsi="Verdana"/>
                <w:sz w:val="18"/>
                <w:szCs w:val="18"/>
              </w:rPr>
            </w:pPr>
            <w:r w:rsidRPr="00403D25">
              <w:rPr>
                <w:rFonts w:ascii="Verdana" w:hAnsi="Verdana"/>
                <w:sz w:val="18"/>
                <w:szCs w:val="18"/>
              </w:rPr>
              <w:t>Desalderingen</w:t>
            </w:r>
          </w:p>
        </w:tc>
        <w:tc>
          <w:tcPr>
            <w:tcW w:w="1160" w:type="dxa"/>
            <w:tcBorders>
              <w:top w:val="nil"/>
              <w:left w:val="single" w:sz="4" w:space="0" w:color="auto"/>
              <w:bottom w:val="nil"/>
              <w:right w:val="single" w:sz="4" w:space="0" w:color="auto"/>
            </w:tcBorders>
            <w:shd w:val="clear" w:color="auto" w:fill="auto"/>
            <w:noWrap/>
            <w:vAlign w:val="bottom"/>
          </w:tcPr>
          <w:p w:rsidR="00030468" w:rsidRPr="00403D25" w:rsidRDefault="00785234" w:rsidP="004B626D">
            <w:pPr>
              <w:jc w:val="right"/>
              <w:rPr>
                <w:rFonts w:ascii="Verdana" w:hAnsi="Verdana"/>
                <w:sz w:val="18"/>
                <w:szCs w:val="18"/>
              </w:rPr>
            </w:pPr>
            <w:r w:rsidRPr="00403D25">
              <w:rPr>
                <w:rFonts w:ascii="Verdana" w:hAnsi="Verdana"/>
                <w:sz w:val="18"/>
                <w:szCs w:val="18"/>
              </w:rPr>
              <w:t>3,</w:t>
            </w:r>
            <w:r w:rsidR="004B626D" w:rsidRPr="00403D25">
              <w:rPr>
                <w:rFonts w:ascii="Verdana" w:hAnsi="Verdana"/>
                <w:sz w:val="18"/>
                <w:szCs w:val="18"/>
              </w:rPr>
              <w:t>4</w:t>
            </w:r>
          </w:p>
        </w:tc>
      </w:tr>
      <w:tr w:rsidR="00542E23" w:rsidRPr="00403D25" w:rsidTr="003275D9">
        <w:trPr>
          <w:trHeight w:val="255"/>
        </w:trPr>
        <w:tc>
          <w:tcPr>
            <w:tcW w:w="5560" w:type="dxa"/>
            <w:tcBorders>
              <w:top w:val="single" w:sz="4" w:space="0" w:color="auto"/>
              <w:left w:val="single" w:sz="4" w:space="0" w:color="auto"/>
              <w:bottom w:val="single" w:sz="4" w:space="0" w:color="auto"/>
              <w:right w:val="nil"/>
            </w:tcBorders>
            <w:shd w:val="clear" w:color="auto" w:fill="auto"/>
            <w:noWrap/>
            <w:vAlign w:val="bottom"/>
            <w:hideMark/>
          </w:tcPr>
          <w:p w:rsidR="00542E23" w:rsidRPr="00403D25" w:rsidRDefault="00542E23" w:rsidP="00785234">
            <w:pPr>
              <w:rPr>
                <w:rFonts w:ascii="Verdana" w:hAnsi="Verdana"/>
                <w:sz w:val="18"/>
                <w:szCs w:val="18"/>
              </w:rPr>
            </w:pPr>
            <w:r w:rsidRPr="00403D25">
              <w:rPr>
                <w:rFonts w:ascii="Verdana" w:hAnsi="Verdana"/>
                <w:sz w:val="18"/>
                <w:szCs w:val="18"/>
              </w:rPr>
              <w:t>Totaal mutaties Voorjaarsnota 201</w:t>
            </w:r>
            <w:r w:rsidR="00785234" w:rsidRPr="00403D25">
              <w:rPr>
                <w:rFonts w:ascii="Verdana" w:hAnsi="Verdana"/>
                <w:sz w:val="18"/>
                <w:szCs w:val="18"/>
              </w:rPr>
              <w:t>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E23" w:rsidRPr="00403D25" w:rsidRDefault="00A14C9B" w:rsidP="003275D9">
            <w:pPr>
              <w:jc w:val="right"/>
              <w:rPr>
                <w:rFonts w:ascii="Verdana" w:hAnsi="Verdana"/>
                <w:sz w:val="18"/>
                <w:szCs w:val="18"/>
              </w:rPr>
            </w:pPr>
            <w:r w:rsidRPr="00403D25">
              <w:rPr>
                <w:rFonts w:ascii="Verdana" w:hAnsi="Verdana"/>
                <w:sz w:val="18"/>
                <w:szCs w:val="18"/>
              </w:rPr>
              <w:t>674,8</w:t>
            </w:r>
          </w:p>
        </w:tc>
      </w:tr>
      <w:tr w:rsidR="00542E23" w:rsidRPr="00403D25" w:rsidTr="003275D9">
        <w:trPr>
          <w:trHeight w:val="255"/>
        </w:trPr>
        <w:tc>
          <w:tcPr>
            <w:tcW w:w="5560" w:type="dxa"/>
            <w:tcBorders>
              <w:top w:val="nil"/>
              <w:left w:val="single" w:sz="4" w:space="0" w:color="auto"/>
              <w:bottom w:val="single" w:sz="4" w:space="0" w:color="auto"/>
              <w:right w:val="nil"/>
            </w:tcBorders>
            <w:shd w:val="clear" w:color="auto" w:fill="auto"/>
            <w:noWrap/>
            <w:vAlign w:val="bottom"/>
            <w:hideMark/>
          </w:tcPr>
          <w:p w:rsidR="00542E23" w:rsidRPr="00403D25" w:rsidRDefault="00542E23" w:rsidP="00785234">
            <w:pPr>
              <w:rPr>
                <w:rFonts w:ascii="Verdana" w:hAnsi="Verdana"/>
                <w:b/>
                <w:bCs/>
                <w:sz w:val="18"/>
                <w:szCs w:val="18"/>
              </w:rPr>
            </w:pPr>
            <w:r w:rsidRPr="00403D25">
              <w:rPr>
                <w:rFonts w:ascii="Verdana" w:hAnsi="Verdana"/>
                <w:b/>
                <w:bCs/>
                <w:sz w:val="18"/>
                <w:szCs w:val="18"/>
              </w:rPr>
              <w:t>Stand Voorjaarsnota 201</w:t>
            </w:r>
            <w:r w:rsidR="00785234" w:rsidRPr="00403D25">
              <w:rPr>
                <w:rFonts w:ascii="Verdana" w:hAnsi="Verdana"/>
                <w:b/>
                <w:bCs/>
                <w:sz w:val="18"/>
                <w:szCs w:val="18"/>
              </w:rPr>
              <w:t>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42E23" w:rsidRPr="00403D25" w:rsidRDefault="00A14C9B" w:rsidP="003275D9">
            <w:pPr>
              <w:jc w:val="right"/>
              <w:rPr>
                <w:rFonts w:ascii="Verdana" w:hAnsi="Verdana"/>
                <w:b/>
                <w:bCs/>
                <w:sz w:val="18"/>
                <w:szCs w:val="18"/>
              </w:rPr>
            </w:pPr>
            <w:r w:rsidRPr="00403D25">
              <w:rPr>
                <w:rFonts w:ascii="Verdana" w:hAnsi="Verdana"/>
                <w:b/>
                <w:bCs/>
                <w:sz w:val="18"/>
                <w:szCs w:val="18"/>
              </w:rPr>
              <w:t>6024,1</w:t>
            </w:r>
          </w:p>
        </w:tc>
      </w:tr>
      <w:tr w:rsidR="00542E23" w:rsidRPr="00403D25" w:rsidTr="003275D9">
        <w:trPr>
          <w:trHeight w:val="255"/>
        </w:trPr>
        <w:tc>
          <w:tcPr>
            <w:tcW w:w="5560" w:type="dxa"/>
            <w:tcBorders>
              <w:top w:val="nil"/>
              <w:left w:val="nil"/>
              <w:bottom w:val="nil"/>
              <w:right w:val="nil"/>
            </w:tcBorders>
            <w:shd w:val="clear" w:color="auto" w:fill="auto"/>
            <w:noWrap/>
            <w:vAlign w:val="bottom"/>
            <w:hideMark/>
          </w:tcPr>
          <w:p w:rsidR="00542E23" w:rsidRPr="00403D25" w:rsidRDefault="00542E23" w:rsidP="003275D9">
            <w:pPr>
              <w:rPr>
                <w:rFonts w:ascii="Verdana" w:hAnsi="Verdana"/>
                <w:sz w:val="18"/>
                <w:szCs w:val="18"/>
              </w:rPr>
            </w:pPr>
          </w:p>
        </w:tc>
        <w:tc>
          <w:tcPr>
            <w:tcW w:w="1160" w:type="dxa"/>
            <w:tcBorders>
              <w:top w:val="nil"/>
              <w:left w:val="nil"/>
              <w:bottom w:val="nil"/>
              <w:right w:val="nil"/>
            </w:tcBorders>
            <w:shd w:val="clear" w:color="auto" w:fill="auto"/>
            <w:noWrap/>
            <w:vAlign w:val="bottom"/>
            <w:hideMark/>
          </w:tcPr>
          <w:p w:rsidR="00542E23" w:rsidRPr="00403D25" w:rsidRDefault="00542E23" w:rsidP="003275D9">
            <w:pPr>
              <w:rPr>
                <w:rFonts w:ascii="Verdana" w:hAnsi="Verdana"/>
                <w:sz w:val="18"/>
                <w:szCs w:val="18"/>
              </w:rPr>
            </w:pPr>
          </w:p>
        </w:tc>
      </w:tr>
      <w:tr w:rsidR="00542E23" w:rsidRPr="00403D25" w:rsidTr="003275D9">
        <w:trPr>
          <w:trHeight w:val="255"/>
        </w:trPr>
        <w:tc>
          <w:tcPr>
            <w:tcW w:w="5560" w:type="dxa"/>
            <w:tcBorders>
              <w:top w:val="single" w:sz="4" w:space="0" w:color="auto"/>
              <w:left w:val="single" w:sz="4" w:space="0" w:color="auto"/>
              <w:bottom w:val="single" w:sz="4" w:space="0" w:color="auto"/>
              <w:right w:val="nil"/>
            </w:tcBorders>
            <w:shd w:val="clear" w:color="auto" w:fill="auto"/>
            <w:noWrap/>
            <w:vAlign w:val="bottom"/>
            <w:hideMark/>
          </w:tcPr>
          <w:p w:rsidR="00542E23" w:rsidRPr="00403D25" w:rsidRDefault="00542E23" w:rsidP="003275D9">
            <w:pPr>
              <w:rPr>
                <w:rFonts w:ascii="Verdana" w:hAnsi="Verdana"/>
                <w:b/>
                <w:bCs/>
                <w:sz w:val="18"/>
                <w:szCs w:val="18"/>
              </w:rPr>
            </w:pPr>
            <w:r w:rsidRPr="00403D25">
              <w:rPr>
                <w:rFonts w:ascii="Verdana" w:hAnsi="Verdana"/>
                <w:b/>
                <w:bCs/>
                <w:sz w:val="18"/>
                <w:szCs w:val="18"/>
              </w:rPr>
              <w:t>HGIS-ontvangsten (bedragen x EUR 1 miljoen)</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E23" w:rsidRPr="00403D25" w:rsidRDefault="00542E23" w:rsidP="003275D9">
            <w:pPr>
              <w:jc w:val="right"/>
              <w:rPr>
                <w:rFonts w:ascii="Verdana" w:hAnsi="Verdana"/>
                <w:b/>
                <w:bCs/>
                <w:sz w:val="18"/>
                <w:szCs w:val="18"/>
              </w:rPr>
            </w:pPr>
            <w:r w:rsidRPr="00403D25">
              <w:rPr>
                <w:rFonts w:ascii="Verdana" w:hAnsi="Verdana"/>
                <w:b/>
                <w:bCs/>
                <w:sz w:val="18"/>
                <w:szCs w:val="18"/>
              </w:rPr>
              <w:t>Totaal</w:t>
            </w:r>
          </w:p>
        </w:tc>
      </w:tr>
      <w:tr w:rsidR="00542E23" w:rsidRPr="00403D25" w:rsidTr="003275D9">
        <w:trPr>
          <w:trHeight w:val="255"/>
        </w:trPr>
        <w:tc>
          <w:tcPr>
            <w:tcW w:w="5560" w:type="dxa"/>
            <w:tcBorders>
              <w:top w:val="nil"/>
              <w:left w:val="single" w:sz="4" w:space="0" w:color="auto"/>
              <w:bottom w:val="single" w:sz="4" w:space="0" w:color="auto"/>
              <w:right w:val="nil"/>
            </w:tcBorders>
            <w:shd w:val="clear" w:color="auto" w:fill="auto"/>
            <w:noWrap/>
            <w:vAlign w:val="bottom"/>
            <w:hideMark/>
          </w:tcPr>
          <w:p w:rsidR="00542E23" w:rsidRPr="00403D25" w:rsidRDefault="00542E23" w:rsidP="00785234">
            <w:pPr>
              <w:rPr>
                <w:rFonts w:ascii="Verdana" w:hAnsi="Verdana"/>
                <w:b/>
                <w:bCs/>
                <w:sz w:val="18"/>
                <w:szCs w:val="18"/>
              </w:rPr>
            </w:pPr>
            <w:r w:rsidRPr="00403D25">
              <w:rPr>
                <w:rFonts w:ascii="Verdana" w:hAnsi="Verdana"/>
                <w:b/>
                <w:bCs/>
                <w:sz w:val="18"/>
                <w:szCs w:val="18"/>
              </w:rPr>
              <w:t>Stand Miljoenennota 201</w:t>
            </w:r>
            <w:r w:rsidR="00785234" w:rsidRPr="00403D25">
              <w:rPr>
                <w:rFonts w:ascii="Verdana" w:hAnsi="Verdana"/>
                <w:b/>
                <w:bCs/>
                <w:sz w:val="18"/>
                <w:szCs w:val="18"/>
              </w:rPr>
              <w:t>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42E23" w:rsidRPr="00403D25" w:rsidRDefault="009C6F4D" w:rsidP="00F94A54">
            <w:pPr>
              <w:jc w:val="right"/>
              <w:rPr>
                <w:rFonts w:ascii="Verdana" w:hAnsi="Verdana"/>
                <w:b/>
                <w:bCs/>
                <w:sz w:val="18"/>
                <w:szCs w:val="18"/>
              </w:rPr>
            </w:pPr>
            <w:r w:rsidRPr="00403D25">
              <w:rPr>
                <w:rFonts w:ascii="Verdana" w:hAnsi="Verdana"/>
                <w:b/>
                <w:bCs/>
                <w:sz w:val="18"/>
                <w:szCs w:val="18"/>
              </w:rPr>
              <w:t>130,2</w:t>
            </w:r>
          </w:p>
        </w:tc>
      </w:tr>
      <w:tr w:rsidR="00542E23" w:rsidRPr="00403D25" w:rsidTr="003275D9">
        <w:trPr>
          <w:trHeight w:val="255"/>
        </w:trPr>
        <w:tc>
          <w:tcPr>
            <w:tcW w:w="5560" w:type="dxa"/>
            <w:tcBorders>
              <w:top w:val="nil"/>
              <w:left w:val="single" w:sz="4" w:space="0" w:color="auto"/>
              <w:bottom w:val="single" w:sz="4" w:space="0" w:color="auto"/>
              <w:right w:val="nil"/>
            </w:tcBorders>
            <w:shd w:val="clear" w:color="auto" w:fill="auto"/>
            <w:noWrap/>
            <w:vAlign w:val="bottom"/>
            <w:hideMark/>
          </w:tcPr>
          <w:p w:rsidR="00542E23" w:rsidRPr="00403D25" w:rsidRDefault="00542E23" w:rsidP="004B626D">
            <w:pPr>
              <w:rPr>
                <w:rFonts w:ascii="Verdana" w:hAnsi="Verdana"/>
                <w:sz w:val="18"/>
                <w:szCs w:val="18"/>
              </w:rPr>
            </w:pPr>
            <w:r w:rsidRPr="00403D25">
              <w:rPr>
                <w:rFonts w:ascii="Verdana" w:hAnsi="Verdana"/>
                <w:sz w:val="18"/>
                <w:szCs w:val="18"/>
              </w:rPr>
              <w:t>Totaal mutaties Voorjaarsnota 201</w:t>
            </w:r>
            <w:r w:rsidR="00785234" w:rsidRPr="00403D25">
              <w:rPr>
                <w:rFonts w:ascii="Verdana" w:hAnsi="Verdana"/>
                <w:sz w:val="18"/>
                <w:szCs w:val="18"/>
              </w:rPr>
              <w:t>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42E23" w:rsidRPr="00403D25" w:rsidRDefault="005A4B55" w:rsidP="005A4B55">
            <w:pPr>
              <w:jc w:val="right"/>
              <w:rPr>
                <w:rFonts w:ascii="Verdana" w:hAnsi="Verdana"/>
                <w:sz w:val="18"/>
                <w:szCs w:val="18"/>
              </w:rPr>
            </w:pPr>
            <w:r w:rsidRPr="00403D25">
              <w:rPr>
                <w:rFonts w:ascii="Verdana" w:hAnsi="Verdana"/>
                <w:sz w:val="18"/>
                <w:szCs w:val="18"/>
              </w:rPr>
              <w:t>3</w:t>
            </w:r>
            <w:r w:rsidR="00785234" w:rsidRPr="00403D25">
              <w:rPr>
                <w:rFonts w:ascii="Verdana" w:hAnsi="Verdana"/>
                <w:sz w:val="18"/>
                <w:szCs w:val="18"/>
              </w:rPr>
              <w:t>,</w:t>
            </w:r>
            <w:r w:rsidR="009C6F4D" w:rsidRPr="00403D25">
              <w:rPr>
                <w:rFonts w:ascii="Verdana" w:hAnsi="Verdana"/>
                <w:sz w:val="18"/>
                <w:szCs w:val="18"/>
              </w:rPr>
              <w:t>0</w:t>
            </w:r>
          </w:p>
        </w:tc>
      </w:tr>
      <w:tr w:rsidR="00542E23" w:rsidRPr="00403D25" w:rsidTr="003275D9">
        <w:trPr>
          <w:trHeight w:val="255"/>
        </w:trPr>
        <w:tc>
          <w:tcPr>
            <w:tcW w:w="5560" w:type="dxa"/>
            <w:tcBorders>
              <w:top w:val="nil"/>
              <w:left w:val="single" w:sz="4" w:space="0" w:color="auto"/>
              <w:bottom w:val="single" w:sz="4" w:space="0" w:color="auto"/>
              <w:right w:val="nil"/>
            </w:tcBorders>
            <w:shd w:val="clear" w:color="auto" w:fill="auto"/>
            <w:noWrap/>
            <w:vAlign w:val="bottom"/>
            <w:hideMark/>
          </w:tcPr>
          <w:p w:rsidR="00542E23" w:rsidRPr="00403D25" w:rsidRDefault="00542E23" w:rsidP="00785234">
            <w:pPr>
              <w:rPr>
                <w:rFonts w:ascii="Verdana" w:hAnsi="Verdana"/>
                <w:b/>
                <w:bCs/>
                <w:sz w:val="18"/>
                <w:szCs w:val="18"/>
              </w:rPr>
            </w:pPr>
            <w:r w:rsidRPr="00403D25">
              <w:rPr>
                <w:rFonts w:ascii="Verdana" w:hAnsi="Verdana"/>
                <w:b/>
                <w:bCs/>
                <w:sz w:val="18"/>
                <w:szCs w:val="18"/>
              </w:rPr>
              <w:t>Stand Voorjaarsnota 201</w:t>
            </w:r>
            <w:r w:rsidR="00785234" w:rsidRPr="00403D25">
              <w:rPr>
                <w:rFonts w:ascii="Verdana" w:hAnsi="Verdana"/>
                <w:b/>
                <w:bCs/>
                <w:sz w:val="18"/>
                <w:szCs w:val="18"/>
              </w:rPr>
              <w:t>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42E23" w:rsidRPr="00403D25" w:rsidRDefault="009C6F4D" w:rsidP="005A4B55">
            <w:pPr>
              <w:jc w:val="right"/>
              <w:rPr>
                <w:rFonts w:ascii="Verdana" w:hAnsi="Verdana"/>
                <w:b/>
                <w:bCs/>
                <w:sz w:val="18"/>
                <w:szCs w:val="18"/>
              </w:rPr>
            </w:pPr>
            <w:r w:rsidRPr="00403D25">
              <w:rPr>
                <w:rFonts w:ascii="Verdana" w:hAnsi="Verdana"/>
                <w:b/>
                <w:bCs/>
                <w:sz w:val="18"/>
                <w:szCs w:val="18"/>
              </w:rPr>
              <w:t>13</w:t>
            </w:r>
            <w:r w:rsidR="005A4B55" w:rsidRPr="00403D25">
              <w:rPr>
                <w:rFonts w:ascii="Verdana" w:hAnsi="Verdana"/>
                <w:b/>
                <w:bCs/>
                <w:sz w:val="18"/>
                <w:szCs w:val="18"/>
              </w:rPr>
              <w:t>3</w:t>
            </w:r>
            <w:r w:rsidRPr="00403D25">
              <w:rPr>
                <w:rFonts w:ascii="Verdana" w:hAnsi="Verdana"/>
                <w:b/>
                <w:bCs/>
                <w:sz w:val="18"/>
                <w:szCs w:val="18"/>
              </w:rPr>
              <w:t>,2</w:t>
            </w:r>
          </w:p>
        </w:tc>
      </w:tr>
    </w:tbl>
    <w:p w:rsidR="00542E23" w:rsidRPr="00403D25" w:rsidRDefault="00542E23" w:rsidP="00542E23">
      <w:pPr>
        <w:rPr>
          <w:rFonts w:ascii="Verdana" w:hAnsi="Verdana"/>
          <w:sz w:val="18"/>
          <w:szCs w:val="18"/>
        </w:rPr>
      </w:pPr>
    </w:p>
    <w:p w:rsidR="00542E23" w:rsidRPr="00403D25" w:rsidRDefault="00C74317" w:rsidP="00542E23">
      <w:pPr>
        <w:rPr>
          <w:rFonts w:ascii="Verdana" w:hAnsi="Verdana"/>
          <w:sz w:val="18"/>
          <w:szCs w:val="18"/>
        </w:rPr>
      </w:pPr>
      <w:r w:rsidRPr="00403D25">
        <w:rPr>
          <w:rFonts w:ascii="Verdana" w:hAnsi="Verdana"/>
          <w:sz w:val="18"/>
          <w:szCs w:val="18"/>
        </w:rPr>
        <w:t>Toelichting:</w:t>
      </w:r>
    </w:p>
    <w:p w:rsidR="00433722" w:rsidRPr="00403D25" w:rsidRDefault="00433722" w:rsidP="00433722">
      <w:pPr>
        <w:pStyle w:val="Lijstalinea"/>
        <w:numPr>
          <w:ilvl w:val="0"/>
          <w:numId w:val="14"/>
        </w:numPr>
        <w:rPr>
          <w:rFonts w:ascii="Verdana" w:hAnsi="Verdana"/>
          <w:sz w:val="18"/>
          <w:szCs w:val="18"/>
        </w:rPr>
      </w:pPr>
      <w:r w:rsidRPr="00403D25">
        <w:rPr>
          <w:rFonts w:ascii="Verdana" w:hAnsi="Verdana"/>
          <w:sz w:val="18"/>
          <w:szCs w:val="18"/>
        </w:rPr>
        <w:t xml:space="preserve">Op basis van wijzigingen in de CPB-ramingen voor het BNP </w:t>
      </w:r>
      <w:r w:rsidR="00030468" w:rsidRPr="00403D25">
        <w:rPr>
          <w:rFonts w:ascii="Verdana" w:hAnsi="Verdana"/>
          <w:sz w:val="18"/>
          <w:szCs w:val="18"/>
        </w:rPr>
        <w:t xml:space="preserve">(ODA) </w:t>
      </w:r>
      <w:r w:rsidRPr="00403D25">
        <w:rPr>
          <w:rFonts w:ascii="Verdana" w:hAnsi="Verdana"/>
          <w:sz w:val="18"/>
          <w:szCs w:val="18"/>
        </w:rPr>
        <w:t xml:space="preserve">en de prijscomponent van het BBP </w:t>
      </w:r>
      <w:r w:rsidR="004B626D" w:rsidRPr="00403D25">
        <w:rPr>
          <w:rFonts w:ascii="Verdana" w:hAnsi="Verdana"/>
          <w:sz w:val="18"/>
          <w:szCs w:val="18"/>
        </w:rPr>
        <w:t xml:space="preserve">(non-ODA) </w:t>
      </w:r>
      <w:r w:rsidRPr="00403D25">
        <w:rPr>
          <w:rFonts w:ascii="Verdana" w:hAnsi="Verdana"/>
          <w:sz w:val="18"/>
          <w:szCs w:val="18"/>
        </w:rPr>
        <w:t>is de omvang van de HGIS bijgesteld.</w:t>
      </w:r>
    </w:p>
    <w:p w:rsidR="00433722" w:rsidRPr="00403D25" w:rsidRDefault="00433722" w:rsidP="00433722">
      <w:pPr>
        <w:pStyle w:val="Lijstalinea"/>
        <w:numPr>
          <w:ilvl w:val="0"/>
          <w:numId w:val="14"/>
        </w:numPr>
        <w:rPr>
          <w:rFonts w:ascii="Verdana" w:hAnsi="Verdana"/>
          <w:sz w:val="18"/>
          <w:szCs w:val="18"/>
        </w:rPr>
      </w:pPr>
      <w:r w:rsidRPr="00403D25">
        <w:rPr>
          <w:rFonts w:ascii="Verdana" w:hAnsi="Verdana"/>
          <w:sz w:val="18"/>
          <w:szCs w:val="18"/>
        </w:rPr>
        <w:t>De eindejaarsmarge over 201</w:t>
      </w:r>
      <w:r w:rsidR="009C6F4D" w:rsidRPr="00403D25">
        <w:rPr>
          <w:rFonts w:ascii="Verdana" w:hAnsi="Verdana"/>
          <w:sz w:val="18"/>
          <w:szCs w:val="18"/>
        </w:rPr>
        <w:t>4</w:t>
      </w:r>
      <w:r w:rsidRPr="00403D25">
        <w:rPr>
          <w:rFonts w:ascii="Verdana" w:hAnsi="Verdana"/>
          <w:sz w:val="18"/>
          <w:szCs w:val="18"/>
        </w:rPr>
        <w:t xml:space="preserve"> is toegevoegd aan de HGIS.</w:t>
      </w:r>
      <w:r w:rsidR="00801F94" w:rsidRPr="00403D25">
        <w:rPr>
          <w:rFonts w:ascii="Verdana" w:hAnsi="Verdana"/>
          <w:sz w:val="18"/>
          <w:szCs w:val="18"/>
        </w:rPr>
        <w:t xml:space="preserve"> Het betreft hier de reguliere eindejaarsmarge maar ook de eindejaarsmarge voor het noodhulpfonds waarbij EUR 170 miljoen wordt toegevoegd aan de begroting van BHOS. </w:t>
      </w:r>
    </w:p>
    <w:p w:rsidR="00A803E2" w:rsidRPr="00403D25" w:rsidRDefault="00DD0EF2" w:rsidP="00067B3B">
      <w:pPr>
        <w:pStyle w:val="Lijstalinea"/>
        <w:numPr>
          <w:ilvl w:val="0"/>
          <w:numId w:val="14"/>
        </w:numPr>
        <w:rPr>
          <w:rFonts w:ascii="Verdana" w:hAnsi="Verdana"/>
          <w:sz w:val="18"/>
          <w:szCs w:val="18"/>
        </w:rPr>
      </w:pPr>
      <w:r w:rsidRPr="00403D25">
        <w:rPr>
          <w:rFonts w:ascii="Verdana" w:hAnsi="Verdana"/>
          <w:sz w:val="18"/>
          <w:szCs w:val="18"/>
        </w:rPr>
        <w:t>Er vinden meerdere overboekingen van en naar de HGIS plaats.</w:t>
      </w:r>
      <w:r w:rsidR="00785234" w:rsidRPr="00403D25">
        <w:rPr>
          <w:rFonts w:ascii="Verdana" w:hAnsi="Verdana"/>
          <w:sz w:val="18"/>
          <w:szCs w:val="18"/>
        </w:rPr>
        <w:t xml:space="preserve"> </w:t>
      </w:r>
      <w:r w:rsidR="00A14C9B" w:rsidRPr="00403D25">
        <w:rPr>
          <w:rFonts w:ascii="Verdana" w:hAnsi="Verdana"/>
          <w:sz w:val="18"/>
          <w:szCs w:val="18"/>
        </w:rPr>
        <w:t xml:space="preserve">De belangrijkste mutaties betreffen de overheveling uit het Budget Internationale Veiligheid naar de begroting van Defensie. </w:t>
      </w:r>
      <w:r w:rsidR="00067B3B" w:rsidRPr="00403D25">
        <w:rPr>
          <w:rFonts w:ascii="Verdana" w:hAnsi="Verdana"/>
          <w:sz w:val="18"/>
          <w:szCs w:val="18"/>
        </w:rPr>
        <w:t>Het gaat hierbij om Defensie-uitgaven voor activiteiten gekoppeld aan missies en operaties die geen onderdeel van de HGIS zijn.</w:t>
      </w:r>
      <w:r w:rsidR="00A14C9B" w:rsidRPr="00403D25">
        <w:rPr>
          <w:rFonts w:ascii="Verdana" w:hAnsi="Verdana"/>
          <w:sz w:val="18"/>
          <w:szCs w:val="18"/>
        </w:rPr>
        <w:t xml:space="preserve"> </w:t>
      </w:r>
    </w:p>
    <w:p w:rsidR="00502A5E" w:rsidRPr="00403D25" w:rsidRDefault="00502A5E" w:rsidP="00DD0EF2">
      <w:pPr>
        <w:pStyle w:val="Lijstalinea"/>
        <w:numPr>
          <w:ilvl w:val="0"/>
          <w:numId w:val="14"/>
        </w:numPr>
        <w:rPr>
          <w:rFonts w:ascii="Verdana" w:hAnsi="Verdana"/>
          <w:sz w:val="18"/>
          <w:szCs w:val="18"/>
        </w:rPr>
      </w:pPr>
      <w:r w:rsidRPr="00403D25">
        <w:rPr>
          <w:rFonts w:ascii="Verdana" w:hAnsi="Verdana"/>
          <w:sz w:val="18"/>
          <w:szCs w:val="18"/>
        </w:rPr>
        <w:t xml:space="preserve">Vanwege de stijging van </w:t>
      </w:r>
      <w:r w:rsidR="0016263F" w:rsidRPr="00403D25">
        <w:rPr>
          <w:rFonts w:ascii="Verdana" w:hAnsi="Verdana"/>
          <w:sz w:val="18"/>
          <w:szCs w:val="18"/>
        </w:rPr>
        <w:t xml:space="preserve">de </w:t>
      </w:r>
      <w:r w:rsidRPr="00403D25">
        <w:rPr>
          <w:rFonts w:ascii="Verdana" w:hAnsi="Verdana"/>
          <w:sz w:val="18"/>
          <w:szCs w:val="18"/>
        </w:rPr>
        <w:t>toerekening aan de eerstejaarsopvang voor asielzoekers uit DAC-landen heeft een kasschuif plaatsgevonden vanuit 201</w:t>
      </w:r>
      <w:r w:rsidR="0080729C" w:rsidRPr="00403D25">
        <w:rPr>
          <w:rFonts w:ascii="Verdana" w:hAnsi="Verdana"/>
          <w:sz w:val="18"/>
          <w:szCs w:val="18"/>
        </w:rPr>
        <w:t xml:space="preserve">6 t/m 2020 </w:t>
      </w:r>
      <w:r w:rsidRPr="00403D25">
        <w:rPr>
          <w:rFonts w:ascii="Verdana" w:hAnsi="Verdana"/>
          <w:sz w:val="18"/>
          <w:szCs w:val="18"/>
        </w:rPr>
        <w:t>ten gunste van 201</w:t>
      </w:r>
      <w:r w:rsidR="0080729C" w:rsidRPr="00403D25">
        <w:rPr>
          <w:rFonts w:ascii="Verdana" w:hAnsi="Verdana"/>
          <w:sz w:val="18"/>
          <w:szCs w:val="18"/>
        </w:rPr>
        <w:t>5</w:t>
      </w:r>
      <w:r w:rsidR="009E0295" w:rsidRPr="00403D25">
        <w:rPr>
          <w:rFonts w:ascii="Verdana" w:hAnsi="Verdana"/>
          <w:sz w:val="18"/>
          <w:szCs w:val="18"/>
        </w:rPr>
        <w:t xml:space="preserve"> om hiermee de gestegen kosten in 2015 te kunnen dekken</w:t>
      </w:r>
      <w:r w:rsidRPr="00403D25">
        <w:rPr>
          <w:rFonts w:ascii="Verdana" w:hAnsi="Verdana"/>
          <w:sz w:val="18"/>
          <w:szCs w:val="18"/>
        </w:rPr>
        <w:t xml:space="preserve">. </w:t>
      </w:r>
      <w:r w:rsidR="00AF648D" w:rsidRPr="00403D25">
        <w:rPr>
          <w:rFonts w:ascii="Verdana" w:hAnsi="Verdana"/>
          <w:sz w:val="18"/>
          <w:szCs w:val="18"/>
        </w:rPr>
        <w:t xml:space="preserve">Daarnaast is </w:t>
      </w:r>
      <w:r w:rsidR="0080729C" w:rsidRPr="00403D25">
        <w:rPr>
          <w:rFonts w:ascii="Verdana" w:hAnsi="Verdana"/>
          <w:sz w:val="18"/>
          <w:szCs w:val="18"/>
        </w:rPr>
        <w:t xml:space="preserve">er budget uit HGIS onvoorzien vanuit 2017-2019 geschoven naar 2015 en 2016 om de ISIS-missie in Irak te kunnen financieren. Ten slotte </w:t>
      </w:r>
      <w:r w:rsidR="0087022B" w:rsidRPr="00403D25">
        <w:rPr>
          <w:rFonts w:ascii="Verdana" w:hAnsi="Verdana"/>
          <w:sz w:val="18"/>
          <w:szCs w:val="18"/>
        </w:rPr>
        <w:t xml:space="preserve">heeft er een kasschuif plaatsgevonden tussen 2015 en 2018 ter dekking van </w:t>
      </w:r>
      <w:r w:rsidR="00801F94" w:rsidRPr="00403D25">
        <w:rPr>
          <w:rFonts w:ascii="Verdana" w:hAnsi="Verdana"/>
          <w:sz w:val="18"/>
          <w:szCs w:val="18"/>
        </w:rPr>
        <w:t xml:space="preserve">een deel van </w:t>
      </w:r>
      <w:r w:rsidR="0087022B" w:rsidRPr="00403D25">
        <w:rPr>
          <w:rFonts w:ascii="Verdana" w:hAnsi="Verdana"/>
          <w:sz w:val="18"/>
          <w:szCs w:val="18"/>
        </w:rPr>
        <w:t>de motie van Ojik</w:t>
      </w:r>
      <w:r w:rsidR="00AF648D" w:rsidRPr="00403D25">
        <w:rPr>
          <w:rFonts w:ascii="Verdana" w:hAnsi="Verdana"/>
          <w:sz w:val="18"/>
          <w:szCs w:val="18"/>
        </w:rPr>
        <w:t xml:space="preserve">. </w:t>
      </w:r>
    </w:p>
    <w:p w:rsidR="0087022B" w:rsidRPr="00403D25" w:rsidRDefault="0087022B" w:rsidP="00DD0EF2">
      <w:pPr>
        <w:pStyle w:val="Lijstalinea"/>
        <w:numPr>
          <w:ilvl w:val="0"/>
          <w:numId w:val="14"/>
        </w:numPr>
        <w:rPr>
          <w:rFonts w:ascii="Verdana" w:hAnsi="Verdana"/>
          <w:sz w:val="18"/>
          <w:szCs w:val="18"/>
        </w:rPr>
      </w:pPr>
      <w:r w:rsidRPr="00403D25">
        <w:rPr>
          <w:rFonts w:ascii="Verdana" w:hAnsi="Verdana"/>
          <w:sz w:val="18"/>
          <w:szCs w:val="18"/>
        </w:rPr>
        <w:t xml:space="preserve">Op een aantal onderdelen nemen de </w:t>
      </w:r>
      <w:r w:rsidR="005A4B55" w:rsidRPr="00403D25">
        <w:rPr>
          <w:rFonts w:ascii="Verdana" w:hAnsi="Verdana"/>
          <w:sz w:val="18"/>
          <w:szCs w:val="18"/>
        </w:rPr>
        <w:t xml:space="preserve">ontvangsten toe en deze worden gedesaldeerd binnen het uitgavenkader. </w:t>
      </w:r>
      <w:r w:rsidR="004B626D" w:rsidRPr="00403D25">
        <w:rPr>
          <w:rFonts w:ascii="Verdana" w:hAnsi="Verdana"/>
          <w:sz w:val="18"/>
          <w:szCs w:val="18"/>
        </w:rPr>
        <w:t>De belangrijkste mutatie is een verhoging van de geraamde ontvangsten voor roerende middelen op de begroting van Buitenlandse Zaken.</w:t>
      </w:r>
    </w:p>
    <w:p w:rsidR="00B65FF1" w:rsidRPr="00403D25" w:rsidRDefault="00B65FF1" w:rsidP="00A803E2">
      <w:pPr>
        <w:rPr>
          <w:rFonts w:ascii="Verdana" w:hAnsi="Verdana"/>
          <w:sz w:val="18"/>
          <w:szCs w:val="18"/>
        </w:rPr>
      </w:pPr>
      <w:r w:rsidRPr="00403D25">
        <w:rPr>
          <w:rFonts w:ascii="Verdana" w:hAnsi="Verdana"/>
          <w:sz w:val="18"/>
          <w:szCs w:val="18"/>
        </w:rPr>
        <w:br w:type="page"/>
      </w:r>
    </w:p>
    <w:p w:rsidR="0088461B" w:rsidRPr="00403D25" w:rsidRDefault="001D7A55" w:rsidP="004B5774">
      <w:pPr>
        <w:pStyle w:val="Lijstalinea"/>
        <w:numPr>
          <w:ilvl w:val="0"/>
          <w:numId w:val="17"/>
        </w:numPr>
        <w:autoSpaceDE w:val="0"/>
        <w:autoSpaceDN w:val="0"/>
        <w:adjustRightInd w:val="0"/>
        <w:rPr>
          <w:rFonts w:ascii="Verdana" w:hAnsi="Verdana"/>
          <w:b/>
          <w:sz w:val="18"/>
          <w:szCs w:val="18"/>
        </w:rPr>
      </w:pPr>
      <w:r w:rsidRPr="00403D25">
        <w:rPr>
          <w:rFonts w:ascii="Verdana" w:hAnsi="Verdana"/>
          <w:b/>
          <w:sz w:val="18"/>
          <w:szCs w:val="18"/>
        </w:rPr>
        <w:lastRenderedPageBreak/>
        <w:t xml:space="preserve">Overzicht belangrijkste </w:t>
      </w:r>
      <w:r w:rsidR="00542E23" w:rsidRPr="00403D25">
        <w:rPr>
          <w:rFonts w:ascii="Verdana" w:hAnsi="Verdana"/>
          <w:b/>
          <w:sz w:val="18"/>
          <w:szCs w:val="18"/>
        </w:rPr>
        <w:t>suppletoire mutaties 201</w:t>
      </w:r>
      <w:r w:rsidR="00F23DCE" w:rsidRPr="00403D25">
        <w:rPr>
          <w:rFonts w:ascii="Verdana" w:hAnsi="Verdana"/>
          <w:b/>
          <w:sz w:val="18"/>
          <w:szCs w:val="18"/>
        </w:rPr>
        <w:t>5</w:t>
      </w:r>
    </w:p>
    <w:p w:rsidR="005F032C" w:rsidRPr="00403D25" w:rsidRDefault="005F032C" w:rsidP="005F032C">
      <w:pPr>
        <w:autoSpaceDE w:val="0"/>
        <w:autoSpaceDN w:val="0"/>
        <w:adjustRightInd w:val="0"/>
        <w:rPr>
          <w:rFonts w:ascii="Verdana" w:hAnsi="Verdana" w:cs="Courier New"/>
          <w:sz w:val="18"/>
          <w:szCs w:val="18"/>
        </w:rPr>
      </w:pPr>
    </w:p>
    <w:p w:rsidR="00E87C6D" w:rsidRPr="00403D25" w:rsidRDefault="00B03561" w:rsidP="005D31E9">
      <w:pPr>
        <w:pStyle w:val="Plattetekst2"/>
        <w:tabs>
          <w:tab w:val="left" w:pos="709"/>
        </w:tabs>
        <w:outlineLvl w:val="0"/>
        <w:rPr>
          <w:rFonts w:ascii="Verdana" w:hAnsi="Verdana"/>
          <w:b/>
          <w:iCs/>
          <w:sz w:val="18"/>
          <w:szCs w:val="18"/>
        </w:rPr>
      </w:pPr>
      <w:r w:rsidRPr="00403D25">
        <w:rPr>
          <w:rFonts w:ascii="Verdana" w:hAnsi="Verdana"/>
          <w:b/>
          <w:iCs/>
          <w:sz w:val="18"/>
          <w:szCs w:val="18"/>
        </w:rPr>
        <w:t>Uitgaven:</w:t>
      </w:r>
      <w:r w:rsidR="00E87C6D" w:rsidRPr="00403D25">
        <w:rPr>
          <w:rFonts w:ascii="Verdana" w:hAnsi="Verdana"/>
          <w:b/>
          <w:iCs/>
          <w:sz w:val="18"/>
          <w:szCs w:val="18"/>
        </w:rPr>
        <w:t xml:space="preserve"> </w:t>
      </w:r>
    </w:p>
    <w:p w:rsidR="00391EE0" w:rsidRPr="00403D25" w:rsidRDefault="00391EE0" w:rsidP="00391EE0">
      <w:pPr>
        <w:widowControl w:val="0"/>
        <w:autoSpaceDE w:val="0"/>
        <w:autoSpaceDN w:val="0"/>
        <w:adjustRightInd w:val="0"/>
        <w:rPr>
          <w:rFonts w:ascii="Verdana" w:hAnsi="Verdana"/>
          <w:b/>
          <w:iCs/>
          <w:sz w:val="18"/>
          <w:szCs w:val="18"/>
        </w:rPr>
      </w:pPr>
      <w:r w:rsidRPr="00403D25">
        <w:rPr>
          <w:rFonts w:ascii="Verdana" w:hAnsi="Verdana"/>
          <w:sz w:val="18"/>
          <w:szCs w:val="18"/>
        </w:rPr>
        <w:t>Het onderhavige wetsvoorstel leidt tot</w:t>
      </w:r>
      <w:r>
        <w:rPr>
          <w:rFonts w:ascii="Verdana" w:hAnsi="Verdana"/>
          <w:sz w:val="18"/>
          <w:szCs w:val="18"/>
        </w:rPr>
        <w:t xml:space="preserve"> een opwaartse bijstelling</w:t>
      </w:r>
      <w:r w:rsidRPr="00403D25">
        <w:rPr>
          <w:rFonts w:ascii="Verdana" w:hAnsi="Verdana"/>
          <w:sz w:val="18"/>
          <w:szCs w:val="18"/>
        </w:rPr>
        <w:t xml:space="preserve"> op de begroting 2015 van Buitenlandse Zaken (V) van EUR 1,44 miljard </w:t>
      </w:r>
      <w:r>
        <w:rPr>
          <w:rFonts w:ascii="Verdana" w:hAnsi="Verdana"/>
          <w:sz w:val="18"/>
          <w:szCs w:val="18"/>
        </w:rPr>
        <w:t xml:space="preserve">door met name de vertraagde ratificatie van het Eigen Middelenbesluit. Dat leidt tot een verschuiving van ontvangsten van 2015 naar 2016. </w:t>
      </w:r>
    </w:p>
    <w:p w:rsidR="00B428F7" w:rsidRPr="00403D25" w:rsidRDefault="00B428F7" w:rsidP="005F032C">
      <w:pPr>
        <w:autoSpaceDE w:val="0"/>
        <w:autoSpaceDN w:val="0"/>
        <w:adjustRightInd w:val="0"/>
        <w:rPr>
          <w:rFonts w:ascii="Verdana" w:hAnsi="Verdana"/>
          <w:sz w:val="18"/>
          <w:szCs w:val="18"/>
        </w:rPr>
      </w:pPr>
    </w:p>
    <w:p w:rsidR="001D7A55" w:rsidRPr="00403D25" w:rsidRDefault="001D7A55" w:rsidP="005F032C">
      <w:pPr>
        <w:autoSpaceDE w:val="0"/>
        <w:autoSpaceDN w:val="0"/>
        <w:adjustRightInd w:val="0"/>
        <w:rPr>
          <w:rFonts w:ascii="Verdana" w:hAnsi="Verdana"/>
          <w:sz w:val="18"/>
          <w:szCs w:val="18"/>
        </w:rPr>
      </w:pPr>
      <w:r w:rsidRPr="00403D25">
        <w:rPr>
          <w:rFonts w:ascii="Verdana" w:hAnsi="Verdana"/>
          <w:sz w:val="18"/>
          <w:szCs w:val="18"/>
        </w:rPr>
        <w:t xml:space="preserve">In de volgende tabel volgt een overzicht van </w:t>
      </w:r>
      <w:r w:rsidR="00117E3A" w:rsidRPr="00403D25">
        <w:rPr>
          <w:rFonts w:ascii="Verdana" w:hAnsi="Verdana"/>
          <w:sz w:val="18"/>
          <w:szCs w:val="18"/>
        </w:rPr>
        <w:t>de meest in het oog springende</w:t>
      </w:r>
      <w:r w:rsidRPr="00403D25">
        <w:rPr>
          <w:rFonts w:ascii="Verdana" w:hAnsi="Verdana"/>
          <w:sz w:val="18"/>
          <w:szCs w:val="18"/>
        </w:rPr>
        <w:t xml:space="preserve"> </w:t>
      </w:r>
      <w:r w:rsidR="000B6E96" w:rsidRPr="00403D25">
        <w:rPr>
          <w:rFonts w:ascii="Verdana" w:hAnsi="Verdana"/>
          <w:sz w:val="18"/>
          <w:szCs w:val="18"/>
        </w:rPr>
        <w:t xml:space="preserve">beleidsmatige </w:t>
      </w:r>
      <w:r w:rsidRPr="00403D25">
        <w:rPr>
          <w:rFonts w:ascii="Verdana" w:hAnsi="Verdana"/>
          <w:sz w:val="18"/>
          <w:szCs w:val="18"/>
        </w:rPr>
        <w:t xml:space="preserve">wijziging ten opzichte van de </w:t>
      </w:r>
      <w:r w:rsidR="0016263F" w:rsidRPr="00403D25">
        <w:rPr>
          <w:rFonts w:ascii="Verdana" w:hAnsi="Verdana"/>
          <w:sz w:val="18"/>
          <w:szCs w:val="18"/>
        </w:rPr>
        <w:t>Ontwerpb</w:t>
      </w:r>
      <w:r w:rsidR="00E87C6D" w:rsidRPr="00403D25">
        <w:rPr>
          <w:rFonts w:ascii="Verdana" w:hAnsi="Verdana"/>
          <w:sz w:val="18"/>
          <w:szCs w:val="18"/>
        </w:rPr>
        <w:t>egroting</w:t>
      </w:r>
      <w:r w:rsidRPr="00403D25">
        <w:rPr>
          <w:rFonts w:ascii="Verdana" w:hAnsi="Verdana"/>
          <w:sz w:val="18"/>
          <w:szCs w:val="18"/>
        </w:rPr>
        <w:t xml:space="preserve"> 201</w:t>
      </w:r>
      <w:r w:rsidR="00F23DCE" w:rsidRPr="00403D25">
        <w:rPr>
          <w:rFonts w:ascii="Verdana" w:hAnsi="Verdana"/>
          <w:sz w:val="18"/>
          <w:szCs w:val="18"/>
        </w:rPr>
        <w:t>5</w:t>
      </w:r>
      <w:r w:rsidRPr="00403D25">
        <w:rPr>
          <w:rFonts w:ascii="Verdana" w:hAnsi="Verdana"/>
          <w:sz w:val="18"/>
          <w:szCs w:val="18"/>
        </w:rPr>
        <w:t xml:space="preserve"> van het Ministerie van Buitenlandse Zaken (V), gevolgd door een toelichting. </w:t>
      </w:r>
      <w:r w:rsidR="002B63F1" w:rsidRPr="00403D25">
        <w:rPr>
          <w:rFonts w:ascii="Verdana" w:hAnsi="Verdana"/>
          <w:sz w:val="18"/>
          <w:szCs w:val="18"/>
        </w:rPr>
        <w:t xml:space="preserve">De overige mutaties worden bij onderdeel 5, Toelichting per beleidsartikel, toegelicht. </w:t>
      </w:r>
    </w:p>
    <w:p w:rsidR="00A05F84" w:rsidRPr="00403D25" w:rsidRDefault="00A05F84" w:rsidP="001D7A55">
      <w:pPr>
        <w:rPr>
          <w:rFonts w:ascii="Verdana" w:hAnsi="Verdana"/>
          <w:sz w:val="18"/>
          <w:szCs w:val="18"/>
        </w:rPr>
      </w:pPr>
    </w:p>
    <w:p w:rsidR="001D7A55" w:rsidRPr="00403D25" w:rsidRDefault="00A05F84" w:rsidP="001D7A55">
      <w:pPr>
        <w:rPr>
          <w:rFonts w:ascii="Verdana" w:hAnsi="Verdana"/>
          <w:sz w:val="16"/>
          <w:szCs w:val="16"/>
        </w:rPr>
      </w:pPr>
      <w:r w:rsidRPr="00403D25">
        <w:rPr>
          <w:rFonts w:ascii="Verdana" w:hAnsi="Verdana"/>
          <w:sz w:val="16"/>
          <w:szCs w:val="16"/>
        </w:rPr>
        <w:t>Bedragen x EUR 1 miljoen</w:t>
      </w:r>
    </w:p>
    <w:tbl>
      <w:tblPr>
        <w:tblW w:w="79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5780"/>
        <w:gridCol w:w="1204"/>
      </w:tblGrid>
      <w:tr w:rsidR="001D7A55" w:rsidRPr="00403D25" w:rsidTr="000B6E96">
        <w:trPr>
          <w:trHeight w:val="255"/>
        </w:trPr>
        <w:tc>
          <w:tcPr>
            <w:tcW w:w="960" w:type="dxa"/>
            <w:noWrap/>
            <w:vAlign w:val="bottom"/>
          </w:tcPr>
          <w:p w:rsidR="001D7A55" w:rsidRPr="00403D25" w:rsidRDefault="001D7A55" w:rsidP="00E25F68">
            <w:pPr>
              <w:rPr>
                <w:rFonts w:ascii="Verdana" w:hAnsi="Verdana" w:cs="Arial"/>
                <w:b/>
                <w:bCs/>
                <w:sz w:val="18"/>
                <w:szCs w:val="18"/>
              </w:rPr>
            </w:pPr>
            <w:bookmarkStart w:id="1" w:name="RANGE!A1:C13"/>
            <w:bookmarkEnd w:id="1"/>
            <w:r w:rsidRPr="00403D25">
              <w:rPr>
                <w:rFonts w:ascii="Verdana" w:hAnsi="Verdana" w:cs="Arial"/>
                <w:b/>
                <w:bCs/>
                <w:sz w:val="18"/>
                <w:szCs w:val="18"/>
              </w:rPr>
              <w:t>Artikel</w:t>
            </w:r>
          </w:p>
        </w:tc>
        <w:tc>
          <w:tcPr>
            <w:tcW w:w="5780" w:type="dxa"/>
            <w:noWrap/>
            <w:vAlign w:val="bottom"/>
          </w:tcPr>
          <w:p w:rsidR="001D7A55" w:rsidRPr="00403D25" w:rsidRDefault="001D7A55" w:rsidP="00E25F68">
            <w:pPr>
              <w:rPr>
                <w:rFonts w:ascii="Verdana" w:hAnsi="Verdana" w:cs="Arial"/>
                <w:sz w:val="18"/>
                <w:szCs w:val="18"/>
              </w:rPr>
            </w:pPr>
            <w:r w:rsidRPr="00403D25">
              <w:rPr>
                <w:rFonts w:ascii="Verdana" w:hAnsi="Verdana" w:cs="Arial"/>
                <w:sz w:val="18"/>
                <w:szCs w:val="18"/>
              </w:rPr>
              <w:t> </w:t>
            </w:r>
          </w:p>
        </w:tc>
        <w:tc>
          <w:tcPr>
            <w:tcW w:w="1204" w:type="dxa"/>
            <w:noWrap/>
            <w:vAlign w:val="bottom"/>
          </w:tcPr>
          <w:p w:rsidR="001D7A55" w:rsidRPr="00403D25" w:rsidRDefault="001D7A55" w:rsidP="00E25F68">
            <w:pPr>
              <w:rPr>
                <w:rFonts w:ascii="Verdana" w:hAnsi="Verdana" w:cs="Arial"/>
                <w:b/>
                <w:bCs/>
                <w:sz w:val="18"/>
                <w:szCs w:val="18"/>
              </w:rPr>
            </w:pPr>
            <w:r w:rsidRPr="00403D25">
              <w:rPr>
                <w:rFonts w:ascii="Verdana" w:hAnsi="Verdana" w:cs="Arial"/>
                <w:b/>
                <w:bCs/>
                <w:sz w:val="18"/>
                <w:szCs w:val="18"/>
              </w:rPr>
              <w:t>Mutatie</w:t>
            </w:r>
          </w:p>
        </w:tc>
      </w:tr>
      <w:tr w:rsidR="001D7A55" w:rsidRPr="00403D25" w:rsidTr="000B6E96">
        <w:trPr>
          <w:trHeight w:val="255"/>
        </w:trPr>
        <w:tc>
          <w:tcPr>
            <w:tcW w:w="960" w:type="dxa"/>
            <w:noWrap/>
            <w:vAlign w:val="bottom"/>
          </w:tcPr>
          <w:p w:rsidR="001D7A55" w:rsidRPr="00403D25" w:rsidRDefault="00A277C2" w:rsidP="00E25F68">
            <w:pPr>
              <w:jc w:val="right"/>
              <w:rPr>
                <w:rFonts w:ascii="Verdana" w:hAnsi="Verdana" w:cs="Arial"/>
                <w:sz w:val="18"/>
                <w:szCs w:val="18"/>
              </w:rPr>
            </w:pPr>
            <w:r w:rsidRPr="00403D25">
              <w:rPr>
                <w:rFonts w:ascii="Verdana" w:hAnsi="Verdana" w:cs="Arial"/>
                <w:sz w:val="18"/>
                <w:szCs w:val="18"/>
              </w:rPr>
              <w:t>3</w:t>
            </w:r>
          </w:p>
        </w:tc>
        <w:tc>
          <w:tcPr>
            <w:tcW w:w="5780" w:type="dxa"/>
            <w:noWrap/>
            <w:vAlign w:val="bottom"/>
          </w:tcPr>
          <w:p w:rsidR="001D7A55" w:rsidRPr="00403D25" w:rsidRDefault="00A277C2" w:rsidP="00E25F68">
            <w:pPr>
              <w:rPr>
                <w:rFonts w:ascii="Verdana" w:hAnsi="Verdana" w:cs="Arial"/>
                <w:sz w:val="18"/>
                <w:szCs w:val="18"/>
              </w:rPr>
            </w:pPr>
            <w:r w:rsidRPr="00403D25">
              <w:rPr>
                <w:rFonts w:ascii="Verdana" w:hAnsi="Verdana" w:cs="Arial"/>
                <w:sz w:val="18"/>
                <w:szCs w:val="18"/>
              </w:rPr>
              <w:t>Afdracht Europese Unie</w:t>
            </w:r>
          </w:p>
        </w:tc>
        <w:tc>
          <w:tcPr>
            <w:tcW w:w="1204" w:type="dxa"/>
            <w:noWrap/>
            <w:vAlign w:val="bottom"/>
          </w:tcPr>
          <w:p w:rsidR="001D7A55" w:rsidRPr="00403D25" w:rsidRDefault="00E91A18" w:rsidP="00AF4926">
            <w:pPr>
              <w:ind w:left="360"/>
              <w:jc w:val="right"/>
              <w:rPr>
                <w:rFonts w:ascii="Verdana" w:hAnsi="Verdana" w:cs="Arial"/>
                <w:sz w:val="18"/>
                <w:szCs w:val="18"/>
              </w:rPr>
            </w:pPr>
            <w:r w:rsidRPr="00403D25">
              <w:rPr>
                <w:rFonts w:ascii="Verdana" w:hAnsi="Verdana" w:cs="Arial"/>
                <w:sz w:val="18"/>
                <w:szCs w:val="18"/>
              </w:rPr>
              <w:t>1.</w:t>
            </w:r>
            <w:r w:rsidR="00AF4926" w:rsidRPr="00403D25">
              <w:rPr>
                <w:rFonts w:ascii="Verdana" w:hAnsi="Verdana" w:cs="Arial"/>
                <w:sz w:val="18"/>
                <w:szCs w:val="18"/>
              </w:rPr>
              <w:t>433,6</w:t>
            </w:r>
          </w:p>
        </w:tc>
      </w:tr>
    </w:tbl>
    <w:p w:rsidR="00F87B7C" w:rsidRPr="00403D25" w:rsidRDefault="00F87B7C" w:rsidP="00910CFB">
      <w:pPr>
        <w:pStyle w:val="Plattetekst2"/>
        <w:tabs>
          <w:tab w:val="left" w:pos="709"/>
        </w:tabs>
        <w:outlineLvl w:val="0"/>
        <w:rPr>
          <w:rFonts w:ascii="Verdana" w:hAnsi="Verdana"/>
          <w:b/>
          <w:sz w:val="18"/>
          <w:szCs w:val="18"/>
        </w:rPr>
      </w:pPr>
    </w:p>
    <w:p w:rsidR="00910CFB" w:rsidRPr="00403D25" w:rsidRDefault="00910CFB" w:rsidP="00910CFB">
      <w:pPr>
        <w:pStyle w:val="Plattetekst2"/>
        <w:tabs>
          <w:tab w:val="left" w:pos="709"/>
        </w:tabs>
        <w:outlineLvl w:val="0"/>
        <w:rPr>
          <w:rFonts w:ascii="Verdana" w:hAnsi="Verdana"/>
          <w:b/>
          <w:sz w:val="18"/>
          <w:szCs w:val="18"/>
        </w:rPr>
      </w:pPr>
      <w:r w:rsidRPr="00403D25">
        <w:rPr>
          <w:rFonts w:ascii="Verdana" w:hAnsi="Verdana"/>
          <w:b/>
          <w:sz w:val="18"/>
          <w:szCs w:val="18"/>
        </w:rPr>
        <w:t>Toelichting</w:t>
      </w:r>
    </w:p>
    <w:p w:rsidR="00603047" w:rsidRPr="00403D25" w:rsidRDefault="00603047" w:rsidP="00603047">
      <w:pPr>
        <w:pStyle w:val="Plattetekst2"/>
        <w:tabs>
          <w:tab w:val="left" w:pos="709"/>
        </w:tabs>
        <w:outlineLvl w:val="0"/>
        <w:rPr>
          <w:rFonts w:ascii="Verdana" w:hAnsi="Verdana"/>
          <w:sz w:val="18"/>
          <w:szCs w:val="18"/>
        </w:rPr>
      </w:pPr>
    </w:p>
    <w:p w:rsidR="00603047" w:rsidRPr="00403D25" w:rsidRDefault="00603047" w:rsidP="0046766D">
      <w:pPr>
        <w:rPr>
          <w:rFonts w:ascii="Verdana" w:hAnsi="Verdana"/>
          <w:sz w:val="18"/>
          <w:szCs w:val="18"/>
        </w:rPr>
      </w:pPr>
      <w:r w:rsidRPr="00403D25">
        <w:rPr>
          <w:rFonts w:ascii="Verdana" w:hAnsi="Verdana"/>
          <w:sz w:val="18"/>
          <w:szCs w:val="18"/>
        </w:rPr>
        <w:t xml:space="preserve">Artikel </w:t>
      </w:r>
      <w:r w:rsidR="00E7281E" w:rsidRPr="00403D25">
        <w:rPr>
          <w:rFonts w:ascii="Verdana" w:hAnsi="Verdana"/>
          <w:sz w:val="18"/>
          <w:szCs w:val="18"/>
        </w:rPr>
        <w:t>3.1</w:t>
      </w:r>
    </w:p>
    <w:p w:rsidR="00A436F8" w:rsidRPr="00403D25" w:rsidRDefault="00A436F8" w:rsidP="00A436F8">
      <w:pPr>
        <w:pStyle w:val="Geenafstand"/>
        <w:spacing w:line="240" w:lineRule="exact"/>
        <w:rPr>
          <w:i/>
          <w:iCs/>
          <w:szCs w:val="18"/>
        </w:rPr>
      </w:pPr>
      <w:r w:rsidRPr="00403D25">
        <w:rPr>
          <w:iCs/>
          <w:szCs w:val="18"/>
        </w:rPr>
        <w:t>De mutatie op de afdracht aan de EU bestaat uit de volgende onderdelen:</w:t>
      </w:r>
    </w:p>
    <w:p w:rsidR="00A436F8" w:rsidRPr="00403D25" w:rsidRDefault="00A436F8" w:rsidP="00A436F8">
      <w:pPr>
        <w:pStyle w:val="Geenafstand"/>
        <w:numPr>
          <w:ilvl w:val="0"/>
          <w:numId w:val="22"/>
        </w:numPr>
        <w:spacing w:line="240" w:lineRule="exact"/>
        <w:rPr>
          <w:i/>
          <w:iCs/>
          <w:szCs w:val="18"/>
        </w:rPr>
      </w:pPr>
      <w:r w:rsidRPr="00403D25">
        <w:rPr>
          <w:i/>
          <w:iCs/>
          <w:szCs w:val="18"/>
        </w:rPr>
        <w:t xml:space="preserve">Naheffing: </w:t>
      </w:r>
      <w:r w:rsidRPr="00403D25">
        <w:t>De terugbetaling van EUR 460 miljoen euro als gevolg van de naheffing uit hoofde van de revisie van de Nationale Rekeningen wordt voor het einde van dit jaar geheel ontvangen in de kas</w:t>
      </w:r>
      <w:r w:rsidRPr="00403D25">
        <w:rPr>
          <w:szCs w:val="18"/>
        </w:rPr>
        <w:t xml:space="preserve">. </w:t>
      </w:r>
    </w:p>
    <w:p w:rsidR="00A436F8" w:rsidRPr="00403D25" w:rsidRDefault="00A436F8" w:rsidP="00A436F8">
      <w:pPr>
        <w:pStyle w:val="Geenafstand"/>
        <w:numPr>
          <w:ilvl w:val="0"/>
          <w:numId w:val="22"/>
        </w:numPr>
        <w:spacing w:line="240" w:lineRule="exact"/>
        <w:rPr>
          <w:i/>
          <w:iCs/>
          <w:szCs w:val="18"/>
        </w:rPr>
      </w:pPr>
      <w:r w:rsidRPr="00403D25">
        <w:rPr>
          <w:i/>
          <w:iCs/>
          <w:szCs w:val="18"/>
        </w:rPr>
        <w:t xml:space="preserve">Vertraagde ratificatie: </w:t>
      </w:r>
      <w:r w:rsidRPr="00403D25">
        <w:rPr>
          <w:szCs w:val="18"/>
        </w:rPr>
        <w:t>De ratificatie van het Eigen Middelenbesluit in alle lidstaten wordt niet meer voorzien voor het einde van 2015. De jaarlijkse Nederlandse korting, die onderdeel uitmaakt van het Eigen Middelenbesluit, slaat daardoor in 2016 voor drie jaren neer (2014 t/m 2016). De vertraagde ratificatie leidt ook tot een mutatie bij de ontvangsten (zie artikel 3.10).</w:t>
      </w:r>
      <w:r w:rsidR="00EA2DA4" w:rsidRPr="00403D25">
        <w:rPr>
          <w:szCs w:val="18"/>
        </w:rPr>
        <w:t xml:space="preserve"> </w:t>
      </w:r>
      <w:r w:rsidR="00515801" w:rsidRPr="00403D25">
        <w:rPr>
          <w:szCs w:val="18"/>
        </w:rPr>
        <w:t xml:space="preserve">Per saldo leidt de vertraagde ratificatie van het Eigen Middelenbesluit tot een tegenvaller van </w:t>
      </w:r>
      <w:r w:rsidR="000E706F">
        <w:rPr>
          <w:szCs w:val="18"/>
        </w:rPr>
        <w:t xml:space="preserve">EUR </w:t>
      </w:r>
      <w:r w:rsidR="00515801" w:rsidRPr="00403D25">
        <w:rPr>
          <w:szCs w:val="18"/>
        </w:rPr>
        <w:t>1,8 miljard in 2015 en een meevaller van</w:t>
      </w:r>
      <w:r w:rsidR="000E706F">
        <w:rPr>
          <w:szCs w:val="18"/>
        </w:rPr>
        <w:t xml:space="preserve"> EUR</w:t>
      </w:r>
      <w:r w:rsidR="00515801" w:rsidRPr="00403D25">
        <w:rPr>
          <w:szCs w:val="18"/>
        </w:rPr>
        <w:t xml:space="preserve"> 1,8 miljard in 2016.</w:t>
      </w:r>
    </w:p>
    <w:p w:rsidR="004F6902" w:rsidRPr="00403D25" w:rsidRDefault="00A436F8" w:rsidP="00E1514E">
      <w:pPr>
        <w:pStyle w:val="Geenafstand"/>
        <w:numPr>
          <w:ilvl w:val="0"/>
          <w:numId w:val="22"/>
        </w:numPr>
        <w:spacing w:line="240" w:lineRule="exact"/>
        <w:rPr>
          <w:i/>
          <w:szCs w:val="18"/>
        </w:rPr>
      </w:pPr>
      <w:r w:rsidRPr="00403D25">
        <w:rPr>
          <w:i/>
          <w:szCs w:val="18"/>
        </w:rPr>
        <w:t>EU-afdrachten –</w:t>
      </w:r>
      <w:r w:rsidR="00305E72" w:rsidRPr="00403D25">
        <w:rPr>
          <w:i/>
          <w:szCs w:val="18"/>
        </w:rPr>
        <w:t xml:space="preserve"> </w:t>
      </w:r>
      <w:r w:rsidRPr="00403D25">
        <w:rPr>
          <w:i/>
          <w:szCs w:val="18"/>
        </w:rPr>
        <w:t xml:space="preserve">Overig: </w:t>
      </w:r>
    </w:p>
    <w:p w:rsidR="004F6902" w:rsidRPr="00403D25" w:rsidRDefault="00E1514E" w:rsidP="004F6902">
      <w:pPr>
        <w:pStyle w:val="Geenafstand"/>
        <w:numPr>
          <w:ilvl w:val="1"/>
          <w:numId w:val="22"/>
        </w:numPr>
        <w:spacing w:line="240" w:lineRule="exact"/>
        <w:rPr>
          <w:i/>
          <w:szCs w:val="18"/>
        </w:rPr>
      </w:pPr>
      <w:r w:rsidRPr="00403D25">
        <w:rPr>
          <w:szCs w:val="18"/>
        </w:rPr>
        <w:t xml:space="preserve">Het betreft in eerste instantie het in december vorig jaar gesloten akkoord tussen de Raad en het Europees Parlement over de begroting 2015 en de aanvullende begrotingen voor 2014. Begin december 2014 hebben de Raad en het Europees Parlement een akkoord bereikt over de aanvullende begroting voor 2014. Dat akkoord leidde tot hogere uitgaven voor Nederland — </w:t>
      </w:r>
      <w:r w:rsidR="000E706F">
        <w:rPr>
          <w:szCs w:val="18"/>
        </w:rPr>
        <w:t xml:space="preserve">EUR </w:t>
      </w:r>
      <w:r w:rsidRPr="00403D25">
        <w:rPr>
          <w:szCs w:val="18"/>
        </w:rPr>
        <w:t xml:space="preserve">150 miljoen — en hogere inkomsten voor Nederland — </w:t>
      </w:r>
      <w:r w:rsidR="000E706F">
        <w:rPr>
          <w:szCs w:val="18"/>
        </w:rPr>
        <w:t xml:space="preserve">EUR </w:t>
      </w:r>
      <w:r w:rsidRPr="00403D25">
        <w:rPr>
          <w:szCs w:val="18"/>
        </w:rPr>
        <w:t>95 miljoen. Per saldo leidde dit akkoord tot</w:t>
      </w:r>
      <w:r w:rsidR="000E706F">
        <w:rPr>
          <w:szCs w:val="18"/>
        </w:rPr>
        <w:t xml:space="preserve"> EUR</w:t>
      </w:r>
      <w:r w:rsidRPr="00403D25">
        <w:rPr>
          <w:szCs w:val="18"/>
        </w:rPr>
        <w:t xml:space="preserve"> 55 miljoen hogere afdrachten voor 2014. Omdat het akkoord pas in december is gesloten zijn de budgettaire effecten doorgeschoven naar 2015. </w:t>
      </w:r>
    </w:p>
    <w:p w:rsidR="004F6902" w:rsidRPr="00403D25" w:rsidRDefault="00E1514E" w:rsidP="004F6902">
      <w:pPr>
        <w:pStyle w:val="Geenafstand"/>
        <w:numPr>
          <w:ilvl w:val="1"/>
          <w:numId w:val="22"/>
        </w:numPr>
        <w:spacing w:line="240" w:lineRule="exact"/>
        <w:rPr>
          <w:i/>
          <w:szCs w:val="18"/>
        </w:rPr>
      </w:pPr>
      <w:r w:rsidRPr="00403D25">
        <w:rPr>
          <w:szCs w:val="18"/>
        </w:rPr>
        <w:t>In tweede instantie resulteert uit de realisatie van de Europese begroting over 2014 een surplus (hogere inkomsten dan uitgaven). Dit surplus wordt toegevoegd aan de begroting voor het volgend jaar en verlaagt daarmee de afdrachten van de lidstaten (</w:t>
      </w:r>
      <w:r w:rsidR="000E706F">
        <w:rPr>
          <w:szCs w:val="18"/>
        </w:rPr>
        <w:t xml:space="preserve">EUR </w:t>
      </w:r>
      <w:r w:rsidRPr="00403D25">
        <w:rPr>
          <w:szCs w:val="18"/>
        </w:rPr>
        <w:t xml:space="preserve">66 miljoen voor Nederland). </w:t>
      </w:r>
    </w:p>
    <w:p w:rsidR="00E1514E" w:rsidRPr="00403D25" w:rsidRDefault="00E1514E" w:rsidP="004F6902">
      <w:pPr>
        <w:pStyle w:val="Geenafstand"/>
        <w:numPr>
          <w:ilvl w:val="1"/>
          <w:numId w:val="22"/>
        </w:numPr>
        <w:spacing w:line="240" w:lineRule="exact"/>
        <w:rPr>
          <w:i/>
          <w:szCs w:val="18"/>
        </w:rPr>
      </w:pPr>
      <w:r w:rsidRPr="00403D25">
        <w:rPr>
          <w:szCs w:val="18"/>
        </w:rPr>
        <w:t>In derde instantie worden de laatste ramingsbijstellingen verwerkt</w:t>
      </w:r>
      <w:r w:rsidR="004F6902" w:rsidRPr="00403D25">
        <w:rPr>
          <w:szCs w:val="18"/>
        </w:rPr>
        <w:t xml:space="preserve"> (</w:t>
      </w:r>
      <w:r w:rsidR="000E706F">
        <w:rPr>
          <w:szCs w:val="18"/>
        </w:rPr>
        <w:t xml:space="preserve">EUR </w:t>
      </w:r>
      <w:r w:rsidR="004F6902" w:rsidRPr="00403D25">
        <w:rPr>
          <w:szCs w:val="18"/>
        </w:rPr>
        <w:t>172 miljoen minder afdrachten)</w:t>
      </w:r>
      <w:r w:rsidRPr="00403D25">
        <w:rPr>
          <w:szCs w:val="18"/>
        </w:rPr>
        <w:t xml:space="preserve">. </w:t>
      </w:r>
    </w:p>
    <w:p w:rsidR="00A436F8" w:rsidRPr="00403D25" w:rsidRDefault="00A436F8" w:rsidP="00615953">
      <w:pPr>
        <w:pStyle w:val="Lijstalinea"/>
        <w:spacing w:line="240" w:lineRule="exact"/>
        <w:ind w:left="360"/>
        <w:rPr>
          <w:rFonts w:ascii="Verdana" w:hAnsi="Verdana"/>
          <w:i/>
          <w:sz w:val="18"/>
          <w:szCs w:val="18"/>
        </w:rPr>
      </w:pPr>
    </w:p>
    <w:p w:rsidR="00B03561" w:rsidRPr="00403D25" w:rsidRDefault="00B03561" w:rsidP="00B03561">
      <w:pPr>
        <w:pStyle w:val="Plattetekst2"/>
        <w:tabs>
          <w:tab w:val="left" w:pos="709"/>
        </w:tabs>
        <w:outlineLvl w:val="0"/>
        <w:rPr>
          <w:rFonts w:ascii="Verdana" w:hAnsi="Verdana"/>
          <w:b/>
          <w:iCs/>
          <w:sz w:val="18"/>
          <w:szCs w:val="18"/>
        </w:rPr>
      </w:pPr>
      <w:r w:rsidRPr="00403D25">
        <w:rPr>
          <w:rFonts w:ascii="Verdana" w:hAnsi="Verdana"/>
          <w:b/>
          <w:iCs/>
          <w:sz w:val="18"/>
          <w:szCs w:val="18"/>
        </w:rPr>
        <w:t xml:space="preserve">Ontvangsten: </w:t>
      </w:r>
    </w:p>
    <w:p w:rsidR="00B03561" w:rsidRPr="00403D25" w:rsidRDefault="00B03561" w:rsidP="00B03561">
      <w:pPr>
        <w:pStyle w:val="Plattetekst2"/>
        <w:tabs>
          <w:tab w:val="left" w:pos="709"/>
        </w:tabs>
        <w:outlineLvl w:val="0"/>
        <w:rPr>
          <w:rFonts w:ascii="Verdana" w:hAnsi="Verdana"/>
          <w:iCs/>
          <w:sz w:val="18"/>
          <w:szCs w:val="18"/>
        </w:rPr>
      </w:pPr>
      <w:r w:rsidRPr="00403D25">
        <w:rPr>
          <w:rFonts w:ascii="Verdana" w:hAnsi="Verdana"/>
          <w:iCs/>
          <w:sz w:val="18"/>
          <w:szCs w:val="18"/>
        </w:rPr>
        <w:t xml:space="preserve">Het voorstel </w:t>
      </w:r>
      <w:r w:rsidR="00AE415A" w:rsidRPr="00403D25">
        <w:rPr>
          <w:rFonts w:ascii="Verdana" w:hAnsi="Verdana"/>
          <w:iCs/>
          <w:sz w:val="18"/>
          <w:szCs w:val="18"/>
        </w:rPr>
        <w:t xml:space="preserve">leidt tot additionele </w:t>
      </w:r>
      <w:r w:rsidRPr="00403D25">
        <w:rPr>
          <w:rFonts w:ascii="Verdana" w:hAnsi="Verdana"/>
          <w:iCs/>
          <w:sz w:val="18"/>
          <w:szCs w:val="18"/>
        </w:rPr>
        <w:t>de ontvangsten voor 2015 met EUR 263 miljoen. De belangrijkste reden voor deze verhoging is de mutatie op de perceptiekostenvergoeding vanuit de Europese Unie.</w:t>
      </w:r>
    </w:p>
    <w:p w:rsidR="00B03561" w:rsidRPr="00403D25" w:rsidRDefault="00B03561" w:rsidP="00B03561">
      <w:pPr>
        <w:pStyle w:val="Plattetekst2"/>
        <w:tabs>
          <w:tab w:val="left" w:pos="709"/>
        </w:tabs>
        <w:outlineLvl w:val="0"/>
        <w:rPr>
          <w:rFonts w:ascii="Verdana" w:hAnsi="Verdana"/>
          <w:iCs/>
          <w:sz w:val="18"/>
          <w:szCs w:val="18"/>
        </w:rPr>
      </w:pPr>
    </w:p>
    <w:p w:rsidR="00B03561" w:rsidRPr="00403D25" w:rsidRDefault="00B03561" w:rsidP="00B03561">
      <w:pPr>
        <w:rPr>
          <w:rFonts w:ascii="Verdana" w:hAnsi="Verdana"/>
          <w:sz w:val="16"/>
          <w:szCs w:val="16"/>
        </w:rPr>
      </w:pPr>
      <w:r w:rsidRPr="00403D25">
        <w:rPr>
          <w:rFonts w:ascii="Verdana" w:hAnsi="Verdana"/>
          <w:sz w:val="16"/>
          <w:szCs w:val="16"/>
        </w:rPr>
        <w:t>Bedragen x EUR 1 miljoen</w:t>
      </w:r>
    </w:p>
    <w:tbl>
      <w:tblPr>
        <w:tblW w:w="79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5780"/>
        <w:gridCol w:w="1204"/>
      </w:tblGrid>
      <w:tr w:rsidR="00B03561" w:rsidRPr="00403D25" w:rsidTr="003275D9">
        <w:trPr>
          <w:trHeight w:val="255"/>
        </w:trPr>
        <w:tc>
          <w:tcPr>
            <w:tcW w:w="960" w:type="dxa"/>
            <w:noWrap/>
            <w:vAlign w:val="bottom"/>
          </w:tcPr>
          <w:p w:rsidR="00B03561" w:rsidRPr="00403D25" w:rsidRDefault="00B03561" w:rsidP="003275D9">
            <w:pPr>
              <w:rPr>
                <w:rFonts w:ascii="Verdana" w:hAnsi="Verdana" w:cs="Arial"/>
                <w:b/>
                <w:bCs/>
                <w:sz w:val="18"/>
                <w:szCs w:val="18"/>
              </w:rPr>
            </w:pPr>
            <w:r w:rsidRPr="00403D25">
              <w:rPr>
                <w:rFonts w:ascii="Verdana" w:hAnsi="Verdana" w:cs="Arial"/>
                <w:b/>
                <w:bCs/>
                <w:sz w:val="18"/>
                <w:szCs w:val="18"/>
              </w:rPr>
              <w:t>Artikel</w:t>
            </w:r>
          </w:p>
        </w:tc>
        <w:tc>
          <w:tcPr>
            <w:tcW w:w="5780" w:type="dxa"/>
            <w:noWrap/>
            <w:vAlign w:val="bottom"/>
          </w:tcPr>
          <w:p w:rsidR="00B03561" w:rsidRPr="00403D25" w:rsidRDefault="00B03561" w:rsidP="003275D9">
            <w:pPr>
              <w:rPr>
                <w:rFonts w:ascii="Verdana" w:hAnsi="Verdana" w:cs="Arial"/>
                <w:sz w:val="18"/>
                <w:szCs w:val="18"/>
              </w:rPr>
            </w:pPr>
            <w:r w:rsidRPr="00403D25">
              <w:rPr>
                <w:rFonts w:ascii="Verdana" w:hAnsi="Verdana" w:cs="Arial"/>
                <w:sz w:val="18"/>
                <w:szCs w:val="18"/>
              </w:rPr>
              <w:t> </w:t>
            </w:r>
          </w:p>
        </w:tc>
        <w:tc>
          <w:tcPr>
            <w:tcW w:w="1204" w:type="dxa"/>
            <w:noWrap/>
            <w:vAlign w:val="bottom"/>
          </w:tcPr>
          <w:p w:rsidR="00B03561" w:rsidRPr="00403D25" w:rsidRDefault="00B03561" w:rsidP="003275D9">
            <w:pPr>
              <w:rPr>
                <w:rFonts w:ascii="Verdana" w:hAnsi="Verdana" w:cs="Arial"/>
                <w:b/>
                <w:bCs/>
                <w:sz w:val="18"/>
                <w:szCs w:val="18"/>
              </w:rPr>
            </w:pPr>
            <w:r w:rsidRPr="00403D25">
              <w:rPr>
                <w:rFonts w:ascii="Verdana" w:hAnsi="Verdana" w:cs="Arial"/>
                <w:b/>
                <w:bCs/>
                <w:sz w:val="18"/>
                <w:szCs w:val="18"/>
              </w:rPr>
              <w:t>Mutatie</w:t>
            </w:r>
          </w:p>
        </w:tc>
      </w:tr>
      <w:tr w:rsidR="00B03561" w:rsidRPr="00403D25" w:rsidTr="003275D9">
        <w:trPr>
          <w:trHeight w:val="255"/>
        </w:trPr>
        <w:tc>
          <w:tcPr>
            <w:tcW w:w="960" w:type="dxa"/>
            <w:noWrap/>
            <w:vAlign w:val="bottom"/>
          </w:tcPr>
          <w:p w:rsidR="00B03561" w:rsidRPr="00403D25" w:rsidRDefault="00B03561" w:rsidP="003275D9">
            <w:pPr>
              <w:jc w:val="right"/>
              <w:rPr>
                <w:rFonts w:ascii="Verdana" w:hAnsi="Verdana" w:cs="Arial"/>
                <w:sz w:val="18"/>
                <w:szCs w:val="18"/>
              </w:rPr>
            </w:pPr>
            <w:r w:rsidRPr="00403D25">
              <w:rPr>
                <w:rFonts w:ascii="Verdana" w:hAnsi="Verdana" w:cs="Arial"/>
                <w:sz w:val="18"/>
                <w:szCs w:val="18"/>
              </w:rPr>
              <w:t>3</w:t>
            </w:r>
          </w:p>
        </w:tc>
        <w:tc>
          <w:tcPr>
            <w:tcW w:w="5780" w:type="dxa"/>
            <w:noWrap/>
            <w:vAlign w:val="bottom"/>
          </w:tcPr>
          <w:p w:rsidR="00B03561" w:rsidRPr="00403D25" w:rsidRDefault="00B03561" w:rsidP="003275D9">
            <w:pPr>
              <w:rPr>
                <w:rFonts w:ascii="Verdana" w:hAnsi="Verdana" w:cs="Arial"/>
                <w:sz w:val="18"/>
                <w:szCs w:val="18"/>
              </w:rPr>
            </w:pPr>
            <w:r w:rsidRPr="00403D25">
              <w:rPr>
                <w:rFonts w:ascii="Verdana" w:hAnsi="Verdana" w:cs="Arial"/>
                <w:sz w:val="18"/>
                <w:szCs w:val="18"/>
              </w:rPr>
              <w:t>Afdracht Europese Unie</w:t>
            </w:r>
          </w:p>
        </w:tc>
        <w:tc>
          <w:tcPr>
            <w:tcW w:w="1204" w:type="dxa"/>
            <w:noWrap/>
            <w:vAlign w:val="bottom"/>
          </w:tcPr>
          <w:p w:rsidR="00B03561" w:rsidRPr="00403D25" w:rsidRDefault="00B03561" w:rsidP="003275D9">
            <w:pPr>
              <w:ind w:left="360"/>
              <w:jc w:val="right"/>
              <w:rPr>
                <w:rFonts w:ascii="Verdana" w:hAnsi="Verdana" w:cs="Arial"/>
                <w:sz w:val="18"/>
                <w:szCs w:val="18"/>
              </w:rPr>
            </w:pPr>
            <w:r w:rsidRPr="00403D25">
              <w:rPr>
                <w:rFonts w:ascii="Verdana" w:hAnsi="Verdana" w:cs="Arial"/>
                <w:sz w:val="18"/>
                <w:szCs w:val="18"/>
              </w:rPr>
              <w:t>260,9</w:t>
            </w:r>
          </w:p>
        </w:tc>
      </w:tr>
    </w:tbl>
    <w:p w:rsidR="00B03561" w:rsidRPr="00403D25" w:rsidRDefault="00B03561" w:rsidP="00B03561">
      <w:pPr>
        <w:pStyle w:val="Plattetekst2"/>
        <w:tabs>
          <w:tab w:val="left" w:pos="709"/>
        </w:tabs>
        <w:outlineLvl w:val="0"/>
        <w:rPr>
          <w:rFonts w:ascii="Verdana" w:hAnsi="Verdana"/>
          <w:b/>
          <w:sz w:val="18"/>
          <w:szCs w:val="18"/>
        </w:rPr>
      </w:pPr>
    </w:p>
    <w:p w:rsidR="00B03561" w:rsidRPr="00403D25" w:rsidRDefault="00B03561" w:rsidP="00B03561">
      <w:pPr>
        <w:pStyle w:val="Plattetekst2"/>
        <w:tabs>
          <w:tab w:val="left" w:pos="709"/>
        </w:tabs>
        <w:outlineLvl w:val="0"/>
        <w:rPr>
          <w:rFonts w:ascii="Verdana" w:hAnsi="Verdana"/>
          <w:iCs/>
          <w:sz w:val="18"/>
          <w:szCs w:val="18"/>
        </w:rPr>
      </w:pPr>
    </w:p>
    <w:p w:rsidR="00B03561" w:rsidRPr="00403D25" w:rsidRDefault="00B03561" w:rsidP="00B03561">
      <w:pPr>
        <w:pStyle w:val="Plattetekst2"/>
        <w:tabs>
          <w:tab w:val="left" w:pos="709"/>
        </w:tabs>
        <w:outlineLvl w:val="0"/>
        <w:rPr>
          <w:rFonts w:ascii="Verdana" w:hAnsi="Verdana"/>
          <w:b/>
          <w:sz w:val="18"/>
          <w:szCs w:val="18"/>
        </w:rPr>
      </w:pPr>
      <w:r w:rsidRPr="00403D25">
        <w:rPr>
          <w:rFonts w:ascii="Verdana" w:hAnsi="Verdana"/>
          <w:b/>
          <w:sz w:val="18"/>
          <w:szCs w:val="18"/>
        </w:rPr>
        <w:t>Toelichting</w:t>
      </w:r>
    </w:p>
    <w:p w:rsidR="00B03561" w:rsidRPr="00403D25" w:rsidRDefault="00B03561" w:rsidP="00B03561">
      <w:pPr>
        <w:pStyle w:val="Plattetekst2"/>
        <w:tabs>
          <w:tab w:val="left" w:pos="709"/>
        </w:tabs>
        <w:outlineLvl w:val="0"/>
        <w:rPr>
          <w:rFonts w:ascii="Verdana" w:hAnsi="Verdana"/>
          <w:sz w:val="18"/>
          <w:szCs w:val="18"/>
        </w:rPr>
      </w:pPr>
    </w:p>
    <w:p w:rsidR="00B03561" w:rsidRPr="00403D25" w:rsidRDefault="00B03561" w:rsidP="00B03561">
      <w:pPr>
        <w:rPr>
          <w:rFonts w:ascii="Verdana" w:hAnsi="Verdana"/>
          <w:sz w:val="18"/>
          <w:szCs w:val="18"/>
        </w:rPr>
      </w:pPr>
      <w:r w:rsidRPr="00403D25">
        <w:rPr>
          <w:rFonts w:ascii="Verdana" w:hAnsi="Verdana"/>
          <w:sz w:val="18"/>
          <w:szCs w:val="18"/>
        </w:rPr>
        <w:t>Artikel 3.10</w:t>
      </w:r>
    </w:p>
    <w:p w:rsidR="00B03561" w:rsidRPr="00403D25" w:rsidRDefault="00B03561" w:rsidP="00B03561">
      <w:pPr>
        <w:pStyle w:val="Geenafstand"/>
        <w:spacing w:line="240" w:lineRule="exact"/>
        <w:rPr>
          <w:i/>
          <w:iCs/>
          <w:szCs w:val="18"/>
        </w:rPr>
      </w:pPr>
      <w:r w:rsidRPr="00403D25">
        <w:rPr>
          <w:iCs/>
          <w:szCs w:val="18"/>
        </w:rPr>
        <w:t xml:space="preserve">De mutatie op de afdracht aan de EU bestaat uit </w:t>
      </w:r>
      <w:r w:rsidR="00A436F8" w:rsidRPr="00403D25">
        <w:rPr>
          <w:iCs/>
          <w:szCs w:val="18"/>
        </w:rPr>
        <w:t>het volgende onderdeel</w:t>
      </w:r>
      <w:r w:rsidRPr="00403D25">
        <w:rPr>
          <w:iCs/>
          <w:szCs w:val="18"/>
        </w:rPr>
        <w:t>:</w:t>
      </w:r>
    </w:p>
    <w:p w:rsidR="00B03561" w:rsidRPr="00403D25" w:rsidRDefault="00A436F8" w:rsidP="00407CD9">
      <w:pPr>
        <w:pStyle w:val="Geenafstand"/>
        <w:rPr>
          <w:rFonts w:cs="Courier New"/>
          <w:b/>
          <w:i/>
          <w:iCs/>
          <w:szCs w:val="18"/>
        </w:rPr>
      </w:pPr>
      <w:r w:rsidRPr="00403D25">
        <w:rPr>
          <w:i/>
          <w:iCs/>
          <w:szCs w:val="18"/>
        </w:rPr>
        <w:t xml:space="preserve">Perceptiekostenvergoedingen: </w:t>
      </w:r>
      <w:r w:rsidR="00407CD9" w:rsidRPr="00403D25">
        <w:rPr>
          <w:szCs w:val="18"/>
        </w:rPr>
        <w:t xml:space="preserve">De ratificatie van het Eigen Middelenbesluit in alle lidstaten wordt niet meer voorzien voor het einde van 2015. Als gevolg van de vertraagde ratificatie wordt de aanpassing van de perceptiekostenvergoeding ook doorgeschoven naar 2016. Dit betekent </w:t>
      </w:r>
      <w:r w:rsidR="000E706F">
        <w:rPr>
          <w:szCs w:val="18"/>
        </w:rPr>
        <w:t xml:space="preserve">EUR </w:t>
      </w:r>
      <w:r w:rsidR="00407CD9" w:rsidRPr="00403D25">
        <w:rPr>
          <w:szCs w:val="18"/>
        </w:rPr>
        <w:t xml:space="preserve">0,3 miljard hogere ontvangsten in 2015 en </w:t>
      </w:r>
      <w:r w:rsidR="000E706F">
        <w:rPr>
          <w:szCs w:val="18"/>
        </w:rPr>
        <w:t xml:space="preserve">EUR </w:t>
      </w:r>
      <w:r w:rsidR="00407CD9" w:rsidRPr="00403D25">
        <w:rPr>
          <w:szCs w:val="18"/>
        </w:rPr>
        <w:t>0,3 miljard euro lagere ontvangsten in 2016.</w:t>
      </w:r>
    </w:p>
    <w:p w:rsidR="00B428F7" w:rsidRPr="00403D25" w:rsidRDefault="00B428F7" w:rsidP="00B03561">
      <w:pPr>
        <w:pStyle w:val="Geenafstand"/>
        <w:spacing w:line="240" w:lineRule="exact"/>
        <w:rPr>
          <w:rFonts w:cs="Courier New"/>
          <w:b/>
          <w:i/>
          <w:iCs/>
          <w:szCs w:val="18"/>
        </w:rPr>
      </w:pPr>
      <w:r w:rsidRPr="00403D25">
        <w:rPr>
          <w:rFonts w:cs="Courier New"/>
          <w:b/>
          <w:i/>
          <w:iCs/>
          <w:szCs w:val="18"/>
        </w:rPr>
        <w:br w:type="page"/>
      </w:r>
    </w:p>
    <w:p w:rsidR="00F9615B" w:rsidRPr="00403D25" w:rsidRDefault="00F9615B" w:rsidP="004B5774">
      <w:pPr>
        <w:pStyle w:val="Plattetekst2"/>
        <w:numPr>
          <w:ilvl w:val="0"/>
          <w:numId w:val="17"/>
        </w:numPr>
        <w:tabs>
          <w:tab w:val="left" w:pos="709"/>
        </w:tabs>
        <w:outlineLvl w:val="0"/>
        <w:rPr>
          <w:rFonts w:ascii="Verdana" w:hAnsi="Verdana"/>
          <w:b/>
          <w:sz w:val="18"/>
          <w:szCs w:val="18"/>
        </w:rPr>
      </w:pPr>
      <w:r w:rsidRPr="00403D25">
        <w:rPr>
          <w:rFonts w:ascii="Verdana" w:hAnsi="Verdana"/>
          <w:b/>
          <w:i/>
          <w:iCs/>
          <w:sz w:val="18"/>
          <w:szCs w:val="18"/>
        </w:rPr>
        <w:lastRenderedPageBreak/>
        <w:t>Toelichting per beleidsart</w:t>
      </w:r>
      <w:r w:rsidRPr="00403D25">
        <w:rPr>
          <w:rFonts w:ascii="Verdana" w:hAnsi="Verdana"/>
          <w:b/>
          <w:sz w:val="18"/>
          <w:szCs w:val="18"/>
        </w:rPr>
        <w:t>ikel</w:t>
      </w:r>
    </w:p>
    <w:p w:rsidR="008819A0" w:rsidRPr="00403D25" w:rsidRDefault="008819A0" w:rsidP="008819A0">
      <w:pPr>
        <w:pStyle w:val="Plattetekst2"/>
        <w:tabs>
          <w:tab w:val="left" w:pos="709"/>
        </w:tabs>
        <w:ind w:left="360"/>
        <w:outlineLvl w:val="0"/>
        <w:rPr>
          <w:rFonts w:ascii="Verdana" w:hAnsi="Verdana"/>
          <w:b/>
          <w:sz w:val="18"/>
          <w:szCs w:val="18"/>
        </w:rPr>
      </w:pPr>
    </w:p>
    <w:p w:rsidR="001A3ABA" w:rsidRPr="00403D25" w:rsidRDefault="001A3ABA" w:rsidP="001A3ABA">
      <w:pPr>
        <w:rPr>
          <w:rFonts w:ascii="Verdana" w:hAnsi="Verdana"/>
          <w:b/>
          <w:sz w:val="18"/>
          <w:szCs w:val="18"/>
        </w:rPr>
      </w:pPr>
      <w:r w:rsidRPr="00403D25">
        <w:rPr>
          <w:rFonts w:ascii="Verdana" w:hAnsi="Verdana"/>
          <w:b/>
          <w:sz w:val="18"/>
          <w:szCs w:val="18"/>
        </w:rPr>
        <w:t>Beleidsartikel 1</w:t>
      </w:r>
      <w:r w:rsidR="00D63C52" w:rsidRPr="00403D25">
        <w:rPr>
          <w:rFonts w:ascii="Verdana" w:hAnsi="Verdana"/>
          <w:b/>
          <w:sz w:val="18"/>
          <w:szCs w:val="18"/>
        </w:rPr>
        <w:t xml:space="preserve"> </w:t>
      </w:r>
    </w:p>
    <w:p w:rsidR="001A3ABA" w:rsidRPr="00403D25" w:rsidRDefault="007E2FA2" w:rsidP="001A3ABA">
      <w:r w:rsidRPr="00403D25">
        <w:object w:dxaOrig="22568" w:dyaOrig="7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7pt;height:168pt" o:ole="">
            <v:imagedata r:id="rId12" o:title=""/>
          </v:shape>
          <o:OLEObject Type="Embed" ProgID="Excel.Sheet.8" ShapeID="_x0000_i1026" DrawAspect="Content" ObjectID="_1494687556" r:id="rId13"/>
        </w:object>
      </w:r>
    </w:p>
    <w:p w:rsidR="001A3ABA" w:rsidRPr="00403D25" w:rsidRDefault="001A3ABA" w:rsidP="001A3ABA">
      <w:pPr>
        <w:rPr>
          <w:rFonts w:ascii="Verdana" w:hAnsi="Verdana"/>
          <w:i/>
          <w:sz w:val="18"/>
          <w:szCs w:val="18"/>
        </w:rPr>
      </w:pPr>
      <w:r w:rsidRPr="00403D25">
        <w:rPr>
          <w:rFonts w:ascii="Verdana" w:hAnsi="Verdana"/>
          <w:i/>
          <w:sz w:val="18"/>
          <w:szCs w:val="18"/>
        </w:rPr>
        <w:t>Uitgaven</w:t>
      </w:r>
    </w:p>
    <w:p w:rsidR="00E8463C" w:rsidRPr="00403D25" w:rsidRDefault="00E8463C" w:rsidP="001A3ABA">
      <w:pPr>
        <w:rPr>
          <w:rFonts w:ascii="Verdana" w:hAnsi="Verdana"/>
          <w:sz w:val="18"/>
          <w:szCs w:val="18"/>
        </w:rPr>
      </w:pPr>
    </w:p>
    <w:p w:rsidR="00E8463C" w:rsidRPr="00403D25" w:rsidRDefault="00E8463C" w:rsidP="001A3ABA">
      <w:pPr>
        <w:rPr>
          <w:rFonts w:ascii="Verdana" w:hAnsi="Verdana"/>
          <w:sz w:val="18"/>
          <w:szCs w:val="18"/>
        </w:rPr>
      </w:pPr>
      <w:r w:rsidRPr="00403D25">
        <w:rPr>
          <w:rFonts w:ascii="Verdana" w:hAnsi="Verdana"/>
          <w:sz w:val="18"/>
          <w:szCs w:val="18"/>
        </w:rPr>
        <w:t>Artikel 1.2</w:t>
      </w:r>
    </w:p>
    <w:p w:rsidR="001A3ABA" w:rsidRPr="00403D25" w:rsidRDefault="00F23DCE" w:rsidP="001A3ABA">
      <w:pPr>
        <w:rPr>
          <w:rFonts w:ascii="Verdana" w:hAnsi="Verdana"/>
          <w:sz w:val="18"/>
          <w:szCs w:val="18"/>
        </w:rPr>
      </w:pPr>
      <w:r w:rsidRPr="00403D25">
        <w:rPr>
          <w:rFonts w:ascii="Verdana" w:hAnsi="Verdana"/>
          <w:sz w:val="18"/>
          <w:szCs w:val="18"/>
        </w:rPr>
        <w:t xml:space="preserve">Het budget voor de landenprogramma’s voor mensenrechten is verhoogd om een extra bijdrage te leveren aan de godsdienstvrijheid, vrijheid van levensovertuiging en andere mensenrechtenprioriteiten zoals ook besproken tijdens de begrotingsbehandeling 2015. Daarnaast stijgt het budget als gevolg van het </w:t>
      </w:r>
      <w:r w:rsidR="004571A9" w:rsidRPr="00403D25">
        <w:rPr>
          <w:rFonts w:ascii="Verdana" w:hAnsi="Verdana"/>
          <w:sz w:val="18"/>
          <w:szCs w:val="18"/>
        </w:rPr>
        <w:t xml:space="preserve">aangenomen </w:t>
      </w:r>
      <w:r w:rsidRPr="00403D25">
        <w:rPr>
          <w:rFonts w:ascii="Verdana" w:hAnsi="Verdana"/>
          <w:sz w:val="18"/>
          <w:szCs w:val="18"/>
        </w:rPr>
        <w:t xml:space="preserve">amendement Van Laar (begrotingsbehandeling BHOS 2015). Hierin </w:t>
      </w:r>
      <w:r w:rsidR="00667643" w:rsidRPr="00403D25">
        <w:rPr>
          <w:rFonts w:ascii="Verdana" w:hAnsi="Verdana"/>
          <w:sz w:val="18"/>
          <w:szCs w:val="18"/>
        </w:rPr>
        <w:t>is aangegeven dat</w:t>
      </w:r>
      <w:r w:rsidR="002B63F1" w:rsidRPr="00403D25">
        <w:rPr>
          <w:rFonts w:ascii="Verdana" w:hAnsi="Verdana"/>
          <w:sz w:val="18"/>
          <w:szCs w:val="18"/>
        </w:rPr>
        <w:t xml:space="preserve">, </w:t>
      </w:r>
      <w:r w:rsidR="00667643" w:rsidRPr="00403D25">
        <w:rPr>
          <w:rFonts w:ascii="Verdana" w:hAnsi="Verdana"/>
          <w:sz w:val="18"/>
          <w:szCs w:val="18"/>
        </w:rPr>
        <w:t>binnen het thema SRGR</w:t>
      </w:r>
      <w:r w:rsidR="002B63F1" w:rsidRPr="00403D25">
        <w:rPr>
          <w:rFonts w:ascii="Verdana" w:hAnsi="Verdana"/>
          <w:sz w:val="18"/>
          <w:szCs w:val="18"/>
        </w:rPr>
        <w:t>,</w:t>
      </w:r>
      <w:r w:rsidR="00667643" w:rsidRPr="00403D25">
        <w:rPr>
          <w:rFonts w:ascii="Verdana" w:hAnsi="Verdana"/>
          <w:sz w:val="18"/>
          <w:szCs w:val="18"/>
        </w:rPr>
        <w:t xml:space="preserve"> EUR 3 miljoen beschikbaar dient te worden gesteld </w:t>
      </w:r>
      <w:r w:rsidRPr="00403D25">
        <w:rPr>
          <w:rFonts w:ascii="Verdana" w:hAnsi="Verdana"/>
          <w:sz w:val="18"/>
          <w:szCs w:val="18"/>
        </w:rPr>
        <w:t>ter bestrijding van kinderprostitutie.</w:t>
      </w:r>
      <w:r w:rsidR="00667643" w:rsidRPr="00403D25">
        <w:rPr>
          <w:rFonts w:ascii="Verdana" w:hAnsi="Verdana"/>
          <w:sz w:val="18"/>
          <w:szCs w:val="18"/>
        </w:rPr>
        <w:t xml:space="preserve"> Omdat i</w:t>
      </w:r>
      <w:r w:rsidRPr="00403D25">
        <w:rPr>
          <w:rFonts w:ascii="Verdana" w:hAnsi="Verdana"/>
          <w:sz w:val="18"/>
          <w:szCs w:val="18"/>
        </w:rPr>
        <w:t xml:space="preserve">n 2015 de financiering </w:t>
      </w:r>
      <w:r w:rsidR="00667643" w:rsidRPr="00403D25">
        <w:rPr>
          <w:rFonts w:ascii="Verdana" w:hAnsi="Verdana"/>
          <w:sz w:val="18"/>
          <w:szCs w:val="18"/>
        </w:rPr>
        <w:t xml:space="preserve">van bestrijding van kinderprostitutie </w:t>
      </w:r>
      <w:r w:rsidRPr="00403D25">
        <w:rPr>
          <w:rFonts w:ascii="Verdana" w:hAnsi="Verdana"/>
          <w:sz w:val="18"/>
          <w:szCs w:val="18"/>
        </w:rPr>
        <w:t xml:space="preserve">vanuit </w:t>
      </w:r>
      <w:r w:rsidR="00667643" w:rsidRPr="00403D25">
        <w:rPr>
          <w:rFonts w:ascii="Verdana" w:hAnsi="Verdana"/>
          <w:sz w:val="18"/>
          <w:szCs w:val="18"/>
        </w:rPr>
        <w:t xml:space="preserve">het budget voor </w:t>
      </w:r>
      <w:r w:rsidRPr="00403D25">
        <w:rPr>
          <w:rFonts w:ascii="Verdana" w:hAnsi="Verdana"/>
          <w:sz w:val="18"/>
          <w:szCs w:val="18"/>
        </w:rPr>
        <w:t>mensenrechtenprogramma</w:t>
      </w:r>
      <w:r w:rsidR="00667643" w:rsidRPr="00403D25">
        <w:rPr>
          <w:rFonts w:ascii="Verdana" w:hAnsi="Verdana"/>
          <w:sz w:val="18"/>
          <w:szCs w:val="18"/>
        </w:rPr>
        <w:t>’</w:t>
      </w:r>
      <w:r w:rsidRPr="00403D25">
        <w:rPr>
          <w:rFonts w:ascii="Verdana" w:hAnsi="Verdana"/>
          <w:sz w:val="18"/>
          <w:szCs w:val="18"/>
        </w:rPr>
        <w:t>s</w:t>
      </w:r>
      <w:r w:rsidR="00667643" w:rsidRPr="00403D25">
        <w:rPr>
          <w:rFonts w:ascii="Verdana" w:hAnsi="Verdana"/>
          <w:sz w:val="18"/>
          <w:szCs w:val="18"/>
        </w:rPr>
        <w:t xml:space="preserve"> zal plaatsvinden, wordt het mensenrechtenbudget opgehoogd vanuit de begroting van Buitenlandse Handel en Ontwikkelingssamenwerking. </w:t>
      </w:r>
    </w:p>
    <w:p w:rsidR="001A3ABA" w:rsidRPr="00403D25" w:rsidRDefault="001A3ABA" w:rsidP="001A3ABA">
      <w:pPr>
        <w:rPr>
          <w:rFonts w:ascii="Verdana" w:hAnsi="Verdana"/>
          <w:sz w:val="18"/>
          <w:szCs w:val="18"/>
        </w:rPr>
      </w:pPr>
    </w:p>
    <w:p w:rsidR="001A3ABA" w:rsidRPr="00403D25" w:rsidRDefault="001A3ABA" w:rsidP="001A3ABA">
      <w:pPr>
        <w:rPr>
          <w:rFonts w:ascii="Verdana" w:hAnsi="Verdana"/>
          <w:sz w:val="18"/>
          <w:szCs w:val="18"/>
        </w:rPr>
      </w:pPr>
    </w:p>
    <w:p w:rsidR="001A3ABA" w:rsidRPr="00403D25" w:rsidRDefault="001A3ABA" w:rsidP="001A3ABA">
      <w:pPr>
        <w:rPr>
          <w:rFonts w:ascii="Verdana" w:hAnsi="Verdana"/>
          <w:i/>
          <w:sz w:val="18"/>
          <w:szCs w:val="18"/>
        </w:rPr>
      </w:pPr>
    </w:p>
    <w:p w:rsidR="001A3ABA" w:rsidRPr="00403D25" w:rsidRDefault="001A3ABA" w:rsidP="001A3ABA">
      <w:pPr>
        <w:rPr>
          <w:rFonts w:ascii="Verdana" w:hAnsi="Verdana"/>
          <w:sz w:val="18"/>
          <w:szCs w:val="18"/>
        </w:rPr>
      </w:pPr>
    </w:p>
    <w:p w:rsidR="001D7A55" w:rsidRPr="00403D25" w:rsidRDefault="001A3ABA" w:rsidP="005F032C">
      <w:pPr>
        <w:autoSpaceDE w:val="0"/>
        <w:autoSpaceDN w:val="0"/>
        <w:adjustRightInd w:val="0"/>
        <w:rPr>
          <w:rFonts w:ascii="Verdana" w:hAnsi="Verdana" w:cs="Courier New"/>
          <w:sz w:val="18"/>
          <w:szCs w:val="18"/>
        </w:rPr>
      </w:pPr>
      <w:r w:rsidRPr="00403D25">
        <w:rPr>
          <w:rFonts w:ascii="Verdana" w:hAnsi="Verdana" w:cs="Courier New"/>
          <w:sz w:val="18"/>
          <w:szCs w:val="18"/>
        </w:rPr>
        <w:br w:type="page"/>
      </w:r>
    </w:p>
    <w:p w:rsidR="001A3ABA" w:rsidRPr="00403D25" w:rsidRDefault="001A3ABA" w:rsidP="001A3ABA">
      <w:pPr>
        <w:rPr>
          <w:rFonts w:ascii="Verdana" w:hAnsi="Verdana"/>
          <w:b/>
          <w:sz w:val="18"/>
          <w:szCs w:val="18"/>
        </w:rPr>
      </w:pPr>
      <w:r w:rsidRPr="00403D25">
        <w:rPr>
          <w:rFonts w:ascii="Verdana" w:hAnsi="Verdana"/>
          <w:b/>
          <w:sz w:val="18"/>
          <w:szCs w:val="18"/>
        </w:rPr>
        <w:lastRenderedPageBreak/>
        <w:t>Beleidsartikel 2</w:t>
      </w:r>
      <w:r w:rsidR="00D63C52" w:rsidRPr="00403D25">
        <w:rPr>
          <w:rFonts w:ascii="Verdana" w:hAnsi="Verdana"/>
          <w:b/>
          <w:sz w:val="18"/>
          <w:szCs w:val="18"/>
        </w:rPr>
        <w:t xml:space="preserve"> </w:t>
      </w:r>
    </w:p>
    <w:p w:rsidR="004B5774" w:rsidRPr="00403D25" w:rsidRDefault="004B5774" w:rsidP="001A3ABA">
      <w:pPr>
        <w:rPr>
          <w:rFonts w:ascii="Verdana" w:hAnsi="Verdana"/>
          <w:b/>
          <w:sz w:val="18"/>
          <w:szCs w:val="18"/>
        </w:rPr>
      </w:pPr>
    </w:p>
    <w:p w:rsidR="001A3ABA" w:rsidRPr="00403D25" w:rsidRDefault="007E2FA2" w:rsidP="001A3ABA">
      <w:r w:rsidRPr="00403D25">
        <w:object w:dxaOrig="22599" w:dyaOrig="16827">
          <v:shape id="_x0000_i1027" type="#_x0000_t75" style="width:493.5pt;height:367.5pt" o:ole="">
            <v:imagedata r:id="rId14" o:title=""/>
          </v:shape>
          <o:OLEObject Type="Embed" ProgID="Excel.Sheet.8" ShapeID="_x0000_i1027" DrawAspect="Content" ObjectID="_1494687557" r:id="rId15"/>
        </w:object>
      </w:r>
    </w:p>
    <w:p w:rsidR="001A3ABA" w:rsidRPr="00403D25" w:rsidRDefault="001A3ABA" w:rsidP="001A3ABA">
      <w:pPr>
        <w:rPr>
          <w:rFonts w:ascii="Verdana" w:hAnsi="Verdana"/>
          <w:i/>
          <w:sz w:val="18"/>
          <w:szCs w:val="18"/>
        </w:rPr>
      </w:pPr>
      <w:r w:rsidRPr="00403D25">
        <w:rPr>
          <w:rFonts w:ascii="Verdana" w:hAnsi="Verdana"/>
          <w:i/>
          <w:sz w:val="18"/>
          <w:szCs w:val="18"/>
        </w:rPr>
        <w:t>Uitgaven</w:t>
      </w:r>
    </w:p>
    <w:p w:rsidR="008B436F" w:rsidRPr="00403D25" w:rsidRDefault="008B436F" w:rsidP="001A3ABA">
      <w:pPr>
        <w:rPr>
          <w:rFonts w:ascii="Verdana" w:hAnsi="Verdana"/>
          <w:sz w:val="18"/>
          <w:szCs w:val="18"/>
        </w:rPr>
      </w:pPr>
    </w:p>
    <w:p w:rsidR="004C5D5C" w:rsidRPr="00403D25" w:rsidRDefault="004B5774" w:rsidP="001A3ABA">
      <w:pPr>
        <w:rPr>
          <w:rFonts w:ascii="Verdana" w:hAnsi="Verdana"/>
          <w:sz w:val="18"/>
          <w:szCs w:val="18"/>
        </w:rPr>
      </w:pPr>
      <w:r w:rsidRPr="00403D25">
        <w:rPr>
          <w:rFonts w:ascii="Verdana" w:hAnsi="Verdana"/>
          <w:sz w:val="18"/>
          <w:szCs w:val="18"/>
        </w:rPr>
        <w:t>Artikel 2.1</w:t>
      </w:r>
    </w:p>
    <w:p w:rsidR="004B5774" w:rsidRPr="00403D25" w:rsidRDefault="00E2229B" w:rsidP="001A3ABA">
      <w:pPr>
        <w:rPr>
          <w:rFonts w:ascii="Verdana" w:hAnsi="Verdana"/>
          <w:sz w:val="18"/>
          <w:szCs w:val="18"/>
        </w:rPr>
      </w:pPr>
      <w:r w:rsidRPr="00403D25">
        <w:rPr>
          <w:rFonts w:ascii="Verdana" w:hAnsi="Verdana"/>
          <w:sz w:val="18"/>
          <w:szCs w:val="18"/>
        </w:rPr>
        <w:t xml:space="preserve">De stijging van het budget voor goede internationale samenwerking ter bevordering van de eigen en bondgenootschappelijke veiligheid in 2015 wordt met name veroorzaakt doordat het budget voor het veiligheidsfonds is verhoogd om hiermee in te zetten op ondersteuning in conflictsituaties. Daarnaast stijgt het budget voor de </w:t>
      </w:r>
      <w:r w:rsidR="00D71F63" w:rsidRPr="00403D25">
        <w:rPr>
          <w:rFonts w:ascii="Verdana" w:hAnsi="Verdana"/>
          <w:sz w:val="18"/>
          <w:szCs w:val="18"/>
        </w:rPr>
        <w:t xml:space="preserve">bijdrage aan de </w:t>
      </w:r>
      <w:r w:rsidRPr="00403D25">
        <w:rPr>
          <w:rFonts w:ascii="Verdana" w:hAnsi="Verdana"/>
          <w:sz w:val="18"/>
          <w:szCs w:val="18"/>
        </w:rPr>
        <w:t>NAVO omdat het totaal budget voor de NAVO is toegenomen en daarmee ook het N</w:t>
      </w:r>
      <w:r w:rsidR="004571A9" w:rsidRPr="00403D25">
        <w:rPr>
          <w:rFonts w:ascii="Verdana" w:hAnsi="Verdana"/>
          <w:sz w:val="18"/>
          <w:szCs w:val="18"/>
        </w:rPr>
        <w:t>ederlandse</w:t>
      </w:r>
      <w:r w:rsidRPr="00403D25">
        <w:rPr>
          <w:rFonts w:ascii="Verdana" w:hAnsi="Verdana"/>
          <w:sz w:val="18"/>
          <w:szCs w:val="18"/>
        </w:rPr>
        <w:t xml:space="preserve"> aandeel hierin.</w:t>
      </w:r>
      <w:r w:rsidR="008914E1" w:rsidRPr="00403D25">
        <w:rPr>
          <w:rFonts w:ascii="Verdana" w:hAnsi="Verdana"/>
          <w:sz w:val="18"/>
          <w:szCs w:val="18"/>
        </w:rPr>
        <w:t xml:space="preserve"> Voor latere jaren wordt een deel van het budget overgeheveld naar activiteiten binnen het </w:t>
      </w:r>
      <w:r w:rsidR="00721410" w:rsidRPr="00403D25">
        <w:rPr>
          <w:rFonts w:ascii="Verdana" w:hAnsi="Verdana"/>
          <w:sz w:val="18"/>
          <w:szCs w:val="18"/>
        </w:rPr>
        <w:t xml:space="preserve">artikel bevordering van </w:t>
      </w:r>
      <w:r w:rsidR="008914E1" w:rsidRPr="00403D25">
        <w:rPr>
          <w:rFonts w:ascii="Verdana" w:hAnsi="Verdana"/>
          <w:sz w:val="18"/>
          <w:szCs w:val="18"/>
        </w:rPr>
        <w:t>veiligheid (artikel 2.4) vanwege een bijstelling van de raming voor NAVO-nieuwbouw.</w:t>
      </w:r>
    </w:p>
    <w:p w:rsidR="002B35E7" w:rsidRPr="00403D25" w:rsidRDefault="002B35E7" w:rsidP="001A3ABA">
      <w:pPr>
        <w:rPr>
          <w:rFonts w:ascii="Verdana" w:hAnsi="Verdana"/>
          <w:sz w:val="18"/>
          <w:szCs w:val="18"/>
        </w:rPr>
      </w:pPr>
    </w:p>
    <w:p w:rsidR="002B35E7" w:rsidRPr="00403D25" w:rsidRDefault="002B35E7" w:rsidP="001A3ABA">
      <w:pPr>
        <w:rPr>
          <w:rFonts w:ascii="Verdana" w:hAnsi="Verdana"/>
          <w:sz w:val="18"/>
          <w:szCs w:val="18"/>
        </w:rPr>
      </w:pPr>
      <w:r w:rsidRPr="00403D25">
        <w:rPr>
          <w:rFonts w:ascii="Verdana" w:hAnsi="Verdana"/>
          <w:sz w:val="18"/>
          <w:szCs w:val="18"/>
        </w:rPr>
        <w:t>Artikel 2.</w:t>
      </w:r>
      <w:r w:rsidR="00C15731" w:rsidRPr="00403D25">
        <w:rPr>
          <w:rFonts w:ascii="Verdana" w:hAnsi="Verdana"/>
          <w:sz w:val="18"/>
          <w:szCs w:val="18"/>
        </w:rPr>
        <w:t>2</w:t>
      </w:r>
    </w:p>
    <w:p w:rsidR="002B35E7" w:rsidRPr="00403D25" w:rsidRDefault="00EF6D90" w:rsidP="001A3ABA">
      <w:pPr>
        <w:rPr>
          <w:rFonts w:ascii="Verdana" w:hAnsi="Verdana"/>
          <w:sz w:val="18"/>
          <w:szCs w:val="18"/>
        </w:rPr>
      </w:pPr>
      <w:r w:rsidRPr="00403D25">
        <w:rPr>
          <w:rFonts w:ascii="Verdana" w:hAnsi="Verdana"/>
          <w:sz w:val="18"/>
          <w:szCs w:val="18"/>
        </w:rPr>
        <w:t>De regering</w:t>
      </w:r>
      <w:r w:rsidR="007F51AD" w:rsidRPr="00403D25">
        <w:rPr>
          <w:rFonts w:ascii="Verdana" w:hAnsi="Verdana"/>
          <w:sz w:val="18"/>
          <w:szCs w:val="18"/>
        </w:rPr>
        <w:t xml:space="preserve"> heeft besloten extra middelen beschikbaar te stellen voor de versterking van de veiligheidsketen. Op de begroting van Buitenlandse Zaken is in dit kader </w:t>
      </w:r>
      <w:r w:rsidR="00E41389" w:rsidRPr="00403D25">
        <w:rPr>
          <w:rFonts w:ascii="Verdana" w:hAnsi="Verdana"/>
          <w:sz w:val="18"/>
          <w:szCs w:val="18"/>
        </w:rPr>
        <w:t xml:space="preserve">vanaf 2016 </w:t>
      </w:r>
      <w:r w:rsidR="007F51AD" w:rsidRPr="00403D25">
        <w:rPr>
          <w:rFonts w:ascii="Verdana" w:hAnsi="Verdana"/>
          <w:sz w:val="18"/>
          <w:szCs w:val="18"/>
        </w:rPr>
        <w:t xml:space="preserve">extra budget beschikbaar om in risicolanden en in multilaterale fora en samenwerkingsverbanden een verhoogde inzet te tonen met het oog op de verwevenheid van interne en externe veiligheid. Daarnaast neemt </w:t>
      </w:r>
      <w:r w:rsidR="00170E35" w:rsidRPr="00403D25">
        <w:rPr>
          <w:rFonts w:ascii="Verdana" w:hAnsi="Verdana"/>
          <w:sz w:val="18"/>
          <w:szCs w:val="18"/>
        </w:rPr>
        <w:t xml:space="preserve">in 2015 </w:t>
      </w:r>
      <w:r w:rsidR="007F51AD" w:rsidRPr="00403D25">
        <w:rPr>
          <w:rFonts w:ascii="Verdana" w:hAnsi="Verdana"/>
          <w:sz w:val="18"/>
          <w:szCs w:val="18"/>
        </w:rPr>
        <w:t xml:space="preserve">het budget toe voor de </w:t>
      </w:r>
      <w:r w:rsidR="00BD0C1F" w:rsidRPr="00403D25">
        <w:rPr>
          <w:rFonts w:ascii="Verdana" w:hAnsi="Verdana"/>
          <w:sz w:val="18"/>
          <w:szCs w:val="18"/>
        </w:rPr>
        <w:t>Global Conference on CyberSpace</w:t>
      </w:r>
      <w:r w:rsidR="002B35E7" w:rsidRPr="00403D25">
        <w:rPr>
          <w:rFonts w:ascii="Verdana" w:hAnsi="Verdana"/>
          <w:sz w:val="18"/>
          <w:szCs w:val="18"/>
        </w:rPr>
        <w:t xml:space="preserve">. </w:t>
      </w:r>
      <w:r w:rsidRPr="00403D25">
        <w:rPr>
          <w:rFonts w:ascii="Verdana" w:hAnsi="Verdana"/>
          <w:sz w:val="18"/>
          <w:szCs w:val="18"/>
        </w:rPr>
        <w:t xml:space="preserve">Dit wordt veroorzaakt doordat </w:t>
      </w:r>
      <w:r w:rsidR="0019308D" w:rsidRPr="00403D25">
        <w:rPr>
          <w:rFonts w:ascii="Verdana" w:hAnsi="Verdana"/>
          <w:sz w:val="18"/>
          <w:szCs w:val="18"/>
        </w:rPr>
        <w:t xml:space="preserve">een deel van de voorziene uitgaven voor 2014 pas worden gerealiseerd in 2015, het jaar waarin de conferentie is gehouden. </w:t>
      </w:r>
    </w:p>
    <w:p w:rsidR="00ED0291" w:rsidRPr="00403D25" w:rsidRDefault="00ED0291" w:rsidP="001A3ABA">
      <w:pPr>
        <w:rPr>
          <w:rFonts w:ascii="Verdana" w:hAnsi="Verdana"/>
          <w:sz w:val="18"/>
          <w:szCs w:val="18"/>
        </w:rPr>
      </w:pPr>
    </w:p>
    <w:p w:rsidR="004B5774" w:rsidRPr="00403D25" w:rsidRDefault="004B5774" w:rsidP="001A3ABA">
      <w:pPr>
        <w:rPr>
          <w:rFonts w:ascii="Verdana" w:hAnsi="Verdana"/>
          <w:sz w:val="18"/>
          <w:szCs w:val="18"/>
        </w:rPr>
      </w:pPr>
      <w:r w:rsidRPr="00403D25">
        <w:rPr>
          <w:rFonts w:ascii="Verdana" w:hAnsi="Verdana"/>
          <w:sz w:val="18"/>
          <w:szCs w:val="18"/>
        </w:rPr>
        <w:t>Artikel 2.4</w:t>
      </w:r>
    </w:p>
    <w:p w:rsidR="004B5774" w:rsidRPr="00403D25" w:rsidRDefault="004B5774" w:rsidP="001A3ABA">
      <w:pPr>
        <w:rPr>
          <w:rFonts w:ascii="Verdana" w:hAnsi="Verdana"/>
          <w:sz w:val="18"/>
          <w:szCs w:val="18"/>
        </w:rPr>
      </w:pPr>
      <w:r w:rsidRPr="00403D25">
        <w:rPr>
          <w:rFonts w:ascii="Verdana" w:hAnsi="Verdana"/>
          <w:sz w:val="18"/>
          <w:szCs w:val="18"/>
        </w:rPr>
        <w:t xml:space="preserve">De </w:t>
      </w:r>
      <w:r w:rsidR="00A24B41" w:rsidRPr="00403D25">
        <w:rPr>
          <w:rFonts w:ascii="Verdana" w:hAnsi="Verdana"/>
          <w:sz w:val="18"/>
          <w:szCs w:val="18"/>
        </w:rPr>
        <w:t>verhoging</w:t>
      </w:r>
      <w:r w:rsidRPr="00403D25">
        <w:rPr>
          <w:rFonts w:ascii="Verdana" w:hAnsi="Verdana"/>
          <w:sz w:val="18"/>
          <w:szCs w:val="18"/>
        </w:rPr>
        <w:t xml:space="preserve"> van het budget voor bevordering van veiligheid, stabiliteit en rechtsorde in internationaal verband </w:t>
      </w:r>
      <w:r w:rsidR="00A24B41" w:rsidRPr="00403D25">
        <w:rPr>
          <w:rFonts w:ascii="Verdana" w:hAnsi="Verdana"/>
          <w:sz w:val="18"/>
          <w:szCs w:val="18"/>
        </w:rPr>
        <w:t>in 201</w:t>
      </w:r>
      <w:r w:rsidR="00B6345B" w:rsidRPr="00403D25">
        <w:rPr>
          <w:rFonts w:ascii="Verdana" w:hAnsi="Verdana"/>
          <w:sz w:val="18"/>
          <w:szCs w:val="18"/>
        </w:rPr>
        <w:t>5</w:t>
      </w:r>
      <w:r w:rsidR="00A24B41" w:rsidRPr="00403D25">
        <w:rPr>
          <w:rFonts w:ascii="Verdana" w:hAnsi="Verdana"/>
          <w:sz w:val="18"/>
          <w:szCs w:val="18"/>
        </w:rPr>
        <w:t xml:space="preserve"> </w:t>
      </w:r>
      <w:r w:rsidR="003C04D8" w:rsidRPr="00403D25">
        <w:rPr>
          <w:rFonts w:ascii="Verdana" w:hAnsi="Verdana"/>
          <w:sz w:val="18"/>
          <w:szCs w:val="18"/>
        </w:rPr>
        <w:t>betreft een saldo van mutaties. Enerzijds stijgt het budget al</w:t>
      </w:r>
      <w:r w:rsidRPr="00403D25">
        <w:rPr>
          <w:rFonts w:ascii="Verdana" w:hAnsi="Verdana"/>
          <w:sz w:val="18"/>
          <w:szCs w:val="18"/>
        </w:rPr>
        <w:t xml:space="preserve">s gevolg van een </w:t>
      </w:r>
      <w:r w:rsidR="00A24B41" w:rsidRPr="00403D25">
        <w:rPr>
          <w:rFonts w:ascii="Verdana" w:hAnsi="Verdana"/>
          <w:sz w:val="18"/>
          <w:szCs w:val="18"/>
        </w:rPr>
        <w:t>overheveling vanuit het B</w:t>
      </w:r>
      <w:r w:rsidR="0016263F" w:rsidRPr="00403D25">
        <w:rPr>
          <w:rFonts w:ascii="Verdana" w:hAnsi="Verdana"/>
          <w:sz w:val="18"/>
          <w:szCs w:val="18"/>
        </w:rPr>
        <w:t xml:space="preserve">udget </w:t>
      </w:r>
      <w:r w:rsidR="00A24B41" w:rsidRPr="00403D25">
        <w:rPr>
          <w:rFonts w:ascii="Verdana" w:hAnsi="Verdana"/>
          <w:sz w:val="18"/>
          <w:szCs w:val="18"/>
        </w:rPr>
        <w:t>I</w:t>
      </w:r>
      <w:r w:rsidR="0016263F" w:rsidRPr="00403D25">
        <w:rPr>
          <w:rFonts w:ascii="Verdana" w:hAnsi="Verdana"/>
          <w:sz w:val="18"/>
          <w:szCs w:val="18"/>
        </w:rPr>
        <w:t xml:space="preserve">nternationale </w:t>
      </w:r>
      <w:r w:rsidR="00A24B41" w:rsidRPr="00403D25">
        <w:rPr>
          <w:rFonts w:ascii="Verdana" w:hAnsi="Verdana"/>
          <w:sz w:val="18"/>
          <w:szCs w:val="18"/>
        </w:rPr>
        <w:t>V</w:t>
      </w:r>
      <w:r w:rsidR="0016263F" w:rsidRPr="00403D25">
        <w:rPr>
          <w:rFonts w:ascii="Verdana" w:hAnsi="Verdana"/>
          <w:sz w:val="18"/>
          <w:szCs w:val="18"/>
        </w:rPr>
        <w:t>eiligheid (BIV)</w:t>
      </w:r>
      <w:r w:rsidR="00A24B41" w:rsidRPr="00403D25">
        <w:rPr>
          <w:rFonts w:ascii="Verdana" w:hAnsi="Verdana"/>
          <w:sz w:val="18"/>
          <w:szCs w:val="18"/>
        </w:rPr>
        <w:t xml:space="preserve"> </w:t>
      </w:r>
      <w:r w:rsidR="00CC142B" w:rsidRPr="00403D25">
        <w:rPr>
          <w:rFonts w:ascii="Verdana" w:hAnsi="Verdana"/>
          <w:sz w:val="18"/>
          <w:szCs w:val="18"/>
        </w:rPr>
        <w:t>op</w:t>
      </w:r>
      <w:r w:rsidR="0016263F" w:rsidRPr="00403D25">
        <w:rPr>
          <w:rFonts w:ascii="Verdana" w:hAnsi="Verdana"/>
          <w:sz w:val="18"/>
          <w:szCs w:val="18"/>
        </w:rPr>
        <w:t xml:space="preserve"> de begroting van </w:t>
      </w:r>
      <w:r w:rsidR="00D71F63" w:rsidRPr="00403D25">
        <w:rPr>
          <w:rFonts w:ascii="Verdana" w:hAnsi="Verdana"/>
          <w:sz w:val="18"/>
          <w:szCs w:val="18"/>
        </w:rPr>
        <w:t>het ministerie van Defensie</w:t>
      </w:r>
      <w:r w:rsidR="0016263F" w:rsidRPr="00403D25">
        <w:rPr>
          <w:rFonts w:ascii="Verdana" w:hAnsi="Verdana"/>
          <w:sz w:val="18"/>
          <w:szCs w:val="18"/>
        </w:rPr>
        <w:t xml:space="preserve"> </w:t>
      </w:r>
      <w:r w:rsidR="00A24B41" w:rsidRPr="00403D25">
        <w:rPr>
          <w:rFonts w:ascii="Verdana" w:hAnsi="Verdana"/>
          <w:sz w:val="18"/>
          <w:szCs w:val="18"/>
        </w:rPr>
        <w:t xml:space="preserve">ten behoeve van </w:t>
      </w:r>
      <w:r w:rsidR="00CC142B" w:rsidRPr="00403D25">
        <w:rPr>
          <w:rFonts w:ascii="Verdana" w:hAnsi="Verdana"/>
          <w:sz w:val="18"/>
          <w:szCs w:val="18"/>
        </w:rPr>
        <w:t xml:space="preserve">het Stabiliteitsfonds voor </w:t>
      </w:r>
      <w:r w:rsidR="00A24B41" w:rsidRPr="00403D25">
        <w:rPr>
          <w:rFonts w:ascii="Verdana" w:hAnsi="Verdana"/>
          <w:sz w:val="18"/>
          <w:szCs w:val="18"/>
        </w:rPr>
        <w:t>veiligheidssectorhervormingen</w:t>
      </w:r>
      <w:r w:rsidR="00CC142B" w:rsidRPr="00403D25">
        <w:rPr>
          <w:rFonts w:ascii="Verdana" w:hAnsi="Verdana"/>
          <w:sz w:val="18"/>
          <w:szCs w:val="18"/>
        </w:rPr>
        <w:t xml:space="preserve">, </w:t>
      </w:r>
      <w:r w:rsidR="00A24B41" w:rsidRPr="00403D25">
        <w:rPr>
          <w:rFonts w:ascii="Verdana" w:hAnsi="Verdana"/>
          <w:sz w:val="18"/>
          <w:szCs w:val="18"/>
        </w:rPr>
        <w:t>vredesopbouw en trainingen en capaciteitsopbouw</w:t>
      </w:r>
      <w:r w:rsidR="003C04D8" w:rsidRPr="00403D25">
        <w:rPr>
          <w:rFonts w:ascii="Verdana" w:hAnsi="Verdana"/>
          <w:sz w:val="18"/>
          <w:szCs w:val="18"/>
        </w:rPr>
        <w:t xml:space="preserve"> in ontwikkelingslanden</w:t>
      </w:r>
      <w:r w:rsidRPr="00403D25">
        <w:rPr>
          <w:rFonts w:ascii="Verdana" w:hAnsi="Verdana"/>
          <w:sz w:val="18"/>
          <w:szCs w:val="18"/>
        </w:rPr>
        <w:t>.</w:t>
      </w:r>
      <w:r w:rsidR="00A24B41" w:rsidRPr="00403D25">
        <w:rPr>
          <w:rFonts w:ascii="Verdana" w:hAnsi="Verdana"/>
          <w:sz w:val="18"/>
          <w:szCs w:val="18"/>
        </w:rPr>
        <w:t xml:space="preserve"> </w:t>
      </w:r>
      <w:r w:rsidR="003C04D8" w:rsidRPr="00403D25">
        <w:rPr>
          <w:rFonts w:ascii="Verdana" w:hAnsi="Verdana"/>
          <w:sz w:val="18"/>
          <w:szCs w:val="18"/>
        </w:rPr>
        <w:t xml:space="preserve">Anderzijds wordt het budget verlaagd door een overheveling naar </w:t>
      </w:r>
      <w:r w:rsidR="00CC142B" w:rsidRPr="00403D25">
        <w:rPr>
          <w:rFonts w:ascii="Verdana" w:hAnsi="Verdana"/>
          <w:sz w:val="18"/>
          <w:szCs w:val="18"/>
        </w:rPr>
        <w:t xml:space="preserve">de landenprogramma’s voor veiligheid en rechtsorde (artikel 4.3) </w:t>
      </w:r>
      <w:r w:rsidR="003C04D8" w:rsidRPr="00403D25">
        <w:rPr>
          <w:rFonts w:ascii="Verdana" w:hAnsi="Verdana"/>
          <w:sz w:val="18"/>
          <w:szCs w:val="18"/>
        </w:rPr>
        <w:t>op de begroting van Buitenlandse Handel en Ontwikkelingssamenwerking</w:t>
      </w:r>
      <w:r w:rsidR="00E2229B" w:rsidRPr="00403D25">
        <w:rPr>
          <w:rFonts w:ascii="Verdana" w:hAnsi="Verdana"/>
          <w:sz w:val="18"/>
          <w:szCs w:val="18"/>
        </w:rPr>
        <w:t>.</w:t>
      </w:r>
      <w:r w:rsidR="008914E1" w:rsidRPr="00403D25">
        <w:rPr>
          <w:rFonts w:ascii="Verdana" w:hAnsi="Verdana"/>
          <w:sz w:val="18"/>
          <w:szCs w:val="18"/>
        </w:rPr>
        <w:t xml:space="preserve"> Meerjarig stijgt het budget</w:t>
      </w:r>
      <w:r w:rsidR="00C15731" w:rsidRPr="00403D25">
        <w:rPr>
          <w:rFonts w:ascii="Verdana" w:hAnsi="Verdana"/>
          <w:sz w:val="18"/>
          <w:szCs w:val="18"/>
        </w:rPr>
        <w:t xml:space="preserve"> doordat voor 2016 en 2017 </w:t>
      </w:r>
      <w:r w:rsidR="00F978E5" w:rsidRPr="00403D25">
        <w:rPr>
          <w:rFonts w:ascii="Verdana" w:hAnsi="Verdana"/>
          <w:sz w:val="18"/>
          <w:szCs w:val="18"/>
        </w:rPr>
        <w:t xml:space="preserve">de </w:t>
      </w:r>
      <w:r w:rsidR="00C15731" w:rsidRPr="00403D25">
        <w:rPr>
          <w:rFonts w:ascii="Verdana" w:hAnsi="Verdana"/>
          <w:sz w:val="18"/>
          <w:szCs w:val="18"/>
        </w:rPr>
        <w:t xml:space="preserve">eindejaarsmarge </w:t>
      </w:r>
      <w:r w:rsidR="00F978E5" w:rsidRPr="00403D25">
        <w:rPr>
          <w:rFonts w:ascii="Verdana" w:hAnsi="Verdana"/>
          <w:sz w:val="18"/>
          <w:szCs w:val="18"/>
        </w:rPr>
        <w:t xml:space="preserve">2014 op VN contributies voor crisisbeheersing zijn toegevoegd aan dit artikel </w:t>
      </w:r>
      <w:r w:rsidR="00F978E5" w:rsidRPr="00403D25">
        <w:rPr>
          <w:rFonts w:ascii="Verdana" w:hAnsi="Verdana"/>
          <w:sz w:val="18"/>
          <w:szCs w:val="18"/>
        </w:rPr>
        <w:lastRenderedPageBreak/>
        <w:t>en doordat middelen vanuit het artikelonderdeel eigen- en bondgenootschappelijke veiligheid (artikel 2.1) zijn overgehev</w:t>
      </w:r>
      <w:r w:rsidR="0019308D" w:rsidRPr="00403D25">
        <w:rPr>
          <w:rFonts w:ascii="Verdana" w:hAnsi="Verdana"/>
          <w:sz w:val="18"/>
          <w:szCs w:val="18"/>
        </w:rPr>
        <w:t xml:space="preserve">eld om hiermee te anticiperen op hogere uitgaven ten behoeve van internationale crises. </w:t>
      </w:r>
    </w:p>
    <w:p w:rsidR="00180994" w:rsidRPr="00403D25" w:rsidRDefault="00180994" w:rsidP="001A3ABA">
      <w:pPr>
        <w:rPr>
          <w:rFonts w:ascii="Verdana" w:hAnsi="Verdana"/>
          <w:sz w:val="18"/>
          <w:szCs w:val="18"/>
        </w:rPr>
      </w:pPr>
    </w:p>
    <w:p w:rsidR="002067DD" w:rsidRPr="00403D25" w:rsidRDefault="002067DD">
      <w:pPr>
        <w:rPr>
          <w:rFonts w:ascii="Verdana" w:hAnsi="Verdana"/>
          <w:b/>
          <w:sz w:val="18"/>
          <w:szCs w:val="18"/>
        </w:rPr>
      </w:pPr>
      <w:r w:rsidRPr="00403D25">
        <w:rPr>
          <w:rFonts w:ascii="Verdana" w:hAnsi="Verdana"/>
          <w:b/>
          <w:sz w:val="18"/>
          <w:szCs w:val="18"/>
        </w:rPr>
        <w:br w:type="page"/>
      </w:r>
    </w:p>
    <w:p w:rsidR="001A3ABA" w:rsidRPr="00403D25" w:rsidRDefault="001A3ABA" w:rsidP="001A3ABA">
      <w:pPr>
        <w:rPr>
          <w:rFonts w:ascii="Verdana" w:hAnsi="Verdana"/>
          <w:b/>
          <w:sz w:val="18"/>
          <w:szCs w:val="18"/>
        </w:rPr>
      </w:pPr>
      <w:r w:rsidRPr="00403D25">
        <w:rPr>
          <w:rFonts w:ascii="Verdana" w:hAnsi="Verdana"/>
          <w:b/>
          <w:sz w:val="18"/>
          <w:szCs w:val="18"/>
        </w:rPr>
        <w:lastRenderedPageBreak/>
        <w:t>Beleidsartikel 3</w:t>
      </w:r>
      <w:r w:rsidR="00D63C52" w:rsidRPr="00403D25">
        <w:rPr>
          <w:rFonts w:ascii="Verdana" w:hAnsi="Verdana"/>
          <w:b/>
          <w:sz w:val="18"/>
          <w:szCs w:val="18"/>
        </w:rPr>
        <w:t xml:space="preserve"> </w:t>
      </w:r>
    </w:p>
    <w:p w:rsidR="004B5774" w:rsidRPr="00403D25" w:rsidRDefault="004B5774" w:rsidP="001A3ABA">
      <w:pPr>
        <w:rPr>
          <w:rFonts w:ascii="Verdana" w:hAnsi="Verdana"/>
          <w:b/>
          <w:sz w:val="18"/>
          <w:szCs w:val="18"/>
        </w:rPr>
      </w:pPr>
    </w:p>
    <w:p w:rsidR="001A3ABA" w:rsidRPr="00403D25" w:rsidRDefault="00B03561" w:rsidP="001A3ABA">
      <w:pPr>
        <w:rPr>
          <w:rFonts w:ascii="Verdana" w:hAnsi="Verdana"/>
          <w:b/>
          <w:sz w:val="18"/>
          <w:szCs w:val="18"/>
        </w:rPr>
      </w:pPr>
      <w:r w:rsidRPr="00403D25">
        <w:rPr>
          <w:rFonts w:ascii="Verdana" w:hAnsi="Verdana"/>
          <w:b/>
          <w:sz w:val="18"/>
          <w:szCs w:val="18"/>
        </w:rPr>
        <w:object w:dxaOrig="22378" w:dyaOrig="11298">
          <v:shape id="_x0000_i1028" type="#_x0000_t75" style="width:501pt;height:252.75pt" o:ole="">
            <v:imagedata r:id="rId16" o:title=""/>
          </v:shape>
          <o:OLEObject Type="Embed" ProgID="Excel.Sheet.8" ShapeID="_x0000_i1028" DrawAspect="Content" ObjectID="_1494687558" r:id="rId17"/>
        </w:object>
      </w:r>
    </w:p>
    <w:p w:rsidR="001A3ABA" w:rsidRPr="00403D25" w:rsidRDefault="001A3ABA" w:rsidP="001A3ABA">
      <w:pPr>
        <w:rPr>
          <w:rFonts w:ascii="Verdana" w:hAnsi="Verdana"/>
          <w:sz w:val="18"/>
          <w:szCs w:val="18"/>
        </w:rPr>
      </w:pPr>
      <w:r w:rsidRPr="00403D25">
        <w:rPr>
          <w:rFonts w:ascii="Verdana" w:hAnsi="Verdana"/>
          <w:i/>
          <w:sz w:val="18"/>
          <w:szCs w:val="18"/>
        </w:rPr>
        <w:t>Verplichtingen</w:t>
      </w:r>
    </w:p>
    <w:p w:rsidR="004C5D5C" w:rsidRPr="00403D25" w:rsidRDefault="005D2DDB" w:rsidP="001A3ABA">
      <w:pPr>
        <w:rPr>
          <w:rFonts w:ascii="Verdana" w:hAnsi="Verdana"/>
          <w:sz w:val="18"/>
          <w:szCs w:val="18"/>
        </w:rPr>
      </w:pPr>
      <w:r w:rsidRPr="00403D25">
        <w:rPr>
          <w:rFonts w:ascii="Verdana" w:hAnsi="Verdana"/>
          <w:sz w:val="18"/>
          <w:szCs w:val="18"/>
        </w:rPr>
        <w:t>De verplichtingenmutatie bestaat uit een saldo. Enerzijds stijgen de verplichtingen binnen het artikelonderdeel EU-afdrachten analoog aan de mutaties zoals toegelicht onder de uitgaven. Anderzijds daalt het budget o</w:t>
      </w:r>
      <w:r w:rsidR="008914E1" w:rsidRPr="00403D25">
        <w:rPr>
          <w:rFonts w:ascii="Verdana" w:hAnsi="Verdana"/>
          <w:sz w:val="18"/>
          <w:szCs w:val="18"/>
        </w:rPr>
        <w:t>p het artikel</w:t>
      </w:r>
      <w:r w:rsidR="00153590" w:rsidRPr="00403D25">
        <w:rPr>
          <w:rFonts w:ascii="Verdana" w:hAnsi="Verdana"/>
          <w:sz w:val="18"/>
          <w:szCs w:val="18"/>
        </w:rPr>
        <w:t>onderdeel</w:t>
      </w:r>
      <w:r w:rsidR="008914E1" w:rsidRPr="00403D25">
        <w:rPr>
          <w:rFonts w:ascii="Verdana" w:hAnsi="Verdana"/>
          <w:sz w:val="18"/>
          <w:szCs w:val="18"/>
        </w:rPr>
        <w:t xml:space="preserve"> </w:t>
      </w:r>
      <w:r w:rsidR="00462B3B" w:rsidRPr="00403D25">
        <w:rPr>
          <w:rFonts w:ascii="Verdana" w:hAnsi="Verdana"/>
          <w:i/>
          <w:sz w:val="18"/>
          <w:szCs w:val="18"/>
        </w:rPr>
        <w:t>E</w:t>
      </w:r>
      <w:r w:rsidR="008914E1" w:rsidRPr="00403D25">
        <w:rPr>
          <w:rFonts w:ascii="Verdana" w:hAnsi="Verdana"/>
          <w:i/>
          <w:sz w:val="18"/>
          <w:szCs w:val="18"/>
        </w:rPr>
        <w:t>en effectief, efficiënt en coherent optreden van de Unie ten opzichte van derde landen en regio’s, inclusief ontwikkelingslanden</w:t>
      </w:r>
      <w:r w:rsidR="008914E1" w:rsidRPr="00403D25">
        <w:rPr>
          <w:rFonts w:ascii="Verdana" w:hAnsi="Verdana"/>
          <w:sz w:val="18"/>
          <w:szCs w:val="18"/>
        </w:rPr>
        <w:t xml:space="preserve"> (</w:t>
      </w:r>
      <w:r w:rsidR="00F978E5" w:rsidRPr="00403D25">
        <w:rPr>
          <w:rFonts w:ascii="Verdana" w:hAnsi="Verdana"/>
          <w:sz w:val="18"/>
          <w:szCs w:val="18"/>
        </w:rPr>
        <w:t xml:space="preserve">artikel </w:t>
      </w:r>
      <w:r w:rsidR="008914E1" w:rsidRPr="00403D25">
        <w:rPr>
          <w:rFonts w:ascii="Verdana" w:hAnsi="Verdana"/>
          <w:sz w:val="18"/>
          <w:szCs w:val="18"/>
        </w:rPr>
        <w:t>3.2) met EUR 1</w:t>
      </w:r>
      <w:r w:rsidR="00800D06" w:rsidRPr="00403D25">
        <w:rPr>
          <w:rFonts w:ascii="Verdana" w:hAnsi="Verdana"/>
          <w:sz w:val="18"/>
          <w:szCs w:val="18"/>
        </w:rPr>
        <w:t>,</w:t>
      </w:r>
      <w:r w:rsidR="008914E1" w:rsidRPr="00403D25">
        <w:rPr>
          <w:rFonts w:ascii="Verdana" w:hAnsi="Verdana"/>
          <w:sz w:val="18"/>
          <w:szCs w:val="18"/>
        </w:rPr>
        <w:t>4</w:t>
      </w:r>
      <w:r w:rsidR="00800D06" w:rsidRPr="00403D25">
        <w:rPr>
          <w:rFonts w:ascii="Verdana" w:hAnsi="Verdana"/>
          <w:sz w:val="18"/>
          <w:szCs w:val="18"/>
        </w:rPr>
        <w:t>6</w:t>
      </w:r>
      <w:r w:rsidR="008914E1" w:rsidRPr="00403D25">
        <w:rPr>
          <w:rFonts w:ascii="Verdana" w:hAnsi="Verdana"/>
          <w:sz w:val="18"/>
          <w:szCs w:val="18"/>
        </w:rPr>
        <w:t xml:space="preserve"> miljard. De</w:t>
      </w:r>
      <w:r w:rsidR="00153590" w:rsidRPr="00403D25">
        <w:rPr>
          <w:rFonts w:ascii="Verdana" w:hAnsi="Verdana"/>
          <w:sz w:val="18"/>
          <w:szCs w:val="18"/>
        </w:rPr>
        <w:t>ze</w:t>
      </w:r>
      <w:r w:rsidR="008914E1" w:rsidRPr="00403D25">
        <w:rPr>
          <w:rFonts w:ascii="Verdana" w:hAnsi="Verdana"/>
          <w:sz w:val="18"/>
          <w:szCs w:val="18"/>
        </w:rPr>
        <w:t xml:space="preserve"> verlaging is het gevolg van de ratificatie door Nederland van EOF 11 (Europees Ontwikkelingsfonds) in 2014. In dat jaar is de verplichting ook opgenomen en in de Slotwet 2014 gemeld. Hierdoor komt het geraamde budget voor 2015 te vervallen.</w:t>
      </w:r>
    </w:p>
    <w:p w:rsidR="008914E1" w:rsidRPr="00403D25" w:rsidRDefault="008914E1" w:rsidP="001A3ABA">
      <w:pPr>
        <w:rPr>
          <w:rFonts w:ascii="Verdana" w:hAnsi="Verdana"/>
          <w:i/>
          <w:sz w:val="18"/>
          <w:szCs w:val="18"/>
        </w:rPr>
      </w:pPr>
    </w:p>
    <w:p w:rsidR="001A3ABA" w:rsidRPr="00403D25" w:rsidRDefault="001A3ABA" w:rsidP="001A3ABA">
      <w:pPr>
        <w:rPr>
          <w:rFonts w:ascii="Verdana" w:hAnsi="Verdana"/>
          <w:i/>
          <w:sz w:val="18"/>
          <w:szCs w:val="18"/>
        </w:rPr>
      </w:pPr>
      <w:r w:rsidRPr="00403D25">
        <w:rPr>
          <w:rFonts w:ascii="Verdana" w:hAnsi="Verdana"/>
          <w:i/>
          <w:sz w:val="18"/>
          <w:szCs w:val="18"/>
        </w:rPr>
        <w:t>Uitgaven</w:t>
      </w:r>
    </w:p>
    <w:p w:rsidR="001376B8" w:rsidRPr="00403D25" w:rsidRDefault="001376B8" w:rsidP="001A3ABA">
      <w:pPr>
        <w:rPr>
          <w:rFonts w:ascii="Verdana" w:hAnsi="Verdana"/>
          <w:i/>
          <w:sz w:val="18"/>
          <w:szCs w:val="18"/>
        </w:rPr>
      </w:pPr>
    </w:p>
    <w:p w:rsidR="004C5D5C" w:rsidRPr="00403D25" w:rsidRDefault="004B5774" w:rsidP="001A3ABA">
      <w:pPr>
        <w:rPr>
          <w:rFonts w:ascii="Verdana" w:hAnsi="Verdana"/>
          <w:sz w:val="18"/>
          <w:szCs w:val="18"/>
        </w:rPr>
      </w:pPr>
      <w:r w:rsidRPr="00403D25">
        <w:rPr>
          <w:rFonts w:ascii="Verdana" w:hAnsi="Verdana"/>
          <w:sz w:val="18"/>
          <w:szCs w:val="18"/>
        </w:rPr>
        <w:t>Artikel 3.1</w:t>
      </w:r>
    </w:p>
    <w:p w:rsidR="00BC65F4" w:rsidRPr="00403D25" w:rsidRDefault="009857A9" w:rsidP="00667643">
      <w:pPr>
        <w:pStyle w:val="Geenafstand"/>
        <w:spacing w:line="240" w:lineRule="exact"/>
        <w:rPr>
          <w:iCs/>
          <w:szCs w:val="18"/>
        </w:rPr>
      </w:pPr>
      <w:r w:rsidRPr="00403D25">
        <w:rPr>
          <w:iCs/>
          <w:szCs w:val="18"/>
        </w:rPr>
        <w:t xml:space="preserve">Per saldo stijgen de afdrachten aan de EU </w:t>
      </w:r>
      <w:r w:rsidR="00153590" w:rsidRPr="00403D25">
        <w:rPr>
          <w:iCs/>
          <w:szCs w:val="18"/>
        </w:rPr>
        <w:t xml:space="preserve">in 2015 </w:t>
      </w:r>
      <w:r w:rsidRPr="00403D25">
        <w:rPr>
          <w:iCs/>
          <w:szCs w:val="18"/>
        </w:rPr>
        <w:t>met EUR 1,</w:t>
      </w:r>
      <w:r w:rsidR="00B03561" w:rsidRPr="00403D25">
        <w:rPr>
          <w:iCs/>
          <w:szCs w:val="18"/>
        </w:rPr>
        <w:t>43</w:t>
      </w:r>
      <w:r w:rsidRPr="00403D25">
        <w:rPr>
          <w:iCs/>
          <w:szCs w:val="18"/>
        </w:rPr>
        <w:t xml:space="preserve"> miljard</w:t>
      </w:r>
      <w:r w:rsidR="00153590" w:rsidRPr="00403D25">
        <w:rPr>
          <w:iCs/>
          <w:szCs w:val="18"/>
        </w:rPr>
        <w:t xml:space="preserve"> en dalen de afdrachten in 2016 met EUR </w:t>
      </w:r>
      <w:r w:rsidR="00B03561" w:rsidRPr="00403D25">
        <w:rPr>
          <w:iCs/>
          <w:szCs w:val="18"/>
        </w:rPr>
        <w:t>2</w:t>
      </w:r>
      <w:r w:rsidR="00153590" w:rsidRPr="00403D25">
        <w:rPr>
          <w:iCs/>
          <w:szCs w:val="18"/>
        </w:rPr>
        <w:t>,</w:t>
      </w:r>
      <w:r w:rsidR="00B03561" w:rsidRPr="00403D25">
        <w:rPr>
          <w:iCs/>
          <w:szCs w:val="18"/>
        </w:rPr>
        <w:t>0</w:t>
      </w:r>
      <w:r w:rsidR="00153590" w:rsidRPr="00403D25">
        <w:rPr>
          <w:iCs/>
          <w:szCs w:val="18"/>
        </w:rPr>
        <w:t>8 miljard</w:t>
      </w:r>
      <w:r w:rsidRPr="00403D25">
        <w:rPr>
          <w:iCs/>
          <w:szCs w:val="18"/>
        </w:rPr>
        <w:t xml:space="preserve">. </w:t>
      </w:r>
      <w:r w:rsidR="00BC65F4" w:rsidRPr="00403D25">
        <w:rPr>
          <w:iCs/>
          <w:szCs w:val="18"/>
        </w:rPr>
        <w:t>Onderstaande tabel geeft een verklaring voor de mutatie in de EU-afdrachten in 2015:</w:t>
      </w:r>
    </w:p>
    <w:p w:rsidR="00BC65F4" w:rsidRPr="00403D25" w:rsidRDefault="00BC65F4" w:rsidP="00667643">
      <w:pPr>
        <w:pStyle w:val="Geenafstand"/>
        <w:spacing w:line="240" w:lineRule="exact"/>
        <w:rPr>
          <w:iCs/>
          <w:szCs w:val="18"/>
        </w:rPr>
      </w:pPr>
    </w:p>
    <w:tbl>
      <w:tblPr>
        <w:tblStyle w:val="Tabelraster"/>
        <w:tblW w:w="0" w:type="auto"/>
        <w:tblInd w:w="108" w:type="dxa"/>
        <w:tblLook w:val="04A0" w:firstRow="1" w:lastRow="0" w:firstColumn="1" w:lastColumn="0" w:noHBand="0" w:noVBand="1"/>
      </w:tblPr>
      <w:tblGrid>
        <w:gridCol w:w="5670"/>
        <w:gridCol w:w="1487"/>
      </w:tblGrid>
      <w:tr w:rsidR="00BC65F4" w:rsidRPr="00403D25" w:rsidTr="00EA40D1">
        <w:tc>
          <w:tcPr>
            <w:tcW w:w="7157" w:type="dxa"/>
            <w:gridSpan w:val="2"/>
          </w:tcPr>
          <w:p w:rsidR="00BC65F4" w:rsidRPr="00403D25" w:rsidRDefault="00BC65F4" w:rsidP="00EA40D1">
            <w:pPr>
              <w:spacing w:line="240" w:lineRule="exact"/>
              <w:rPr>
                <w:rFonts w:ascii="Verdana" w:hAnsi="Verdana"/>
                <w:sz w:val="18"/>
                <w:szCs w:val="18"/>
              </w:rPr>
            </w:pPr>
            <w:r w:rsidRPr="00403D25">
              <w:rPr>
                <w:rFonts w:ascii="Verdana" w:hAnsi="Verdana"/>
                <w:sz w:val="18"/>
                <w:szCs w:val="18"/>
              </w:rPr>
              <w:t xml:space="preserve">Mutaties in </w:t>
            </w:r>
            <w:r w:rsidRPr="00403D25">
              <w:rPr>
                <w:rFonts w:ascii="Verdana" w:hAnsi="Verdana"/>
                <w:b/>
                <w:sz w:val="18"/>
                <w:szCs w:val="18"/>
              </w:rPr>
              <w:t>uitgaven</w:t>
            </w:r>
            <w:r w:rsidRPr="00403D25">
              <w:rPr>
                <w:rFonts w:ascii="Verdana" w:hAnsi="Verdana"/>
                <w:sz w:val="18"/>
                <w:szCs w:val="18"/>
              </w:rPr>
              <w:t xml:space="preserve"> EU-afdrachten (miljoenen euro)</w:t>
            </w:r>
          </w:p>
        </w:tc>
      </w:tr>
      <w:tr w:rsidR="00BC65F4" w:rsidRPr="00403D25" w:rsidTr="00EA40D1">
        <w:tc>
          <w:tcPr>
            <w:tcW w:w="5670" w:type="dxa"/>
          </w:tcPr>
          <w:p w:rsidR="00BC65F4" w:rsidRPr="00403D25" w:rsidRDefault="00BC65F4" w:rsidP="00EA40D1">
            <w:pPr>
              <w:spacing w:line="240" w:lineRule="exact"/>
              <w:rPr>
                <w:rFonts w:ascii="Verdana" w:hAnsi="Verdana"/>
                <w:sz w:val="18"/>
                <w:szCs w:val="18"/>
              </w:rPr>
            </w:pPr>
            <w:r w:rsidRPr="00403D25">
              <w:rPr>
                <w:rFonts w:ascii="Verdana" w:hAnsi="Verdana"/>
                <w:sz w:val="18"/>
                <w:szCs w:val="18"/>
              </w:rPr>
              <w:t>Omschrijving</w:t>
            </w:r>
          </w:p>
        </w:tc>
        <w:tc>
          <w:tcPr>
            <w:tcW w:w="1487" w:type="dxa"/>
          </w:tcPr>
          <w:p w:rsidR="00BC65F4" w:rsidRPr="00403D25" w:rsidRDefault="00BC65F4" w:rsidP="00EA40D1">
            <w:pPr>
              <w:spacing w:line="240" w:lineRule="exact"/>
              <w:jc w:val="right"/>
              <w:rPr>
                <w:rFonts w:ascii="Verdana" w:hAnsi="Verdana"/>
                <w:sz w:val="18"/>
                <w:szCs w:val="18"/>
              </w:rPr>
            </w:pPr>
            <w:r w:rsidRPr="00403D25">
              <w:rPr>
                <w:rFonts w:ascii="Verdana" w:hAnsi="Verdana"/>
                <w:sz w:val="18"/>
                <w:szCs w:val="18"/>
              </w:rPr>
              <w:t>Mutatie 2015</w:t>
            </w:r>
          </w:p>
        </w:tc>
      </w:tr>
      <w:tr w:rsidR="00BC65F4" w:rsidRPr="00403D25" w:rsidTr="00EA40D1">
        <w:tc>
          <w:tcPr>
            <w:tcW w:w="5670" w:type="dxa"/>
          </w:tcPr>
          <w:p w:rsidR="00BC65F4" w:rsidRPr="00403D25" w:rsidRDefault="00BC65F4" w:rsidP="00BC65F4">
            <w:pPr>
              <w:pStyle w:val="Lijstalinea"/>
              <w:numPr>
                <w:ilvl w:val="0"/>
                <w:numId w:val="25"/>
              </w:numPr>
              <w:spacing w:line="240" w:lineRule="exact"/>
              <w:rPr>
                <w:rFonts w:ascii="Verdana" w:hAnsi="Verdana"/>
                <w:sz w:val="18"/>
                <w:szCs w:val="18"/>
              </w:rPr>
            </w:pPr>
            <w:r w:rsidRPr="00403D25">
              <w:rPr>
                <w:rFonts w:ascii="Verdana" w:hAnsi="Verdana"/>
                <w:sz w:val="18"/>
                <w:szCs w:val="18"/>
              </w:rPr>
              <w:t>Naheffing</w:t>
            </w:r>
          </w:p>
        </w:tc>
        <w:tc>
          <w:tcPr>
            <w:tcW w:w="1487" w:type="dxa"/>
          </w:tcPr>
          <w:p w:rsidR="00BC65F4" w:rsidRPr="00403D25" w:rsidRDefault="00BC65F4" w:rsidP="00EA40D1">
            <w:pPr>
              <w:spacing w:line="240" w:lineRule="exact"/>
              <w:jc w:val="right"/>
              <w:rPr>
                <w:rFonts w:ascii="Verdana" w:hAnsi="Verdana"/>
                <w:sz w:val="18"/>
                <w:szCs w:val="18"/>
              </w:rPr>
            </w:pPr>
            <w:r w:rsidRPr="00403D25">
              <w:rPr>
                <w:rFonts w:ascii="Verdana" w:hAnsi="Verdana"/>
                <w:sz w:val="18"/>
                <w:szCs w:val="18"/>
              </w:rPr>
              <w:t>-460,7</w:t>
            </w:r>
          </w:p>
        </w:tc>
      </w:tr>
      <w:tr w:rsidR="00BC65F4" w:rsidRPr="00403D25" w:rsidTr="00EA40D1">
        <w:tc>
          <w:tcPr>
            <w:tcW w:w="5670" w:type="dxa"/>
          </w:tcPr>
          <w:p w:rsidR="00BC65F4" w:rsidRPr="00403D25" w:rsidRDefault="00BC65F4" w:rsidP="00BC65F4">
            <w:pPr>
              <w:pStyle w:val="Lijstalinea"/>
              <w:numPr>
                <w:ilvl w:val="0"/>
                <w:numId w:val="25"/>
              </w:numPr>
              <w:spacing w:line="240" w:lineRule="exact"/>
              <w:rPr>
                <w:rFonts w:ascii="Verdana" w:hAnsi="Verdana"/>
                <w:sz w:val="18"/>
                <w:szCs w:val="18"/>
              </w:rPr>
            </w:pPr>
            <w:r w:rsidRPr="00403D25">
              <w:rPr>
                <w:rFonts w:ascii="Verdana" w:hAnsi="Verdana"/>
                <w:sz w:val="18"/>
                <w:szCs w:val="18"/>
              </w:rPr>
              <w:t>Vertraagde ratificatie</w:t>
            </w:r>
          </w:p>
        </w:tc>
        <w:tc>
          <w:tcPr>
            <w:tcW w:w="1487" w:type="dxa"/>
          </w:tcPr>
          <w:p w:rsidR="00BC65F4" w:rsidRPr="00403D25" w:rsidRDefault="00BC65F4" w:rsidP="00EA40D1">
            <w:pPr>
              <w:spacing w:line="240" w:lineRule="exact"/>
              <w:jc w:val="right"/>
              <w:rPr>
                <w:rFonts w:ascii="Verdana" w:hAnsi="Verdana"/>
                <w:sz w:val="18"/>
                <w:szCs w:val="18"/>
              </w:rPr>
            </w:pPr>
            <w:r w:rsidRPr="00403D25">
              <w:rPr>
                <w:rFonts w:ascii="Verdana" w:hAnsi="Verdana"/>
                <w:sz w:val="18"/>
                <w:szCs w:val="18"/>
              </w:rPr>
              <w:t>2.077,1</w:t>
            </w:r>
          </w:p>
        </w:tc>
      </w:tr>
      <w:tr w:rsidR="00BC65F4" w:rsidRPr="00403D25" w:rsidTr="00EA40D1">
        <w:tc>
          <w:tcPr>
            <w:tcW w:w="5670" w:type="dxa"/>
          </w:tcPr>
          <w:p w:rsidR="00BC65F4" w:rsidRPr="00403D25" w:rsidRDefault="00BC65F4" w:rsidP="00BC65F4">
            <w:pPr>
              <w:pStyle w:val="Lijstalinea"/>
              <w:numPr>
                <w:ilvl w:val="0"/>
                <w:numId w:val="25"/>
              </w:numPr>
              <w:spacing w:line="240" w:lineRule="exact"/>
              <w:rPr>
                <w:rFonts w:ascii="Verdana" w:hAnsi="Verdana"/>
                <w:sz w:val="18"/>
                <w:szCs w:val="18"/>
              </w:rPr>
            </w:pPr>
            <w:r w:rsidRPr="00403D25">
              <w:rPr>
                <w:rFonts w:ascii="Verdana" w:hAnsi="Verdana"/>
                <w:sz w:val="18"/>
                <w:szCs w:val="18"/>
              </w:rPr>
              <w:t>Overige mutaties</w:t>
            </w:r>
          </w:p>
        </w:tc>
        <w:tc>
          <w:tcPr>
            <w:tcW w:w="1487" w:type="dxa"/>
          </w:tcPr>
          <w:p w:rsidR="00BC65F4" w:rsidRPr="00403D25" w:rsidRDefault="00BC65F4" w:rsidP="00EA40D1">
            <w:pPr>
              <w:spacing w:line="240" w:lineRule="exact"/>
              <w:jc w:val="right"/>
              <w:rPr>
                <w:rFonts w:ascii="Verdana" w:hAnsi="Verdana"/>
                <w:sz w:val="18"/>
                <w:szCs w:val="18"/>
              </w:rPr>
            </w:pPr>
            <w:r w:rsidRPr="00403D25">
              <w:rPr>
                <w:rFonts w:ascii="Verdana" w:hAnsi="Verdana"/>
                <w:sz w:val="18"/>
                <w:szCs w:val="18"/>
              </w:rPr>
              <w:t>-182,7</w:t>
            </w:r>
          </w:p>
        </w:tc>
      </w:tr>
      <w:tr w:rsidR="00BC65F4" w:rsidRPr="00403D25" w:rsidTr="00EA40D1">
        <w:tc>
          <w:tcPr>
            <w:tcW w:w="5670" w:type="dxa"/>
          </w:tcPr>
          <w:p w:rsidR="00BC65F4" w:rsidRPr="00403D25" w:rsidRDefault="00BC65F4" w:rsidP="00EA40D1">
            <w:pPr>
              <w:spacing w:line="240" w:lineRule="exact"/>
              <w:rPr>
                <w:rFonts w:ascii="Verdana" w:hAnsi="Verdana"/>
                <w:sz w:val="18"/>
                <w:szCs w:val="18"/>
              </w:rPr>
            </w:pPr>
            <w:r w:rsidRPr="00403D25">
              <w:rPr>
                <w:rFonts w:ascii="Verdana" w:hAnsi="Verdana"/>
                <w:sz w:val="18"/>
                <w:szCs w:val="18"/>
              </w:rPr>
              <w:t xml:space="preserve">Totale </w:t>
            </w:r>
            <w:r w:rsidRPr="00403D25">
              <w:rPr>
                <w:rFonts w:ascii="Verdana" w:hAnsi="Verdana"/>
                <w:b/>
                <w:sz w:val="18"/>
                <w:szCs w:val="18"/>
              </w:rPr>
              <w:t>uitgaven</w:t>
            </w:r>
            <w:r w:rsidRPr="00403D25">
              <w:rPr>
                <w:rFonts w:ascii="Verdana" w:hAnsi="Verdana"/>
                <w:sz w:val="18"/>
                <w:szCs w:val="18"/>
              </w:rPr>
              <w:t xml:space="preserve"> mutatie</w:t>
            </w:r>
          </w:p>
        </w:tc>
        <w:tc>
          <w:tcPr>
            <w:tcW w:w="1487" w:type="dxa"/>
          </w:tcPr>
          <w:p w:rsidR="00BC65F4" w:rsidRPr="00403D25" w:rsidRDefault="00BC65F4" w:rsidP="00EA40D1">
            <w:pPr>
              <w:spacing w:line="240" w:lineRule="exact"/>
              <w:jc w:val="right"/>
              <w:rPr>
                <w:rFonts w:ascii="Verdana" w:hAnsi="Verdana"/>
                <w:sz w:val="18"/>
                <w:szCs w:val="18"/>
              </w:rPr>
            </w:pPr>
            <w:r w:rsidRPr="00403D25">
              <w:rPr>
                <w:rFonts w:ascii="Verdana" w:hAnsi="Verdana"/>
                <w:sz w:val="18"/>
                <w:szCs w:val="18"/>
              </w:rPr>
              <w:t>1.433,7</w:t>
            </w:r>
          </w:p>
        </w:tc>
      </w:tr>
    </w:tbl>
    <w:p w:rsidR="00BC65F4" w:rsidRPr="00403D25" w:rsidRDefault="00BC65F4" w:rsidP="00667643">
      <w:pPr>
        <w:pStyle w:val="Geenafstand"/>
        <w:spacing w:line="240" w:lineRule="exact"/>
        <w:rPr>
          <w:iCs/>
          <w:szCs w:val="18"/>
        </w:rPr>
      </w:pPr>
    </w:p>
    <w:p w:rsidR="00A436F8" w:rsidRPr="00403D25" w:rsidRDefault="00A436F8" w:rsidP="00A436F8">
      <w:pPr>
        <w:pStyle w:val="Geenafstand"/>
        <w:numPr>
          <w:ilvl w:val="0"/>
          <w:numId w:val="19"/>
        </w:numPr>
        <w:spacing w:line="240" w:lineRule="exact"/>
        <w:rPr>
          <w:i/>
          <w:iCs/>
          <w:szCs w:val="18"/>
        </w:rPr>
      </w:pPr>
      <w:r w:rsidRPr="00403D25">
        <w:rPr>
          <w:i/>
          <w:iCs/>
          <w:szCs w:val="18"/>
        </w:rPr>
        <w:t xml:space="preserve">Naheffing: </w:t>
      </w:r>
      <w:r w:rsidRPr="00403D25">
        <w:t>De terugbetaling van EUR 460 miljoen euro als gevolg van de naheffing uit hoofde van de revisie van de Nationale Rekeningen wordt voor het einde van dit jaar geheel ontvangen in de kas</w:t>
      </w:r>
      <w:r w:rsidRPr="00403D25">
        <w:rPr>
          <w:szCs w:val="18"/>
        </w:rPr>
        <w:t xml:space="preserve">. </w:t>
      </w:r>
    </w:p>
    <w:p w:rsidR="00A436F8" w:rsidRPr="00403D25" w:rsidRDefault="00A436F8" w:rsidP="00A436F8">
      <w:pPr>
        <w:pStyle w:val="Geenafstand"/>
        <w:numPr>
          <w:ilvl w:val="0"/>
          <w:numId w:val="19"/>
        </w:numPr>
        <w:spacing w:line="240" w:lineRule="exact"/>
        <w:rPr>
          <w:i/>
          <w:iCs/>
          <w:szCs w:val="18"/>
        </w:rPr>
      </w:pPr>
      <w:r w:rsidRPr="00403D25">
        <w:rPr>
          <w:i/>
          <w:iCs/>
          <w:szCs w:val="18"/>
        </w:rPr>
        <w:t xml:space="preserve">Vertraagde ratificatie: </w:t>
      </w:r>
      <w:r w:rsidRPr="00403D25">
        <w:rPr>
          <w:szCs w:val="18"/>
        </w:rPr>
        <w:t xml:space="preserve">De ratificatie van het Eigen Middelenbesluit in alle lidstaten wordt niet meer voorzien voor het einde van 2015. De jaarlijkse Nederlandse korting, die onderdeel uitmaakt van het Eigen Middelenbesluit, slaat daardoor in 2016 voor drie jaren neer (2014 t/m 2016). </w:t>
      </w:r>
      <w:r w:rsidR="00BC65F4" w:rsidRPr="00403D25">
        <w:rPr>
          <w:szCs w:val="18"/>
        </w:rPr>
        <w:t xml:space="preserve">Ook de aanpassing van de percentiekostenvergoeding wordt doorgeschoven naar 2016. De vertraagde ratificatie leidt tot per saldo hogere afdrachten van </w:t>
      </w:r>
      <w:r w:rsidR="000E706F">
        <w:rPr>
          <w:szCs w:val="18"/>
        </w:rPr>
        <w:t xml:space="preserve">EUR </w:t>
      </w:r>
      <w:r w:rsidR="00BC65F4" w:rsidRPr="00403D25">
        <w:rPr>
          <w:szCs w:val="18"/>
        </w:rPr>
        <w:t xml:space="preserve">2,1 miljard (zie bovenstaande tabel) en hogere ontvangsten van </w:t>
      </w:r>
      <w:r w:rsidR="000E706F">
        <w:rPr>
          <w:szCs w:val="18"/>
        </w:rPr>
        <w:t xml:space="preserve">EUR </w:t>
      </w:r>
      <w:r w:rsidR="00BC65F4" w:rsidRPr="00403D25">
        <w:rPr>
          <w:szCs w:val="18"/>
        </w:rPr>
        <w:t xml:space="preserve">0,3 miljard (zie verklaring ontvangsten bij artikel 3.10); per saldo wordt </w:t>
      </w:r>
      <w:r w:rsidR="000E706F">
        <w:rPr>
          <w:szCs w:val="18"/>
        </w:rPr>
        <w:t xml:space="preserve">EUR </w:t>
      </w:r>
      <w:r w:rsidR="00BC65F4" w:rsidRPr="00403D25">
        <w:rPr>
          <w:szCs w:val="18"/>
        </w:rPr>
        <w:t>1,8 miljard doorgeschoven naar 2016.</w:t>
      </w:r>
    </w:p>
    <w:p w:rsidR="00BC65F4" w:rsidRPr="00403D25" w:rsidRDefault="00A436F8" w:rsidP="00BC65F4">
      <w:pPr>
        <w:pStyle w:val="Lijstalinea"/>
        <w:numPr>
          <w:ilvl w:val="0"/>
          <w:numId w:val="19"/>
        </w:numPr>
        <w:spacing w:line="240" w:lineRule="exact"/>
        <w:rPr>
          <w:rFonts w:ascii="Verdana" w:hAnsi="Verdana"/>
          <w:i/>
          <w:sz w:val="18"/>
          <w:szCs w:val="18"/>
        </w:rPr>
      </w:pPr>
      <w:r w:rsidRPr="00403D25">
        <w:rPr>
          <w:rFonts w:ascii="Verdana" w:hAnsi="Verdana"/>
          <w:i/>
          <w:sz w:val="18"/>
          <w:szCs w:val="18"/>
        </w:rPr>
        <w:t>EU-afdrachten –</w:t>
      </w:r>
      <w:r w:rsidR="00407CD9" w:rsidRPr="00403D25">
        <w:rPr>
          <w:rFonts w:ascii="Verdana" w:hAnsi="Verdana"/>
          <w:i/>
          <w:sz w:val="18"/>
          <w:szCs w:val="18"/>
        </w:rPr>
        <w:t xml:space="preserve"> </w:t>
      </w:r>
      <w:r w:rsidRPr="00403D25">
        <w:rPr>
          <w:rFonts w:ascii="Verdana" w:hAnsi="Verdana"/>
          <w:i/>
          <w:sz w:val="18"/>
          <w:szCs w:val="18"/>
        </w:rPr>
        <w:t xml:space="preserve">Overig: </w:t>
      </w:r>
      <w:r w:rsidR="00BC65F4" w:rsidRPr="00403D25">
        <w:rPr>
          <w:rFonts w:ascii="Verdana" w:hAnsi="Verdana"/>
          <w:sz w:val="18"/>
          <w:szCs w:val="18"/>
        </w:rPr>
        <w:t xml:space="preserve">Onderstaande tabel geeft een verklaring van de omvang van de overige mutaties: </w:t>
      </w:r>
    </w:p>
    <w:p w:rsidR="00BC65F4" w:rsidRPr="00403D25" w:rsidRDefault="00BC65F4" w:rsidP="00BC65F4">
      <w:pPr>
        <w:pStyle w:val="Lijstalinea"/>
        <w:numPr>
          <w:ilvl w:val="1"/>
          <w:numId w:val="19"/>
        </w:numPr>
        <w:spacing w:line="240" w:lineRule="exact"/>
        <w:rPr>
          <w:rFonts w:ascii="Verdana" w:hAnsi="Verdana"/>
          <w:i/>
          <w:sz w:val="18"/>
          <w:szCs w:val="18"/>
        </w:rPr>
      </w:pPr>
      <w:r w:rsidRPr="00403D25">
        <w:rPr>
          <w:rFonts w:ascii="Verdana" w:hAnsi="Verdana"/>
          <w:sz w:val="18"/>
          <w:szCs w:val="18"/>
        </w:rPr>
        <w:t xml:space="preserve">Het betreft in eerste instantie het in december vorig jaar gesloten akkoord tussen de Raad en het Europees Parlement over de begroting 2015 en de aanvullende begrotingen voor 2014. Begin december 2014 hebben de Raad en het Europees Parlement een akkoord bereikt over </w:t>
      </w:r>
      <w:r w:rsidRPr="00403D25">
        <w:rPr>
          <w:rFonts w:ascii="Verdana" w:hAnsi="Verdana"/>
          <w:sz w:val="18"/>
          <w:szCs w:val="18"/>
        </w:rPr>
        <w:lastRenderedPageBreak/>
        <w:t xml:space="preserve">de aanvullende begroting voor 2014. Dat akkoord leidde tot hogere uitgaven voor Nederland — </w:t>
      </w:r>
      <w:r w:rsidR="000E706F">
        <w:rPr>
          <w:rFonts w:ascii="Verdana" w:hAnsi="Verdana"/>
          <w:sz w:val="18"/>
          <w:szCs w:val="18"/>
        </w:rPr>
        <w:t xml:space="preserve">EUR </w:t>
      </w:r>
      <w:r w:rsidRPr="00403D25">
        <w:rPr>
          <w:rFonts w:ascii="Verdana" w:hAnsi="Verdana"/>
          <w:sz w:val="18"/>
          <w:szCs w:val="18"/>
        </w:rPr>
        <w:t xml:space="preserve">150 miljoen — en hogere inkomsten voor Nederland — </w:t>
      </w:r>
      <w:r w:rsidR="000E706F">
        <w:rPr>
          <w:rFonts w:ascii="Verdana" w:hAnsi="Verdana"/>
          <w:sz w:val="18"/>
          <w:szCs w:val="18"/>
        </w:rPr>
        <w:t xml:space="preserve">EUR </w:t>
      </w:r>
      <w:r w:rsidRPr="00403D25">
        <w:rPr>
          <w:rFonts w:ascii="Verdana" w:hAnsi="Verdana"/>
          <w:sz w:val="18"/>
          <w:szCs w:val="18"/>
        </w:rPr>
        <w:t xml:space="preserve">95 miljoen. Per saldo leidde dit akkoord tot </w:t>
      </w:r>
      <w:r w:rsidR="000E706F">
        <w:rPr>
          <w:rFonts w:ascii="Verdana" w:hAnsi="Verdana"/>
          <w:sz w:val="18"/>
          <w:szCs w:val="18"/>
        </w:rPr>
        <w:t xml:space="preserve">EUR </w:t>
      </w:r>
      <w:r w:rsidRPr="00403D25">
        <w:rPr>
          <w:rFonts w:ascii="Verdana" w:hAnsi="Verdana"/>
          <w:sz w:val="18"/>
          <w:szCs w:val="18"/>
        </w:rPr>
        <w:t xml:space="preserve">55 miljoen hogere afdrachten voor 2014. Omdat het akkoord pas in december is gesloten zijn de budgettaire effecten doorgeschoven naar 2015.  </w:t>
      </w:r>
    </w:p>
    <w:p w:rsidR="00BC65F4" w:rsidRPr="00403D25" w:rsidRDefault="00BC65F4" w:rsidP="00BC65F4">
      <w:pPr>
        <w:pStyle w:val="Lijstalinea"/>
        <w:numPr>
          <w:ilvl w:val="1"/>
          <w:numId w:val="19"/>
        </w:numPr>
        <w:spacing w:line="240" w:lineRule="exact"/>
        <w:rPr>
          <w:rFonts w:ascii="Verdana" w:hAnsi="Verdana"/>
          <w:i/>
          <w:sz w:val="18"/>
          <w:szCs w:val="18"/>
        </w:rPr>
      </w:pPr>
      <w:r w:rsidRPr="00403D25">
        <w:rPr>
          <w:rFonts w:ascii="Verdana" w:hAnsi="Verdana"/>
          <w:sz w:val="18"/>
          <w:szCs w:val="18"/>
        </w:rPr>
        <w:t>In tweede instantie resulteert uit de realisatie van de Europese begroting over 2014 een surplus (hogere inkomsten dan uitgaven). Dit surplus wordt toegevoegd aan de begroting voor het volgend jaar en verlaagt daarmee de afdrachten van de lidstaten (</w:t>
      </w:r>
      <w:r w:rsidR="000E706F">
        <w:rPr>
          <w:rFonts w:ascii="Verdana" w:hAnsi="Verdana"/>
          <w:sz w:val="18"/>
          <w:szCs w:val="18"/>
        </w:rPr>
        <w:t xml:space="preserve">EUR </w:t>
      </w:r>
      <w:r w:rsidRPr="00403D25">
        <w:rPr>
          <w:rFonts w:ascii="Verdana" w:hAnsi="Verdana"/>
          <w:sz w:val="18"/>
          <w:szCs w:val="18"/>
        </w:rPr>
        <w:t>66 miljoen voor Nederland).</w:t>
      </w:r>
    </w:p>
    <w:p w:rsidR="00615953" w:rsidRPr="00403D25" w:rsidRDefault="00BC65F4" w:rsidP="00615953">
      <w:pPr>
        <w:pStyle w:val="Lijstalinea"/>
        <w:numPr>
          <w:ilvl w:val="1"/>
          <w:numId w:val="19"/>
        </w:numPr>
        <w:spacing w:line="240" w:lineRule="exact"/>
        <w:rPr>
          <w:rFonts w:ascii="Verdana" w:hAnsi="Verdana"/>
          <w:i/>
          <w:sz w:val="18"/>
          <w:szCs w:val="18"/>
        </w:rPr>
      </w:pPr>
      <w:r w:rsidRPr="00403D25">
        <w:rPr>
          <w:rFonts w:ascii="Verdana" w:hAnsi="Verdana"/>
          <w:sz w:val="18"/>
          <w:szCs w:val="18"/>
        </w:rPr>
        <w:t>In derde instantie worden de laatste ramingsbijstellingen verwerkt</w:t>
      </w:r>
      <w:r w:rsidR="004F6902" w:rsidRPr="00403D25">
        <w:rPr>
          <w:rFonts w:ascii="Verdana" w:hAnsi="Verdana"/>
          <w:sz w:val="18"/>
          <w:szCs w:val="18"/>
        </w:rPr>
        <w:t xml:space="preserve"> (</w:t>
      </w:r>
      <w:r w:rsidR="000E706F">
        <w:rPr>
          <w:rFonts w:ascii="Verdana" w:hAnsi="Verdana"/>
          <w:sz w:val="18"/>
          <w:szCs w:val="18"/>
        </w:rPr>
        <w:t xml:space="preserve">EUR </w:t>
      </w:r>
      <w:r w:rsidR="004F6902" w:rsidRPr="00403D25">
        <w:rPr>
          <w:rFonts w:ascii="Verdana" w:hAnsi="Verdana"/>
          <w:sz w:val="18"/>
          <w:szCs w:val="18"/>
        </w:rPr>
        <w:t>172 miljoen minder afdrachten).</w:t>
      </w:r>
    </w:p>
    <w:p w:rsidR="00615953" w:rsidRPr="00403D25" w:rsidRDefault="00615953" w:rsidP="00615953">
      <w:pPr>
        <w:spacing w:line="240" w:lineRule="exact"/>
        <w:rPr>
          <w:rFonts w:ascii="Verdana" w:hAnsi="Verdana"/>
          <w:i/>
          <w:sz w:val="18"/>
          <w:szCs w:val="18"/>
        </w:rPr>
      </w:pPr>
    </w:p>
    <w:tbl>
      <w:tblPr>
        <w:tblStyle w:val="Tabelraster"/>
        <w:tblW w:w="0" w:type="auto"/>
        <w:tblInd w:w="108" w:type="dxa"/>
        <w:tblLook w:val="04A0" w:firstRow="1" w:lastRow="0" w:firstColumn="1" w:lastColumn="0" w:noHBand="0" w:noVBand="1"/>
      </w:tblPr>
      <w:tblGrid>
        <w:gridCol w:w="5245"/>
        <w:gridCol w:w="1276"/>
      </w:tblGrid>
      <w:tr w:rsidR="00BC65F4" w:rsidRPr="00403D25" w:rsidTr="00EA40D1">
        <w:tc>
          <w:tcPr>
            <w:tcW w:w="6521" w:type="dxa"/>
            <w:gridSpan w:val="2"/>
          </w:tcPr>
          <w:p w:rsidR="00BC65F4" w:rsidRPr="00403D25" w:rsidRDefault="00BC65F4" w:rsidP="00EA40D1">
            <w:pPr>
              <w:spacing w:line="240" w:lineRule="exact"/>
              <w:rPr>
                <w:rFonts w:ascii="Verdana" w:hAnsi="Verdana"/>
                <w:sz w:val="18"/>
                <w:szCs w:val="18"/>
              </w:rPr>
            </w:pPr>
            <w:r w:rsidRPr="00403D25">
              <w:rPr>
                <w:rFonts w:ascii="Verdana" w:hAnsi="Verdana"/>
                <w:sz w:val="18"/>
                <w:szCs w:val="18"/>
              </w:rPr>
              <w:t>Overige mutaties EU-afdrachten (miljoenen euro)</w:t>
            </w:r>
          </w:p>
        </w:tc>
      </w:tr>
      <w:tr w:rsidR="00BC65F4" w:rsidRPr="00403D25" w:rsidTr="00EA40D1">
        <w:tc>
          <w:tcPr>
            <w:tcW w:w="5245" w:type="dxa"/>
          </w:tcPr>
          <w:p w:rsidR="00BC65F4" w:rsidRPr="00403D25" w:rsidRDefault="00BC65F4" w:rsidP="00EA40D1">
            <w:pPr>
              <w:spacing w:line="240" w:lineRule="exact"/>
              <w:rPr>
                <w:rFonts w:ascii="Verdana" w:hAnsi="Verdana"/>
                <w:sz w:val="18"/>
                <w:szCs w:val="18"/>
              </w:rPr>
            </w:pPr>
            <w:r w:rsidRPr="00403D25">
              <w:rPr>
                <w:rFonts w:ascii="Verdana" w:hAnsi="Verdana"/>
                <w:sz w:val="18"/>
                <w:szCs w:val="18"/>
              </w:rPr>
              <w:t>Omschrijving</w:t>
            </w:r>
          </w:p>
        </w:tc>
        <w:tc>
          <w:tcPr>
            <w:tcW w:w="1276" w:type="dxa"/>
          </w:tcPr>
          <w:p w:rsidR="00BC65F4" w:rsidRPr="00403D25" w:rsidRDefault="00BC65F4" w:rsidP="00EA40D1">
            <w:pPr>
              <w:spacing w:line="240" w:lineRule="exact"/>
              <w:jc w:val="right"/>
              <w:rPr>
                <w:rFonts w:ascii="Verdana" w:hAnsi="Verdana"/>
                <w:sz w:val="18"/>
                <w:szCs w:val="18"/>
              </w:rPr>
            </w:pPr>
            <w:r w:rsidRPr="00403D25">
              <w:rPr>
                <w:rFonts w:ascii="Verdana" w:hAnsi="Verdana"/>
                <w:sz w:val="18"/>
                <w:szCs w:val="18"/>
              </w:rPr>
              <w:t>Mutatie</w:t>
            </w:r>
          </w:p>
        </w:tc>
      </w:tr>
      <w:tr w:rsidR="00BC65F4" w:rsidRPr="00403D25" w:rsidTr="00EA40D1">
        <w:tc>
          <w:tcPr>
            <w:tcW w:w="5245" w:type="dxa"/>
          </w:tcPr>
          <w:p w:rsidR="00BC65F4" w:rsidRPr="00403D25" w:rsidRDefault="00BC65F4" w:rsidP="00BC65F4">
            <w:pPr>
              <w:pStyle w:val="Lijstalinea"/>
              <w:numPr>
                <w:ilvl w:val="0"/>
                <w:numId w:val="26"/>
              </w:numPr>
              <w:spacing w:line="240" w:lineRule="exact"/>
              <w:rPr>
                <w:rFonts w:ascii="Verdana" w:hAnsi="Verdana"/>
                <w:sz w:val="18"/>
                <w:szCs w:val="18"/>
              </w:rPr>
            </w:pPr>
            <w:r w:rsidRPr="00403D25">
              <w:rPr>
                <w:rFonts w:ascii="Verdana" w:hAnsi="Verdana"/>
                <w:sz w:val="18"/>
                <w:szCs w:val="18"/>
              </w:rPr>
              <w:t>Begrotingsakkoord</w:t>
            </w:r>
          </w:p>
        </w:tc>
        <w:tc>
          <w:tcPr>
            <w:tcW w:w="1276" w:type="dxa"/>
          </w:tcPr>
          <w:p w:rsidR="00BC65F4" w:rsidRPr="00403D25" w:rsidRDefault="00BC65F4" w:rsidP="00EA40D1">
            <w:pPr>
              <w:spacing w:line="240" w:lineRule="exact"/>
              <w:jc w:val="right"/>
              <w:rPr>
                <w:rFonts w:ascii="Verdana" w:hAnsi="Verdana"/>
                <w:sz w:val="18"/>
                <w:szCs w:val="18"/>
              </w:rPr>
            </w:pPr>
            <w:r w:rsidRPr="00403D25">
              <w:rPr>
                <w:rFonts w:ascii="Verdana" w:hAnsi="Verdana"/>
                <w:sz w:val="18"/>
                <w:szCs w:val="18"/>
              </w:rPr>
              <w:t>55</w:t>
            </w:r>
          </w:p>
        </w:tc>
      </w:tr>
      <w:tr w:rsidR="00BC65F4" w:rsidRPr="00403D25" w:rsidTr="00EA40D1">
        <w:tc>
          <w:tcPr>
            <w:tcW w:w="5245" w:type="dxa"/>
          </w:tcPr>
          <w:p w:rsidR="00BC65F4" w:rsidRPr="00403D25" w:rsidRDefault="00BC65F4" w:rsidP="00BC65F4">
            <w:pPr>
              <w:pStyle w:val="Lijstalinea"/>
              <w:numPr>
                <w:ilvl w:val="0"/>
                <w:numId w:val="26"/>
              </w:numPr>
              <w:spacing w:line="240" w:lineRule="exact"/>
              <w:rPr>
                <w:rFonts w:ascii="Verdana" w:hAnsi="Verdana"/>
                <w:sz w:val="18"/>
                <w:szCs w:val="18"/>
              </w:rPr>
            </w:pPr>
            <w:r w:rsidRPr="00403D25">
              <w:rPr>
                <w:rFonts w:ascii="Verdana" w:hAnsi="Verdana"/>
                <w:sz w:val="18"/>
                <w:szCs w:val="18"/>
              </w:rPr>
              <w:t>Surplus</w:t>
            </w:r>
          </w:p>
        </w:tc>
        <w:tc>
          <w:tcPr>
            <w:tcW w:w="1276" w:type="dxa"/>
          </w:tcPr>
          <w:p w:rsidR="00BC65F4" w:rsidRPr="00403D25" w:rsidRDefault="00BC65F4" w:rsidP="00EA40D1">
            <w:pPr>
              <w:spacing w:line="240" w:lineRule="exact"/>
              <w:jc w:val="right"/>
              <w:rPr>
                <w:rFonts w:ascii="Verdana" w:hAnsi="Verdana"/>
                <w:sz w:val="18"/>
                <w:szCs w:val="18"/>
              </w:rPr>
            </w:pPr>
            <w:r w:rsidRPr="00403D25">
              <w:rPr>
                <w:rFonts w:ascii="Verdana" w:hAnsi="Verdana"/>
                <w:sz w:val="18"/>
                <w:szCs w:val="18"/>
              </w:rPr>
              <w:t>-66</w:t>
            </w:r>
          </w:p>
        </w:tc>
      </w:tr>
      <w:tr w:rsidR="00BC65F4" w:rsidRPr="00403D25" w:rsidTr="00EA40D1">
        <w:tc>
          <w:tcPr>
            <w:tcW w:w="5245" w:type="dxa"/>
          </w:tcPr>
          <w:p w:rsidR="00BC65F4" w:rsidRPr="00403D25" w:rsidRDefault="00BC65F4" w:rsidP="00BC65F4">
            <w:pPr>
              <w:pStyle w:val="Lijstalinea"/>
              <w:numPr>
                <w:ilvl w:val="0"/>
                <w:numId w:val="26"/>
              </w:numPr>
              <w:spacing w:line="240" w:lineRule="exact"/>
              <w:rPr>
                <w:rFonts w:ascii="Verdana" w:hAnsi="Verdana"/>
                <w:sz w:val="18"/>
                <w:szCs w:val="18"/>
              </w:rPr>
            </w:pPr>
            <w:r w:rsidRPr="00403D25">
              <w:rPr>
                <w:rFonts w:ascii="Verdana" w:hAnsi="Verdana"/>
                <w:sz w:val="18"/>
                <w:szCs w:val="18"/>
              </w:rPr>
              <w:t>Ramingsbijstellingen</w:t>
            </w:r>
          </w:p>
        </w:tc>
        <w:tc>
          <w:tcPr>
            <w:tcW w:w="1276" w:type="dxa"/>
          </w:tcPr>
          <w:p w:rsidR="00BC65F4" w:rsidRPr="00403D25" w:rsidRDefault="00BC65F4" w:rsidP="00EA40D1">
            <w:pPr>
              <w:spacing w:line="240" w:lineRule="exact"/>
              <w:jc w:val="right"/>
              <w:rPr>
                <w:rFonts w:ascii="Verdana" w:hAnsi="Verdana"/>
                <w:sz w:val="18"/>
                <w:szCs w:val="18"/>
              </w:rPr>
            </w:pPr>
            <w:r w:rsidRPr="00403D25">
              <w:rPr>
                <w:rFonts w:ascii="Verdana" w:hAnsi="Verdana"/>
                <w:sz w:val="18"/>
                <w:szCs w:val="18"/>
              </w:rPr>
              <w:t>-172</w:t>
            </w:r>
          </w:p>
        </w:tc>
      </w:tr>
      <w:tr w:rsidR="00BC65F4" w:rsidRPr="00403D25" w:rsidTr="00EA40D1">
        <w:tc>
          <w:tcPr>
            <w:tcW w:w="5245" w:type="dxa"/>
          </w:tcPr>
          <w:p w:rsidR="00BC65F4" w:rsidRPr="00403D25" w:rsidRDefault="00BC65F4" w:rsidP="00EA40D1">
            <w:pPr>
              <w:spacing w:line="240" w:lineRule="exact"/>
              <w:rPr>
                <w:rFonts w:ascii="Verdana" w:hAnsi="Verdana"/>
                <w:sz w:val="18"/>
                <w:szCs w:val="18"/>
              </w:rPr>
            </w:pPr>
            <w:r w:rsidRPr="00403D25">
              <w:rPr>
                <w:rFonts w:ascii="Verdana" w:hAnsi="Verdana"/>
                <w:sz w:val="18"/>
                <w:szCs w:val="18"/>
              </w:rPr>
              <w:t>Overige EU-afdrachten</w:t>
            </w:r>
            <w:r w:rsidRPr="00403D25">
              <w:rPr>
                <w:szCs w:val="18"/>
              </w:rPr>
              <w:t xml:space="preserve"> </w:t>
            </w:r>
          </w:p>
        </w:tc>
        <w:tc>
          <w:tcPr>
            <w:tcW w:w="1276" w:type="dxa"/>
          </w:tcPr>
          <w:p w:rsidR="00BC65F4" w:rsidRPr="00403D25" w:rsidRDefault="00BC65F4" w:rsidP="00EA40D1">
            <w:pPr>
              <w:spacing w:line="240" w:lineRule="exact"/>
              <w:jc w:val="right"/>
              <w:rPr>
                <w:rFonts w:ascii="Verdana" w:hAnsi="Verdana"/>
                <w:sz w:val="18"/>
                <w:szCs w:val="18"/>
              </w:rPr>
            </w:pPr>
            <w:r w:rsidRPr="00403D25">
              <w:rPr>
                <w:rFonts w:ascii="Verdana" w:hAnsi="Verdana"/>
                <w:sz w:val="18"/>
                <w:szCs w:val="18"/>
              </w:rPr>
              <w:t>-183</w:t>
            </w:r>
          </w:p>
        </w:tc>
      </w:tr>
    </w:tbl>
    <w:p w:rsidR="003C04D8" w:rsidRPr="00403D25" w:rsidRDefault="003C04D8" w:rsidP="00BC65F4">
      <w:pPr>
        <w:pStyle w:val="Geenafstand"/>
        <w:spacing w:line="240" w:lineRule="exact"/>
        <w:rPr>
          <w:szCs w:val="18"/>
        </w:rPr>
      </w:pPr>
    </w:p>
    <w:p w:rsidR="00BC65F4" w:rsidRPr="00403D25" w:rsidRDefault="00BC65F4" w:rsidP="00BC65F4">
      <w:pPr>
        <w:pStyle w:val="Geenafstand"/>
        <w:spacing w:line="240" w:lineRule="exact"/>
        <w:rPr>
          <w:szCs w:val="18"/>
        </w:rPr>
      </w:pPr>
    </w:p>
    <w:p w:rsidR="00B03561" w:rsidRPr="00403D25" w:rsidRDefault="00B03561" w:rsidP="001A3ABA">
      <w:pPr>
        <w:rPr>
          <w:rFonts w:ascii="Verdana" w:hAnsi="Verdana"/>
          <w:i/>
          <w:sz w:val="18"/>
          <w:szCs w:val="18"/>
        </w:rPr>
      </w:pPr>
      <w:r w:rsidRPr="00403D25">
        <w:rPr>
          <w:rFonts w:ascii="Verdana" w:hAnsi="Verdana"/>
          <w:i/>
          <w:sz w:val="18"/>
          <w:szCs w:val="18"/>
        </w:rPr>
        <w:t>Ontvangsten</w:t>
      </w:r>
    </w:p>
    <w:p w:rsidR="00A436F8" w:rsidRPr="00403D25" w:rsidRDefault="00A436F8" w:rsidP="001A3ABA">
      <w:pPr>
        <w:rPr>
          <w:rFonts w:ascii="Verdana" w:hAnsi="Verdana"/>
          <w:i/>
          <w:sz w:val="18"/>
          <w:szCs w:val="18"/>
        </w:rPr>
      </w:pPr>
    </w:p>
    <w:p w:rsidR="00A436F8" w:rsidRPr="00403D25" w:rsidRDefault="00A436F8" w:rsidP="00A436F8">
      <w:pPr>
        <w:rPr>
          <w:rFonts w:ascii="Verdana" w:hAnsi="Verdana"/>
          <w:sz w:val="18"/>
          <w:szCs w:val="18"/>
        </w:rPr>
      </w:pPr>
      <w:r w:rsidRPr="00403D25">
        <w:rPr>
          <w:rFonts w:ascii="Verdana" w:hAnsi="Verdana"/>
          <w:sz w:val="18"/>
          <w:szCs w:val="18"/>
        </w:rPr>
        <w:t>Artikel 3.10</w:t>
      </w:r>
    </w:p>
    <w:p w:rsidR="00A436F8" w:rsidRPr="00403D25" w:rsidRDefault="00A436F8" w:rsidP="00A436F8">
      <w:pPr>
        <w:rPr>
          <w:rFonts w:ascii="Verdana" w:hAnsi="Verdana" w:cs="Courier New"/>
          <w:sz w:val="18"/>
          <w:szCs w:val="18"/>
        </w:rPr>
      </w:pPr>
      <w:r w:rsidRPr="00403D25">
        <w:rPr>
          <w:rFonts w:ascii="Verdana" w:hAnsi="Verdana"/>
          <w:i/>
          <w:sz w:val="18"/>
          <w:szCs w:val="18"/>
        </w:rPr>
        <w:t>Perceptiekostenvergoedingen</w:t>
      </w:r>
      <w:r w:rsidRPr="00403D25">
        <w:rPr>
          <w:rFonts w:ascii="Verdana" w:hAnsi="Verdana"/>
          <w:sz w:val="18"/>
          <w:szCs w:val="18"/>
        </w:rPr>
        <w:t xml:space="preserve">: De ratificatie van het Eigen Middelenbesluit in alle lidstaten wordt niet meer voorzien voor het einde van 2015. </w:t>
      </w:r>
      <w:r w:rsidR="00BC65F4" w:rsidRPr="00403D25">
        <w:rPr>
          <w:rFonts w:ascii="Verdana" w:hAnsi="Verdana"/>
          <w:sz w:val="18"/>
          <w:szCs w:val="18"/>
        </w:rPr>
        <w:t xml:space="preserve">Als gevolg van de vertraagde ratificatie wordt de aanpassing van de perceptiekostenvergoeding ook doorgeschoven naar 2016. Dit betekent </w:t>
      </w:r>
      <w:r w:rsidR="00A928A9">
        <w:rPr>
          <w:rFonts w:ascii="Verdana" w:hAnsi="Verdana"/>
          <w:sz w:val="18"/>
          <w:szCs w:val="18"/>
        </w:rPr>
        <w:t xml:space="preserve">EUR </w:t>
      </w:r>
      <w:r w:rsidR="00BC65F4" w:rsidRPr="00403D25">
        <w:rPr>
          <w:rFonts w:ascii="Verdana" w:hAnsi="Verdana"/>
          <w:sz w:val="18"/>
          <w:szCs w:val="18"/>
        </w:rPr>
        <w:t xml:space="preserve">0,3 miljard hogere ontvangsten in 2015 en </w:t>
      </w:r>
      <w:r w:rsidR="00A928A9">
        <w:rPr>
          <w:rFonts w:ascii="Verdana" w:hAnsi="Verdana"/>
          <w:sz w:val="18"/>
          <w:szCs w:val="18"/>
        </w:rPr>
        <w:t xml:space="preserve">EUR </w:t>
      </w:r>
      <w:r w:rsidR="00BC65F4" w:rsidRPr="00403D25">
        <w:rPr>
          <w:rFonts w:ascii="Verdana" w:hAnsi="Verdana"/>
          <w:sz w:val="18"/>
          <w:szCs w:val="18"/>
        </w:rPr>
        <w:t>0,3 miljard lagere ontvangsten in 2016.</w:t>
      </w:r>
    </w:p>
    <w:p w:rsidR="00B03561" w:rsidRPr="00403D25" w:rsidRDefault="00B03561">
      <w:pPr>
        <w:rPr>
          <w:rFonts w:ascii="Verdana" w:hAnsi="Verdana" w:cs="Courier New"/>
          <w:sz w:val="18"/>
          <w:szCs w:val="18"/>
        </w:rPr>
      </w:pPr>
    </w:p>
    <w:p w:rsidR="00B03561" w:rsidRPr="00403D25" w:rsidRDefault="00B03561">
      <w:pPr>
        <w:rPr>
          <w:rFonts w:ascii="Verdana" w:hAnsi="Verdana" w:cs="Courier New"/>
          <w:sz w:val="18"/>
          <w:szCs w:val="18"/>
        </w:rPr>
      </w:pPr>
      <w:r w:rsidRPr="00403D25">
        <w:rPr>
          <w:rFonts w:ascii="Verdana" w:hAnsi="Verdana" w:cs="Courier New"/>
          <w:sz w:val="18"/>
          <w:szCs w:val="18"/>
        </w:rPr>
        <w:br w:type="page"/>
      </w:r>
    </w:p>
    <w:p w:rsidR="001A3ABA" w:rsidRPr="00403D25" w:rsidRDefault="001A3ABA" w:rsidP="001A3ABA">
      <w:pPr>
        <w:rPr>
          <w:rFonts w:ascii="Verdana" w:hAnsi="Verdana"/>
          <w:b/>
          <w:sz w:val="18"/>
          <w:szCs w:val="18"/>
        </w:rPr>
      </w:pPr>
      <w:r w:rsidRPr="00403D25">
        <w:rPr>
          <w:rFonts w:ascii="Verdana" w:hAnsi="Verdana"/>
          <w:b/>
          <w:sz w:val="18"/>
          <w:szCs w:val="18"/>
        </w:rPr>
        <w:lastRenderedPageBreak/>
        <w:t>Beleidsartikel 4</w:t>
      </w:r>
      <w:r w:rsidR="00D63C52" w:rsidRPr="00403D25">
        <w:rPr>
          <w:rFonts w:ascii="Verdana" w:hAnsi="Verdana"/>
          <w:b/>
          <w:sz w:val="18"/>
          <w:szCs w:val="18"/>
        </w:rPr>
        <w:t xml:space="preserve"> </w:t>
      </w:r>
    </w:p>
    <w:p w:rsidR="001A3ABA" w:rsidRPr="00403D25" w:rsidRDefault="00651A3E" w:rsidP="001A3ABA">
      <w:r w:rsidRPr="00403D25">
        <w:object w:dxaOrig="23217" w:dyaOrig="16892">
          <v:shape id="_x0000_i1029" type="#_x0000_t75" style="width:495.75pt;height:5in" o:ole="">
            <v:imagedata r:id="rId18" o:title=""/>
          </v:shape>
          <o:OLEObject Type="Embed" ProgID="Excel.Sheet.8" ShapeID="_x0000_i1029" DrawAspect="Content" ObjectID="_1494687559" r:id="rId19"/>
        </w:object>
      </w:r>
    </w:p>
    <w:p w:rsidR="001A3ABA" w:rsidRPr="00403D25" w:rsidRDefault="001A3ABA" w:rsidP="001A3ABA">
      <w:pPr>
        <w:rPr>
          <w:rFonts w:ascii="Verdana" w:hAnsi="Verdana"/>
          <w:i/>
          <w:sz w:val="18"/>
          <w:szCs w:val="18"/>
        </w:rPr>
      </w:pPr>
      <w:r w:rsidRPr="00403D25">
        <w:rPr>
          <w:rFonts w:ascii="Verdana" w:hAnsi="Verdana"/>
          <w:i/>
          <w:sz w:val="18"/>
          <w:szCs w:val="18"/>
        </w:rPr>
        <w:t>Uitgaven</w:t>
      </w:r>
    </w:p>
    <w:p w:rsidR="001376B8" w:rsidRPr="00403D25" w:rsidRDefault="001376B8" w:rsidP="001A3ABA">
      <w:pPr>
        <w:rPr>
          <w:rFonts w:ascii="Verdana" w:hAnsi="Verdana"/>
          <w:sz w:val="18"/>
          <w:szCs w:val="18"/>
        </w:rPr>
      </w:pPr>
    </w:p>
    <w:p w:rsidR="0034772C" w:rsidRPr="00403D25" w:rsidRDefault="0034772C" w:rsidP="005F032C">
      <w:pPr>
        <w:autoSpaceDE w:val="0"/>
        <w:autoSpaceDN w:val="0"/>
        <w:adjustRightInd w:val="0"/>
        <w:rPr>
          <w:rFonts w:ascii="Verdana" w:hAnsi="Verdana" w:cs="Courier New"/>
          <w:sz w:val="18"/>
          <w:szCs w:val="18"/>
        </w:rPr>
      </w:pPr>
      <w:r w:rsidRPr="00403D25">
        <w:rPr>
          <w:rFonts w:ascii="Verdana" w:hAnsi="Verdana" w:cs="Courier New"/>
          <w:sz w:val="18"/>
          <w:szCs w:val="18"/>
        </w:rPr>
        <w:t>Artikel 4.1</w:t>
      </w:r>
    </w:p>
    <w:p w:rsidR="0034772C" w:rsidRPr="00403D25" w:rsidRDefault="0033752D" w:rsidP="005F032C">
      <w:pPr>
        <w:autoSpaceDE w:val="0"/>
        <w:autoSpaceDN w:val="0"/>
        <w:adjustRightInd w:val="0"/>
        <w:rPr>
          <w:rFonts w:ascii="Verdana" w:hAnsi="Verdana"/>
          <w:sz w:val="18"/>
          <w:szCs w:val="18"/>
        </w:rPr>
      </w:pPr>
      <w:r w:rsidRPr="00403D25">
        <w:rPr>
          <w:rFonts w:ascii="Verdana" w:hAnsi="Verdana"/>
          <w:sz w:val="18"/>
          <w:szCs w:val="18"/>
        </w:rPr>
        <w:t xml:space="preserve">De stijging van het budget voor </w:t>
      </w:r>
      <w:r w:rsidR="0034772C" w:rsidRPr="00403D25">
        <w:rPr>
          <w:rFonts w:ascii="Verdana" w:hAnsi="Verdana"/>
          <w:sz w:val="18"/>
          <w:szCs w:val="18"/>
        </w:rPr>
        <w:t xml:space="preserve">consulaire dienstverlening aan Nederlanders in het buitenland </w:t>
      </w:r>
      <w:r w:rsidR="00802AC0" w:rsidRPr="00403D25">
        <w:rPr>
          <w:rFonts w:ascii="Verdana" w:hAnsi="Verdana"/>
          <w:sz w:val="18"/>
          <w:szCs w:val="18"/>
        </w:rPr>
        <w:t xml:space="preserve">stijgt </w:t>
      </w:r>
      <w:r w:rsidRPr="00403D25">
        <w:rPr>
          <w:rFonts w:ascii="Verdana" w:hAnsi="Verdana"/>
          <w:sz w:val="18"/>
          <w:szCs w:val="18"/>
        </w:rPr>
        <w:t xml:space="preserve">in 2015 door toevoeging vanuit de HGIS van eindejaarsmarge 2014 </w:t>
      </w:r>
      <w:r w:rsidR="001F356E" w:rsidRPr="00403D25">
        <w:rPr>
          <w:rFonts w:ascii="Verdana" w:hAnsi="Verdana"/>
          <w:sz w:val="18"/>
          <w:szCs w:val="18"/>
        </w:rPr>
        <w:t xml:space="preserve">en prijsbijstelling </w:t>
      </w:r>
      <w:r w:rsidRPr="00403D25">
        <w:rPr>
          <w:rFonts w:ascii="Verdana" w:hAnsi="Verdana"/>
          <w:sz w:val="18"/>
          <w:szCs w:val="18"/>
        </w:rPr>
        <w:t>op de consulaire informatiesystemen en hogere uitgaven voor de inkoop van reisdocumenten.</w:t>
      </w:r>
      <w:r w:rsidR="0034772C" w:rsidRPr="00403D25">
        <w:rPr>
          <w:rFonts w:ascii="Verdana" w:hAnsi="Verdana"/>
          <w:sz w:val="18"/>
          <w:szCs w:val="18"/>
        </w:rPr>
        <w:t xml:space="preserve"> </w:t>
      </w:r>
    </w:p>
    <w:p w:rsidR="0034772C" w:rsidRPr="00403D25" w:rsidRDefault="0034772C" w:rsidP="005F032C">
      <w:pPr>
        <w:autoSpaceDE w:val="0"/>
        <w:autoSpaceDN w:val="0"/>
        <w:adjustRightInd w:val="0"/>
        <w:rPr>
          <w:rFonts w:ascii="Verdana" w:hAnsi="Verdana"/>
          <w:sz w:val="18"/>
          <w:szCs w:val="18"/>
        </w:rPr>
      </w:pPr>
    </w:p>
    <w:p w:rsidR="00753A76" w:rsidRPr="00403D25" w:rsidRDefault="00753A76">
      <w:pPr>
        <w:rPr>
          <w:rFonts w:ascii="Verdana" w:hAnsi="Verdana"/>
          <w:sz w:val="18"/>
          <w:szCs w:val="18"/>
        </w:rPr>
      </w:pPr>
      <w:r w:rsidRPr="00403D25">
        <w:rPr>
          <w:rFonts w:ascii="Verdana" w:hAnsi="Verdana"/>
          <w:sz w:val="18"/>
          <w:szCs w:val="18"/>
        </w:rPr>
        <w:t>Artikel 4.5</w:t>
      </w:r>
    </w:p>
    <w:p w:rsidR="00753A76" w:rsidRPr="00403D25" w:rsidRDefault="00753A76">
      <w:pPr>
        <w:rPr>
          <w:rFonts w:ascii="Verdana" w:hAnsi="Verdana"/>
          <w:sz w:val="18"/>
          <w:szCs w:val="18"/>
        </w:rPr>
      </w:pPr>
      <w:r w:rsidRPr="00403D25">
        <w:rPr>
          <w:rFonts w:ascii="Verdana" w:hAnsi="Verdana"/>
          <w:sz w:val="18"/>
          <w:szCs w:val="18"/>
        </w:rPr>
        <w:t xml:space="preserve">De daling van de uitgaven voor een aantrekkelijk vestigingsklimaat voor internationale organisaties in Nederland </w:t>
      </w:r>
      <w:r w:rsidR="0033752D" w:rsidRPr="00403D25">
        <w:rPr>
          <w:rFonts w:ascii="Verdana" w:hAnsi="Verdana"/>
          <w:sz w:val="18"/>
          <w:szCs w:val="18"/>
        </w:rPr>
        <w:t>wordt veroorzaakt door een bijstelling van de raming. Voor 2016 en 2017 stijgt het budget voor het Libanon Tribunaal</w:t>
      </w:r>
      <w:r w:rsidR="00D87F17" w:rsidRPr="00403D25">
        <w:rPr>
          <w:rFonts w:ascii="Verdana" w:hAnsi="Verdana"/>
          <w:sz w:val="18"/>
          <w:szCs w:val="18"/>
        </w:rPr>
        <w:t xml:space="preserve"> </w:t>
      </w:r>
      <w:r w:rsidR="00800D06" w:rsidRPr="00403D25">
        <w:rPr>
          <w:rFonts w:ascii="Verdana" w:hAnsi="Verdana"/>
          <w:sz w:val="18"/>
          <w:szCs w:val="18"/>
        </w:rPr>
        <w:t xml:space="preserve">omdat budget is gereserveerd </w:t>
      </w:r>
      <w:r w:rsidR="00D87F17" w:rsidRPr="00403D25">
        <w:rPr>
          <w:rFonts w:ascii="Verdana" w:hAnsi="Verdana"/>
          <w:sz w:val="18"/>
          <w:szCs w:val="18"/>
        </w:rPr>
        <w:t xml:space="preserve">vanwege </w:t>
      </w:r>
      <w:r w:rsidR="00800D06" w:rsidRPr="00403D25">
        <w:rPr>
          <w:rFonts w:ascii="Verdana" w:hAnsi="Verdana"/>
          <w:sz w:val="18"/>
          <w:szCs w:val="18"/>
        </w:rPr>
        <w:t>de door de SGVN aangekondigde</w:t>
      </w:r>
      <w:r w:rsidR="00D87F17" w:rsidRPr="00403D25">
        <w:rPr>
          <w:rFonts w:ascii="Verdana" w:hAnsi="Verdana"/>
          <w:sz w:val="18"/>
          <w:szCs w:val="18"/>
        </w:rPr>
        <w:t xml:space="preserve"> verlenging van het mandaat</w:t>
      </w:r>
      <w:r w:rsidR="0033752D" w:rsidRPr="00403D25">
        <w:rPr>
          <w:rFonts w:ascii="Verdana" w:hAnsi="Verdana"/>
          <w:sz w:val="18"/>
          <w:szCs w:val="18"/>
        </w:rPr>
        <w:t>.</w:t>
      </w:r>
      <w:r w:rsidRPr="00403D25">
        <w:rPr>
          <w:rFonts w:ascii="Verdana" w:hAnsi="Verdana"/>
          <w:sz w:val="18"/>
          <w:szCs w:val="18"/>
        </w:rPr>
        <w:t xml:space="preserve"> </w:t>
      </w:r>
    </w:p>
    <w:p w:rsidR="0034772C" w:rsidRPr="00403D25" w:rsidRDefault="0034772C">
      <w:pPr>
        <w:rPr>
          <w:rFonts w:ascii="Verdana" w:hAnsi="Verdana"/>
          <w:sz w:val="18"/>
          <w:szCs w:val="18"/>
        </w:rPr>
      </w:pPr>
      <w:r w:rsidRPr="00403D25">
        <w:rPr>
          <w:rFonts w:ascii="Verdana" w:hAnsi="Verdana"/>
          <w:sz w:val="18"/>
          <w:szCs w:val="18"/>
        </w:rPr>
        <w:br w:type="page"/>
      </w:r>
    </w:p>
    <w:p w:rsidR="0034772C" w:rsidRPr="00403D25" w:rsidRDefault="0034772C">
      <w:pPr>
        <w:rPr>
          <w:rFonts w:ascii="Verdana" w:hAnsi="Verdana"/>
          <w:sz w:val="18"/>
          <w:szCs w:val="18"/>
        </w:rPr>
      </w:pPr>
    </w:p>
    <w:p w:rsidR="001A3ABA" w:rsidRPr="00403D25" w:rsidRDefault="001A3ABA" w:rsidP="005F032C">
      <w:pPr>
        <w:autoSpaceDE w:val="0"/>
        <w:autoSpaceDN w:val="0"/>
        <w:adjustRightInd w:val="0"/>
        <w:rPr>
          <w:rFonts w:ascii="Verdana" w:hAnsi="Verdana" w:cs="Courier New"/>
          <w:sz w:val="18"/>
          <w:szCs w:val="18"/>
        </w:rPr>
      </w:pPr>
    </w:p>
    <w:p w:rsidR="001A3ABA" w:rsidRPr="00403D25" w:rsidRDefault="001A3ABA" w:rsidP="001A3ABA">
      <w:r w:rsidRPr="00403D25">
        <w:rPr>
          <w:rFonts w:ascii="Verdana" w:hAnsi="Verdana"/>
          <w:b/>
          <w:sz w:val="18"/>
          <w:szCs w:val="18"/>
        </w:rPr>
        <w:t xml:space="preserve">Beleidsartikel </w:t>
      </w:r>
      <w:r w:rsidR="00F1010B" w:rsidRPr="00403D25">
        <w:rPr>
          <w:rFonts w:ascii="Verdana" w:hAnsi="Verdana"/>
          <w:b/>
          <w:sz w:val="18"/>
          <w:szCs w:val="18"/>
        </w:rPr>
        <w:t>5</w:t>
      </w:r>
      <w:r w:rsidR="00D63C52" w:rsidRPr="00403D25">
        <w:rPr>
          <w:rFonts w:ascii="Verdana" w:hAnsi="Verdana"/>
          <w:b/>
          <w:sz w:val="18"/>
          <w:szCs w:val="18"/>
        </w:rPr>
        <w:t xml:space="preserve"> </w:t>
      </w:r>
    </w:p>
    <w:p w:rsidR="001A3ABA" w:rsidRPr="00403D25" w:rsidRDefault="001F7CBE" w:rsidP="001A3ABA">
      <w:pPr>
        <w:rPr>
          <w:rFonts w:ascii="Verdana" w:hAnsi="Verdana"/>
          <w:sz w:val="18"/>
          <w:szCs w:val="18"/>
        </w:rPr>
      </w:pPr>
      <w:r w:rsidRPr="00403D25">
        <w:rPr>
          <w:rFonts w:ascii="Verdana" w:hAnsi="Verdana"/>
          <w:sz w:val="18"/>
          <w:szCs w:val="18"/>
        </w:rPr>
        <w:object w:dxaOrig="18189" w:dyaOrig="1975">
          <v:shape id="_x0000_i1030" type="#_x0000_t75" style="width:495.75pt;height:53.25pt" o:ole="">
            <v:imagedata r:id="rId20" o:title=""/>
          </v:shape>
          <o:OLEObject Type="Embed" ProgID="Excel.Sheet.8" ShapeID="_x0000_i1030" DrawAspect="Content" ObjectID="_1494687560" r:id="rId21"/>
        </w:object>
      </w:r>
    </w:p>
    <w:p w:rsidR="001A3ABA" w:rsidRPr="00403D25" w:rsidRDefault="001A3ABA" w:rsidP="001A3ABA">
      <w:pPr>
        <w:rPr>
          <w:rFonts w:ascii="Verdana" w:hAnsi="Verdana"/>
          <w:sz w:val="18"/>
          <w:szCs w:val="18"/>
        </w:rPr>
      </w:pPr>
    </w:p>
    <w:p w:rsidR="001A3ABA" w:rsidRPr="00403D25" w:rsidRDefault="001A3ABA" w:rsidP="001A3ABA">
      <w:pPr>
        <w:rPr>
          <w:rFonts w:ascii="Verdana" w:hAnsi="Verdana"/>
          <w:sz w:val="18"/>
          <w:szCs w:val="18"/>
        </w:rPr>
      </w:pPr>
      <w:r w:rsidRPr="00403D25">
        <w:rPr>
          <w:rFonts w:ascii="Verdana" w:hAnsi="Verdana"/>
          <w:i/>
          <w:sz w:val="18"/>
          <w:szCs w:val="18"/>
        </w:rPr>
        <w:t>Verplichtingen</w:t>
      </w:r>
    </w:p>
    <w:p w:rsidR="008860FA" w:rsidRPr="00403D25" w:rsidRDefault="00180994" w:rsidP="001A3ABA">
      <w:pPr>
        <w:rPr>
          <w:rFonts w:ascii="Verdana" w:hAnsi="Verdana"/>
          <w:sz w:val="18"/>
          <w:szCs w:val="18"/>
        </w:rPr>
      </w:pPr>
      <w:r w:rsidRPr="00403D25">
        <w:rPr>
          <w:rFonts w:ascii="Verdana" w:hAnsi="Verdana"/>
          <w:sz w:val="18"/>
          <w:szCs w:val="18"/>
        </w:rPr>
        <w:t>Geen toelichting</w:t>
      </w:r>
    </w:p>
    <w:p w:rsidR="00180994" w:rsidRPr="00403D25" w:rsidRDefault="00180994" w:rsidP="001A3ABA">
      <w:pPr>
        <w:rPr>
          <w:rFonts w:ascii="Verdana" w:hAnsi="Verdana"/>
          <w:sz w:val="18"/>
          <w:szCs w:val="18"/>
        </w:rPr>
      </w:pPr>
    </w:p>
    <w:p w:rsidR="001A3ABA" w:rsidRPr="00403D25" w:rsidRDefault="001A3ABA" w:rsidP="001A3ABA">
      <w:pPr>
        <w:rPr>
          <w:rFonts w:ascii="Verdana" w:hAnsi="Verdana"/>
          <w:sz w:val="18"/>
          <w:szCs w:val="18"/>
        </w:rPr>
      </w:pPr>
      <w:r w:rsidRPr="00403D25">
        <w:rPr>
          <w:rFonts w:ascii="Verdana" w:hAnsi="Verdana"/>
          <w:i/>
          <w:sz w:val="18"/>
          <w:szCs w:val="18"/>
        </w:rPr>
        <w:t>Uitgaven</w:t>
      </w:r>
    </w:p>
    <w:p w:rsidR="008860FA" w:rsidRPr="00403D25" w:rsidRDefault="00180994" w:rsidP="001A3ABA">
      <w:pPr>
        <w:rPr>
          <w:rFonts w:ascii="Verdana" w:hAnsi="Verdana"/>
          <w:sz w:val="18"/>
          <w:szCs w:val="18"/>
        </w:rPr>
      </w:pPr>
      <w:r w:rsidRPr="00403D25">
        <w:rPr>
          <w:rFonts w:ascii="Verdana" w:hAnsi="Verdana"/>
          <w:sz w:val="18"/>
          <w:szCs w:val="18"/>
        </w:rPr>
        <w:t>Geen toelichting</w:t>
      </w:r>
    </w:p>
    <w:p w:rsidR="00180994" w:rsidRPr="00403D25" w:rsidRDefault="00180994" w:rsidP="001A3ABA">
      <w:pPr>
        <w:rPr>
          <w:rFonts w:ascii="Verdana" w:hAnsi="Verdana"/>
          <w:sz w:val="18"/>
          <w:szCs w:val="18"/>
        </w:rPr>
      </w:pPr>
    </w:p>
    <w:p w:rsidR="001A3ABA" w:rsidRPr="00403D25" w:rsidRDefault="001A3ABA" w:rsidP="005F032C">
      <w:pPr>
        <w:autoSpaceDE w:val="0"/>
        <w:autoSpaceDN w:val="0"/>
        <w:adjustRightInd w:val="0"/>
        <w:rPr>
          <w:rFonts w:ascii="Verdana" w:hAnsi="Verdana" w:cs="Courier New"/>
          <w:sz w:val="18"/>
          <w:szCs w:val="18"/>
        </w:rPr>
      </w:pPr>
      <w:r w:rsidRPr="00403D25">
        <w:rPr>
          <w:rFonts w:ascii="Verdana" w:hAnsi="Verdana" w:cs="Courier New"/>
          <w:sz w:val="18"/>
          <w:szCs w:val="18"/>
        </w:rPr>
        <w:br w:type="page"/>
      </w:r>
    </w:p>
    <w:p w:rsidR="001A3ABA" w:rsidRPr="00403D25" w:rsidRDefault="001A3ABA" w:rsidP="001A3ABA">
      <w:pPr>
        <w:rPr>
          <w:rFonts w:ascii="Verdana" w:hAnsi="Verdana"/>
          <w:sz w:val="18"/>
          <w:szCs w:val="18"/>
        </w:rPr>
      </w:pPr>
      <w:r w:rsidRPr="00403D25">
        <w:rPr>
          <w:rFonts w:ascii="Verdana" w:hAnsi="Verdana"/>
          <w:b/>
          <w:sz w:val="18"/>
          <w:szCs w:val="18"/>
        </w:rPr>
        <w:lastRenderedPageBreak/>
        <w:t xml:space="preserve">Beleidsartikel </w:t>
      </w:r>
      <w:r w:rsidR="00F1010B" w:rsidRPr="00403D25">
        <w:rPr>
          <w:rFonts w:ascii="Verdana" w:hAnsi="Verdana"/>
          <w:b/>
          <w:sz w:val="18"/>
          <w:szCs w:val="18"/>
        </w:rPr>
        <w:t>6</w:t>
      </w:r>
    </w:p>
    <w:p w:rsidR="001A3ABA" w:rsidRPr="00403D25" w:rsidRDefault="00651A3E" w:rsidP="001A3ABA">
      <w:r w:rsidRPr="00403D25">
        <w:object w:dxaOrig="17968" w:dyaOrig="2645">
          <v:shape id="_x0000_i1031" type="#_x0000_t75" style="width:507.75pt;height:75pt" o:ole="">
            <v:imagedata r:id="rId22" o:title=""/>
          </v:shape>
          <o:OLEObject Type="Embed" ProgID="Excel.Sheet.8" ShapeID="_x0000_i1031" DrawAspect="Content" ObjectID="_1494687561" r:id="rId23"/>
        </w:object>
      </w:r>
    </w:p>
    <w:p w:rsidR="001A3ABA" w:rsidRPr="00403D25" w:rsidRDefault="001A3ABA" w:rsidP="001A3ABA">
      <w:pPr>
        <w:rPr>
          <w:rFonts w:ascii="Verdana" w:hAnsi="Verdana"/>
          <w:sz w:val="18"/>
          <w:szCs w:val="18"/>
        </w:rPr>
      </w:pPr>
      <w:r w:rsidRPr="00403D25">
        <w:rPr>
          <w:rFonts w:ascii="Verdana" w:hAnsi="Verdana"/>
          <w:i/>
          <w:sz w:val="18"/>
          <w:szCs w:val="18"/>
        </w:rPr>
        <w:t>Verplichtingen</w:t>
      </w:r>
    </w:p>
    <w:p w:rsidR="001A3ABA" w:rsidRPr="00403D25" w:rsidRDefault="008B7983" w:rsidP="001A3ABA">
      <w:pPr>
        <w:rPr>
          <w:rFonts w:ascii="Verdana" w:hAnsi="Verdana"/>
          <w:sz w:val="18"/>
          <w:szCs w:val="18"/>
        </w:rPr>
      </w:pPr>
      <w:r w:rsidRPr="00403D25">
        <w:rPr>
          <w:rFonts w:ascii="Verdana" w:hAnsi="Verdana"/>
          <w:sz w:val="18"/>
          <w:szCs w:val="18"/>
        </w:rPr>
        <w:t>Conform de toelichting onder de uitgaven</w:t>
      </w:r>
    </w:p>
    <w:p w:rsidR="0038087B" w:rsidRPr="00403D25" w:rsidRDefault="0038087B" w:rsidP="001A3ABA">
      <w:pPr>
        <w:rPr>
          <w:rFonts w:ascii="Verdana" w:hAnsi="Verdana"/>
          <w:sz w:val="18"/>
          <w:szCs w:val="18"/>
        </w:rPr>
      </w:pPr>
    </w:p>
    <w:p w:rsidR="001A3ABA" w:rsidRPr="00403D25" w:rsidRDefault="001A3ABA" w:rsidP="001A3ABA">
      <w:pPr>
        <w:rPr>
          <w:rFonts w:ascii="Verdana" w:hAnsi="Verdana"/>
          <w:i/>
          <w:sz w:val="18"/>
          <w:szCs w:val="18"/>
        </w:rPr>
      </w:pPr>
      <w:r w:rsidRPr="00403D25">
        <w:rPr>
          <w:rFonts w:ascii="Verdana" w:hAnsi="Verdana"/>
          <w:i/>
          <w:sz w:val="18"/>
          <w:szCs w:val="18"/>
        </w:rPr>
        <w:t>Uitgaven</w:t>
      </w:r>
    </w:p>
    <w:p w:rsidR="008860FA" w:rsidRPr="00403D25" w:rsidRDefault="00BE154D" w:rsidP="001A3ABA">
      <w:pPr>
        <w:rPr>
          <w:rFonts w:ascii="Verdana" w:hAnsi="Verdana"/>
          <w:sz w:val="18"/>
          <w:szCs w:val="18"/>
        </w:rPr>
      </w:pPr>
      <w:r w:rsidRPr="00403D25">
        <w:rPr>
          <w:rFonts w:ascii="Verdana" w:hAnsi="Verdana"/>
          <w:sz w:val="18"/>
          <w:szCs w:val="18"/>
        </w:rPr>
        <w:t>Dit is het saldo van bijstellingen op grond van aanpassing van inflatieramingen door het CPB, verwerking van de HGIS-eindejaarsmarge 201</w:t>
      </w:r>
      <w:r w:rsidR="0000441F" w:rsidRPr="00403D25">
        <w:rPr>
          <w:rFonts w:ascii="Verdana" w:hAnsi="Verdana"/>
          <w:sz w:val="18"/>
          <w:szCs w:val="18"/>
        </w:rPr>
        <w:t>4</w:t>
      </w:r>
      <w:r w:rsidRPr="00403D25">
        <w:rPr>
          <w:rFonts w:ascii="Verdana" w:hAnsi="Verdana"/>
          <w:sz w:val="18"/>
          <w:szCs w:val="18"/>
        </w:rPr>
        <w:t xml:space="preserve"> en overboekingen naar diverse begrotingen conform de claims die zijn </w:t>
      </w:r>
      <w:r w:rsidR="0096648B" w:rsidRPr="00403D25">
        <w:rPr>
          <w:rFonts w:ascii="Verdana" w:hAnsi="Verdana"/>
          <w:sz w:val="18"/>
          <w:szCs w:val="18"/>
        </w:rPr>
        <w:t>verwerkt</w:t>
      </w:r>
      <w:r w:rsidRPr="00403D25">
        <w:rPr>
          <w:rFonts w:ascii="Verdana" w:hAnsi="Verdana"/>
          <w:sz w:val="18"/>
          <w:szCs w:val="18"/>
        </w:rPr>
        <w:t xml:space="preserve"> </w:t>
      </w:r>
      <w:r w:rsidR="005248EB" w:rsidRPr="00403D25">
        <w:rPr>
          <w:rFonts w:ascii="Verdana" w:hAnsi="Verdana"/>
          <w:sz w:val="18"/>
          <w:szCs w:val="18"/>
        </w:rPr>
        <w:t xml:space="preserve">naar aanleiding van de </w:t>
      </w:r>
      <w:r w:rsidRPr="00403D25">
        <w:rPr>
          <w:rFonts w:ascii="Verdana" w:hAnsi="Verdana"/>
          <w:sz w:val="18"/>
          <w:szCs w:val="18"/>
        </w:rPr>
        <w:t xml:space="preserve">HGIS besluitvorming. </w:t>
      </w:r>
      <w:r w:rsidR="001F7CBE" w:rsidRPr="00403D25">
        <w:rPr>
          <w:rFonts w:ascii="Verdana" w:hAnsi="Verdana"/>
          <w:sz w:val="18"/>
          <w:szCs w:val="18"/>
        </w:rPr>
        <w:t xml:space="preserve">Meerjarig is hierin onder andere opgenomen de </w:t>
      </w:r>
      <w:r w:rsidR="006E5197" w:rsidRPr="00403D25">
        <w:rPr>
          <w:rFonts w:ascii="Verdana" w:hAnsi="Verdana"/>
          <w:sz w:val="18"/>
          <w:szCs w:val="18"/>
        </w:rPr>
        <w:t>dekking</w:t>
      </w:r>
      <w:r w:rsidR="001F7CBE" w:rsidRPr="00403D25">
        <w:rPr>
          <w:rFonts w:ascii="Verdana" w:hAnsi="Verdana"/>
          <w:sz w:val="18"/>
          <w:szCs w:val="18"/>
        </w:rPr>
        <w:t xml:space="preserve"> van de </w:t>
      </w:r>
      <w:hyperlink r:id="rId24" w:history="1">
        <w:r w:rsidR="001F7CBE" w:rsidRPr="00403D25">
          <w:rPr>
            <w:rStyle w:val="Hyperlink"/>
            <w:rFonts w:ascii="Verdana" w:hAnsi="Verdana"/>
            <w:sz w:val="18"/>
            <w:szCs w:val="18"/>
          </w:rPr>
          <w:t>motie</w:t>
        </w:r>
      </w:hyperlink>
      <w:r w:rsidR="001F7CBE" w:rsidRPr="00403D25">
        <w:rPr>
          <w:rFonts w:ascii="Verdana" w:hAnsi="Verdana"/>
          <w:sz w:val="18"/>
          <w:szCs w:val="18"/>
        </w:rPr>
        <w:t xml:space="preserve"> en </w:t>
      </w:r>
      <w:hyperlink r:id="rId25" w:history="1">
        <w:r w:rsidR="001F7CBE" w:rsidRPr="00403D25">
          <w:rPr>
            <w:rStyle w:val="Hyperlink"/>
            <w:rFonts w:ascii="Verdana" w:hAnsi="Verdana"/>
            <w:sz w:val="18"/>
            <w:szCs w:val="18"/>
          </w:rPr>
          <w:t>amendement</w:t>
        </w:r>
      </w:hyperlink>
      <w:r w:rsidR="001F7CBE" w:rsidRPr="00403D25">
        <w:rPr>
          <w:rFonts w:ascii="Verdana" w:hAnsi="Verdana"/>
          <w:sz w:val="18"/>
          <w:szCs w:val="18"/>
        </w:rPr>
        <w:t xml:space="preserve"> </w:t>
      </w:r>
      <w:r w:rsidR="006E5197" w:rsidRPr="00403D25">
        <w:rPr>
          <w:rFonts w:ascii="Verdana" w:hAnsi="Verdana"/>
          <w:sz w:val="18"/>
          <w:szCs w:val="18"/>
        </w:rPr>
        <w:t>V</w:t>
      </w:r>
      <w:r w:rsidR="001F7CBE" w:rsidRPr="00403D25">
        <w:rPr>
          <w:rFonts w:ascii="Verdana" w:hAnsi="Verdana"/>
          <w:sz w:val="18"/>
          <w:szCs w:val="18"/>
        </w:rPr>
        <w:t xml:space="preserve">an Ojik maar ook de kasschuif binnen de HGIS ter dekking van de financiering van de </w:t>
      </w:r>
      <w:r w:rsidR="006726FE" w:rsidRPr="00403D25">
        <w:rPr>
          <w:rFonts w:ascii="Verdana" w:hAnsi="Verdana"/>
          <w:sz w:val="18"/>
          <w:szCs w:val="18"/>
        </w:rPr>
        <w:t xml:space="preserve">huidige </w:t>
      </w:r>
      <w:r w:rsidR="001F7CBE" w:rsidRPr="00403D25">
        <w:rPr>
          <w:rFonts w:ascii="Verdana" w:hAnsi="Verdana"/>
          <w:sz w:val="18"/>
          <w:szCs w:val="18"/>
        </w:rPr>
        <w:t xml:space="preserve">missie in Irak tegen ISIS. </w:t>
      </w:r>
    </w:p>
    <w:p w:rsidR="00566D9D" w:rsidRPr="00403D25" w:rsidRDefault="00566D9D" w:rsidP="001A3ABA">
      <w:pPr>
        <w:rPr>
          <w:rFonts w:ascii="Verdana" w:hAnsi="Verdana"/>
          <w:sz w:val="18"/>
          <w:szCs w:val="18"/>
        </w:rPr>
      </w:pPr>
    </w:p>
    <w:p w:rsidR="00566D9D" w:rsidRPr="00403D25" w:rsidRDefault="003029F6" w:rsidP="001A3ABA">
      <w:pPr>
        <w:rPr>
          <w:rFonts w:ascii="Verdana" w:hAnsi="Verdana"/>
          <w:sz w:val="18"/>
          <w:szCs w:val="18"/>
        </w:rPr>
      </w:pPr>
      <w:r w:rsidRPr="00403D25">
        <w:rPr>
          <w:rFonts w:ascii="Verdana" w:hAnsi="Verdana"/>
          <w:sz w:val="18"/>
          <w:szCs w:val="18"/>
        </w:rPr>
        <w:t xml:space="preserve"> </w:t>
      </w:r>
    </w:p>
    <w:p w:rsidR="001A3ABA" w:rsidRPr="00403D25" w:rsidRDefault="001A3ABA" w:rsidP="001A3ABA">
      <w:pPr>
        <w:rPr>
          <w:rFonts w:ascii="Verdana" w:hAnsi="Verdana"/>
          <w:i/>
          <w:sz w:val="18"/>
          <w:szCs w:val="18"/>
        </w:rPr>
      </w:pPr>
    </w:p>
    <w:p w:rsidR="001A3ABA" w:rsidRPr="00403D25" w:rsidRDefault="001A3ABA" w:rsidP="005F032C">
      <w:pPr>
        <w:autoSpaceDE w:val="0"/>
        <w:autoSpaceDN w:val="0"/>
        <w:adjustRightInd w:val="0"/>
        <w:rPr>
          <w:rFonts w:ascii="Verdana" w:hAnsi="Verdana" w:cs="Courier New"/>
          <w:sz w:val="18"/>
          <w:szCs w:val="18"/>
        </w:rPr>
      </w:pPr>
      <w:r w:rsidRPr="00403D25">
        <w:rPr>
          <w:rFonts w:ascii="Verdana" w:hAnsi="Verdana" w:cs="Courier New"/>
          <w:sz w:val="18"/>
          <w:szCs w:val="18"/>
        </w:rPr>
        <w:br w:type="page"/>
      </w:r>
    </w:p>
    <w:p w:rsidR="001A3ABA" w:rsidRPr="00403D25" w:rsidRDefault="001A3ABA" w:rsidP="001A3ABA">
      <w:pPr>
        <w:rPr>
          <w:rFonts w:ascii="Verdana" w:hAnsi="Verdana"/>
          <w:b/>
          <w:sz w:val="18"/>
          <w:szCs w:val="18"/>
        </w:rPr>
      </w:pPr>
      <w:r w:rsidRPr="00403D25">
        <w:rPr>
          <w:rFonts w:ascii="Verdana" w:hAnsi="Verdana"/>
          <w:b/>
          <w:sz w:val="18"/>
          <w:szCs w:val="18"/>
        </w:rPr>
        <w:lastRenderedPageBreak/>
        <w:t xml:space="preserve">Niet-Beleidsartikel </w:t>
      </w:r>
      <w:r w:rsidR="00F1010B" w:rsidRPr="00403D25">
        <w:rPr>
          <w:rFonts w:ascii="Verdana" w:hAnsi="Verdana"/>
          <w:b/>
          <w:sz w:val="18"/>
          <w:szCs w:val="18"/>
        </w:rPr>
        <w:t>7</w:t>
      </w:r>
    </w:p>
    <w:p w:rsidR="001A3ABA" w:rsidRPr="00403D25" w:rsidRDefault="00651A3E" w:rsidP="001A3ABA">
      <w:pPr>
        <w:rPr>
          <w:rFonts w:ascii="Verdana" w:hAnsi="Verdana"/>
          <w:b/>
          <w:sz w:val="18"/>
          <w:szCs w:val="18"/>
        </w:rPr>
      </w:pPr>
      <w:r w:rsidRPr="00403D25">
        <w:rPr>
          <w:rFonts w:ascii="Verdana" w:hAnsi="Verdana"/>
          <w:b/>
          <w:sz w:val="18"/>
          <w:szCs w:val="18"/>
        </w:rPr>
        <w:object w:dxaOrig="18790" w:dyaOrig="5473">
          <v:shape id="_x0000_i1032" type="#_x0000_t75" style="width:490.5pt;height:142.5pt" o:ole="">
            <v:imagedata r:id="rId26" o:title=""/>
          </v:shape>
          <o:OLEObject Type="Embed" ProgID="Excel.Sheet.8" ShapeID="_x0000_i1032" DrawAspect="Content" ObjectID="_1494687562" r:id="rId27"/>
        </w:object>
      </w:r>
    </w:p>
    <w:p w:rsidR="001A3ABA" w:rsidRPr="00403D25" w:rsidRDefault="001A3ABA" w:rsidP="001A3ABA">
      <w:pPr>
        <w:rPr>
          <w:rFonts w:ascii="Verdana" w:hAnsi="Verdana"/>
          <w:i/>
          <w:sz w:val="18"/>
          <w:szCs w:val="18"/>
        </w:rPr>
      </w:pPr>
      <w:r w:rsidRPr="00403D25">
        <w:rPr>
          <w:rFonts w:ascii="Verdana" w:hAnsi="Verdana"/>
          <w:i/>
          <w:sz w:val="18"/>
          <w:szCs w:val="18"/>
        </w:rPr>
        <w:t>Uitgaven</w:t>
      </w:r>
    </w:p>
    <w:p w:rsidR="006E5197" w:rsidRPr="00403D25" w:rsidRDefault="00A83F75" w:rsidP="00B361D5">
      <w:pPr>
        <w:rPr>
          <w:rFonts w:ascii="Verdana" w:hAnsi="Verdana"/>
          <w:sz w:val="18"/>
          <w:szCs w:val="18"/>
        </w:rPr>
      </w:pPr>
      <w:r w:rsidRPr="00403D25">
        <w:rPr>
          <w:rFonts w:ascii="Verdana" w:hAnsi="Verdana"/>
          <w:sz w:val="18"/>
          <w:szCs w:val="18"/>
        </w:rPr>
        <w:t xml:space="preserve">De apparaatsuitgaven </w:t>
      </w:r>
      <w:r w:rsidR="0084601A" w:rsidRPr="00403D25">
        <w:rPr>
          <w:rFonts w:ascii="Verdana" w:hAnsi="Verdana"/>
          <w:sz w:val="18"/>
          <w:szCs w:val="18"/>
        </w:rPr>
        <w:t>laten per saldo meerjarig een stijging zien.</w:t>
      </w:r>
      <w:r w:rsidR="00BC3928" w:rsidRPr="00403D25">
        <w:rPr>
          <w:rFonts w:ascii="Verdana" w:hAnsi="Verdana"/>
          <w:sz w:val="18"/>
          <w:szCs w:val="18"/>
        </w:rPr>
        <w:t xml:space="preserve"> D</w:t>
      </w:r>
      <w:r w:rsidR="0084601A" w:rsidRPr="00403D25">
        <w:rPr>
          <w:rFonts w:ascii="Verdana" w:hAnsi="Verdana"/>
          <w:sz w:val="18"/>
          <w:szCs w:val="18"/>
        </w:rPr>
        <w:t xml:space="preserve">it kent </w:t>
      </w:r>
      <w:r w:rsidR="006E5197" w:rsidRPr="00403D25">
        <w:rPr>
          <w:rFonts w:ascii="Verdana" w:hAnsi="Verdana"/>
          <w:sz w:val="18"/>
          <w:szCs w:val="18"/>
        </w:rPr>
        <w:t xml:space="preserve">naast de toevoeging van loon- en prijsbijstellingen vanuit de HGIS de volgende </w:t>
      </w:r>
      <w:r w:rsidR="0084601A" w:rsidRPr="00403D25">
        <w:rPr>
          <w:rFonts w:ascii="Verdana" w:hAnsi="Verdana"/>
          <w:sz w:val="18"/>
          <w:szCs w:val="18"/>
        </w:rPr>
        <w:t xml:space="preserve">oorzaken. </w:t>
      </w:r>
    </w:p>
    <w:p w:rsidR="006E5197" w:rsidRPr="00403D25" w:rsidRDefault="006E5197" w:rsidP="006E5197">
      <w:pPr>
        <w:pStyle w:val="Lijstalinea"/>
        <w:numPr>
          <w:ilvl w:val="0"/>
          <w:numId w:val="23"/>
        </w:numPr>
        <w:rPr>
          <w:rFonts w:ascii="Verdana" w:hAnsi="Verdana"/>
          <w:sz w:val="18"/>
          <w:szCs w:val="18"/>
        </w:rPr>
      </w:pPr>
      <w:r w:rsidRPr="00403D25">
        <w:rPr>
          <w:rFonts w:ascii="Verdana" w:hAnsi="Verdana"/>
          <w:sz w:val="18"/>
          <w:szCs w:val="18"/>
        </w:rPr>
        <w:t xml:space="preserve">Motie Van Ojik: </w:t>
      </w:r>
      <w:r w:rsidR="0084601A" w:rsidRPr="00403D25">
        <w:rPr>
          <w:rFonts w:ascii="Verdana" w:hAnsi="Verdana"/>
          <w:sz w:val="18"/>
          <w:szCs w:val="18"/>
        </w:rPr>
        <w:t xml:space="preserve">Structureel wordt het </w:t>
      </w:r>
      <w:hyperlink r:id="rId28" w:history="1">
        <w:r w:rsidR="0084601A" w:rsidRPr="00403D25">
          <w:rPr>
            <w:rStyle w:val="Hyperlink"/>
            <w:rFonts w:ascii="Verdana" w:hAnsi="Verdana"/>
            <w:sz w:val="18"/>
            <w:szCs w:val="18"/>
          </w:rPr>
          <w:t>amendement</w:t>
        </w:r>
      </w:hyperlink>
      <w:r w:rsidR="0084601A" w:rsidRPr="00403D25">
        <w:rPr>
          <w:rFonts w:ascii="Verdana" w:hAnsi="Verdana"/>
          <w:sz w:val="18"/>
          <w:szCs w:val="18"/>
        </w:rPr>
        <w:t xml:space="preserve"> en de </w:t>
      </w:r>
      <w:hyperlink r:id="rId29" w:history="1">
        <w:r w:rsidR="0084601A" w:rsidRPr="00403D25">
          <w:rPr>
            <w:rStyle w:val="Hyperlink"/>
            <w:rFonts w:ascii="Verdana" w:hAnsi="Verdana"/>
            <w:sz w:val="18"/>
            <w:szCs w:val="18"/>
          </w:rPr>
          <w:t>motie</w:t>
        </w:r>
      </w:hyperlink>
      <w:r w:rsidR="0084601A" w:rsidRPr="00403D25">
        <w:rPr>
          <w:rFonts w:ascii="Verdana" w:hAnsi="Verdana"/>
          <w:sz w:val="18"/>
          <w:szCs w:val="18"/>
        </w:rPr>
        <w:t xml:space="preserve"> van Ojik opgenomen op de begroting. </w:t>
      </w:r>
      <w:r w:rsidR="006662FD" w:rsidRPr="00403D25">
        <w:rPr>
          <w:rFonts w:ascii="Verdana" w:hAnsi="Verdana"/>
          <w:sz w:val="18"/>
          <w:szCs w:val="18"/>
        </w:rPr>
        <w:t xml:space="preserve">Hierbij wordt de regering verzocht extra financiële middelen </w:t>
      </w:r>
      <w:r w:rsidR="009C324B" w:rsidRPr="00403D25">
        <w:rPr>
          <w:rFonts w:ascii="Verdana" w:hAnsi="Verdana"/>
          <w:sz w:val="18"/>
          <w:szCs w:val="18"/>
        </w:rPr>
        <w:t xml:space="preserve">(oplopend naar EUR 20 miljoen structureel vanaf 2018) </w:t>
      </w:r>
      <w:r w:rsidR="006662FD" w:rsidRPr="00403D25">
        <w:rPr>
          <w:rFonts w:ascii="Verdana" w:hAnsi="Verdana"/>
          <w:sz w:val="18"/>
          <w:szCs w:val="18"/>
        </w:rPr>
        <w:t xml:space="preserve">in te zetten voor de versterking van diplomatieke capaciteit ter bevordering van de internationale rechtsorde en vrede en veiligheid, en de economische positie van Nederland. </w:t>
      </w:r>
    </w:p>
    <w:p w:rsidR="006E5197" w:rsidRPr="00403D25" w:rsidRDefault="006E5197" w:rsidP="006E5197">
      <w:pPr>
        <w:pStyle w:val="Lijstalinea"/>
        <w:numPr>
          <w:ilvl w:val="0"/>
          <w:numId w:val="23"/>
        </w:numPr>
        <w:rPr>
          <w:rFonts w:ascii="Verdana" w:hAnsi="Verdana"/>
          <w:sz w:val="18"/>
          <w:szCs w:val="18"/>
        </w:rPr>
      </w:pPr>
      <w:r w:rsidRPr="00403D25">
        <w:rPr>
          <w:rFonts w:ascii="Verdana" w:hAnsi="Verdana"/>
          <w:sz w:val="18"/>
          <w:szCs w:val="18"/>
        </w:rPr>
        <w:t>Kabinetsafspraken: H</w:t>
      </w:r>
      <w:r w:rsidR="004C6F03" w:rsidRPr="00403D25">
        <w:rPr>
          <w:rFonts w:ascii="Verdana" w:hAnsi="Verdana"/>
          <w:sz w:val="18"/>
          <w:szCs w:val="18"/>
        </w:rPr>
        <w:t xml:space="preserve">et budget </w:t>
      </w:r>
      <w:r w:rsidRPr="00403D25">
        <w:rPr>
          <w:rFonts w:ascii="Verdana" w:hAnsi="Verdana"/>
          <w:sz w:val="18"/>
          <w:szCs w:val="18"/>
        </w:rPr>
        <w:t xml:space="preserve">neemt </w:t>
      </w:r>
      <w:r w:rsidR="004C6F03" w:rsidRPr="00403D25">
        <w:rPr>
          <w:rFonts w:ascii="Verdana" w:hAnsi="Verdana"/>
          <w:sz w:val="18"/>
          <w:szCs w:val="18"/>
        </w:rPr>
        <w:t xml:space="preserve">toe als gevolg van het </w:t>
      </w:r>
      <w:hyperlink r:id="rId30" w:history="1">
        <w:r w:rsidR="004C6F03" w:rsidRPr="00403D25">
          <w:rPr>
            <w:rStyle w:val="Hyperlink"/>
            <w:rFonts w:ascii="Verdana" w:hAnsi="Verdana"/>
            <w:sz w:val="18"/>
            <w:szCs w:val="18"/>
          </w:rPr>
          <w:t>besluit</w:t>
        </w:r>
      </w:hyperlink>
      <w:r w:rsidR="004C6F03" w:rsidRPr="00403D25">
        <w:rPr>
          <w:rFonts w:ascii="Verdana" w:hAnsi="Verdana"/>
          <w:sz w:val="18"/>
          <w:szCs w:val="18"/>
        </w:rPr>
        <w:t xml:space="preserve"> van </w:t>
      </w:r>
      <w:r w:rsidR="001A3DD5" w:rsidRPr="00403D25">
        <w:rPr>
          <w:rFonts w:ascii="Verdana" w:hAnsi="Verdana"/>
          <w:sz w:val="18"/>
          <w:szCs w:val="18"/>
        </w:rPr>
        <w:t>het kabinet</w:t>
      </w:r>
      <w:r w:rsidR="004C6F03" w:rsidRPr="00403D25">
        <w:rPr>
          <w:rFonts w:ascii="Verdana" w:hAnsi="Verdana"/>
          <w:sz w:val="18"/>
          <w:szCs w:val="18"/>
        </w:rPr>
        <w:t xml:space="preserve"> om extra middelen in te zetten voor de versterking van de veiligheidsketen. Het betreft hier middelen voor de personele </w:t>
      </w:r>
      <w:r w:rsidR="00651A3E" w:rsidRPr="00403D25">
        <w:rPr>
          <w:rFonts w:ascii="Verdana" w:hAnsi="Verdana"/>
          <w:sz w:val="18"/>
          <w:szCs w:val="18"/>
        </w:rPr>
        <w:t xml:space="preserve">en materiele </w:t>
      </w:r>
      <w:r w:rsidR="004C6F03" w:rsidRPr="00403D25">
        <w:rPr>
          <w:rFonts w:ascii="Verdana" w:hAnsi="Verdana"/>
          <w:sz w:val="18"/>
          <w:szCs w:val="18"/>
        </w:rPr>
        <w:t>inzet</w:t>
      </w:r>
      <w:r w:rsidR="003469EC" w:rsidRPr="00403D25">
        <w:rPr>
          <w:rFonts w:ascii="Verdana" w:hAnsi="Verdana"/>
          <w:sz w:val="18"/>
          <w:szCs w:val="18"/>
        </w:rPr>
        <w:t xml:space="preserve"> op dit terrein</w:t>
      </w:r>
      <w:r w:rsidR="004C6F03" w:rsidRPr="00403D25">
        <w:rPr>
          <w:rFonts w:ascii="Verdana" w:hAnsi="Verdana"/>
          <w:sz w:val="18"/>
          <w:szCs w:val="18"/>
        </w:rPr>
        <w:t xml:space="preserve">. </w:t>
      </w:r>
      <w:r w:rsidRPr="00403D25">
        <w:rPr>
          <w:rFonts w:ascii="Verdana" w:hAnsi="Verdana"/>
          <w:sz w:val="18"/>
          <w:szCs w:val="18"/>
        </w:rPr>
        <w:t xml:space="preserve">Daarnaast is besloten </w:t>
      </w:r>
      <w:r w:rsidR="00CD6071" w:rsidRPr="00403D25">
        <w:rPr>
          <w:rFonts w:ascii="Verdana" w:hAnsi="Verdana"/>
          <w:sz w:val="18"/>
          <w:szCs w:val="18"/>
        </w:rPr>
        <w:t xml:space="preserve">is om de financiering van de generieke digitale infrastructuur </w:t>
      </w:r>
      <w:r w:rsidR="001427A1" w:rsidRPr="00403D25">
        <w:rPr>
          <w:rFonts w:ascii="Verdana" w:hAnsi="Verdana"/>
          <w:sz w:val="18"/>
          <w:szCs w:val="18"/>
        </w:rPr>
        <w:t xml:space="preserve">(GDI) </w:t>
      </w:r>
      <w:r w:rsidR="00CD6071" w:rsidRPr="00403D25">
        <w:rPr>
          <w:rFonts w:ascii="Verdana" w:hAnsi="Verdana"/>
          <w:sz w:val="18"/>
          <w:szCs w:val="18"/>
        </w:rPr>
        <w:t xml:space="preserve">te verdelen over de departementen. </w:t>
      </w:r>
      <w:r w:rsidR="001427A1" w:rsidRPr="00403D25">
        <w:rPr>
          <w:rFonts w:ascii="Verdana" w:hAnsi="Verdana"/>
          <w:sz w:val="18"/>
          <w:szCs w:val="18"/>
        </w:rPr>
        <w:t xml:space="preserve">De bijdrage van Buitenlandse Zaken hiervoor </w:t>
      </w:r>
      <w:r w:rsidRPr="00403D25">
        <w:rPr>
          <w:rFonts w:ascii="Verdana" w:hAnsi="Verdana"/>
          <w:sz w:val="18"/>
          <w:szCs w:val="18"/>
        </w:rPr>
        <w:t>is</w:t>
      </w:r>
      <w:r w:rsidR="001427A1" w:rsidRPr="00403D25">
        <w:rPr>
          <w:rFonts w:ascii="Verdana" w:hAnsi="Verdana"/>
          <w:sz w:val="18"/>
          <w:szCs w:val="18"/>
        </w:rPr>
        <w:t xml:space="preserve"> overgeheveld naar </w:t>
      </w:r>
      <w:r w:rsidRPr="00403D25">
        <w:rPr>
          <w:rFonts w:ascii="Verdana" w:hAnsi="Verdana"/>
          <w:sz w:val="18"/>
          <w:szCs w:val="18"/>
        </w:rPr>
        <w:t>de Aanvullende Post</w:t>
      </w:r>
      <w:r w:rsidR="001427A1" w:rsidRPr="00403D25">
        <w:rPr>
          <w:rFonts w:ascii="Verdana" w:hAnsi="Verdana"/>
          <w:sz w:val="18"/>
          <w:szCs w:val="18"/>
        </w:rPr>
        <w:t>.</w:t>
      </w:r>
      <w:r w:rsidR="008757C0" w:rsidRPr="00403D25">
        <w:rPr>
          <w:rFonts w:ascii="Verdana" w:hAnsi="Verdana"/>
          <w:sz w:val="18"/>
          <w:szCs w:val="18"/>
        </w:rPr>
        <w:t xml:space="preserve"> </w:t>
      </w:r>
    </w:p>
    <w:p w:rsidR="000543FD" w:rsidRPr="00403D25" w:rsidRDefault="006E5197" w:rsidP="006E5197">
      <w:pPr>
        <w:pStyle w:val="Lijstalinea"/>
        <w:numPr>
          <w:ilvl w:val="0"/>
          <w:numId w:val="23"/>
        </w:numPr>
        <w:rPr>
          <w:rFonts w:ascii="Verdana" w:hAnsi="Verdana"/>
          <w:sz w:val="18"/>
          <w:szCs w:val="18"/>
        </w:rPr>
      </w:pPr>
      <w:r w:rsidRPr="00403D25">
        <w:rPr>
          <w:rFonts w:ascii="Verdana" w:hAnsi="Verdana"/>
          <w:sz w:val="18"/>
          <w:szCs w:val="18"/>
        </w:rPr>
        <w:t>Vastgoedmiddelen buitenland: E</w:t>
      </w:r>
      <w:r w:rsidR="008757C0" w:rsidRPr="00403D25">
        <w:rPr>
          <w:rFonts w:ascii="Verdana" w:hAnsi="Verdana"/>
          <w:sz w:val="18"/>
          <w:szCs w:val="18"/>
        </w:rPr>
        <w:t xml:space="preserve">r </w:t>
      </w:r>
      <w:r w:rsidR="000543FD" w:rsidRPr="00403D25">
        <w:rPr>
          <w:rFonts w:ascii="Verdana" w:hAnsi="Verdana"/>
          <w:sz w:val="18"/>
          <w:szCs w:val="18"/>
        </w:rPr>
        <w:t xml:space="preserve">vindt </w:t>
      </w:r>
      <w:r w:rsidR="008757C0" w:rsidRPr="00403D25">
        <w:rPr>
          <w:rFonts w:ascii="Verdana" w:hAnsi="Verdana"/>
          <w:sz w:val="18"/>
          <w:szCs w:val="18"/>
        </w:rPr>
        <w:t>een verschuiving van budget plaats tussen 2015 en 2016 op de vastgoedmiddelen buitenland. Initieel werden middelen uit de verkoop van vastgoed uit 2013 ingezet in 2015</w:t>
      </w:r>
      <w:r w:rsidR="00C82327" w:rsidRPr="00403D25">
        <w:rPr>
          <w:rFonts w:ascii="Verdana" w:hAnsi="Verdana"/>
          <w:sz w:val="18"/>
          <w:szCs w:val="18"/>
        </w:rPr>
        <w:t>.</w:t>
      </w:r>
      <w:r w:rsidR="008757C0" w:rsidRPr="00403D25">
        <w:rPr>
          <w:rFonts w:ascii="Verdana" w:hAnsi="Verdana"/>
          <w:sz w:val="18"/>
          <w:szCs w:val="18"/>
        </w:rPr>
        <w:t xml:space="preserve"> </w:t>
      </w:r>
      <w:r w:rsidR="00C82327" w:rsidRPr="00403D25">
        <w:rPr>
          <w:rFonts w:ascii="Verdana" w:hAnsi="Verdana"/>
          <w:sz w:val="18"/>
          <w:szCs w:val="18"/>
        </w:rPr>
        <w:t>V</w:t>
      </w:r>
      <w:r w:rsidR="008757C0" w:rsidRPr="00403D25">
        <w:rPr>
          <w:rFonts w:ascii="Verdana" w:hAnsi="Verdana"/>
          <w:sz w:val="18"/>
          <w:szCs w:val="18"/>
        </w:rPr>
        <w:t>anwege een aangepaste raming worden de uitgaven nu voorzien in 2016.</w:t>
      </w:r>
      <w:r w:rsidR="00C82327" w:rsidRPr="00403D25">
        <w:rPr>
          <w:rFonts w:ascii="Verdana" w:hAnsi="Verdana"/>
          <w:sz w:val="18"/>
          <w:szCs w:val="18"/>
        </w:rPr>
        <w:t xml:space="preserve"> </w:t>
      </w:r>
    </w:p>
    <w:p w:rsidR="006662FD" w:rsidRPr="00403D25" w:rsidRDefault="000543FD" w:rsidP="006E5197">
      <w:pPr>
        <w:pStyle w:val="Lijstalinea"/>
        <w:numPr>
          <w:ilvl w:val="0"/>
          <w:numId w:val="23"/>
        </w:numPr>
        <w:rPr>
          <w:rFonts w:ascii="Verdana" w:hAnsi="Verdana"/>
          <w:sz w:val="18"/>
          <w:szCs w:val="18"/>
        </w:rPr>
      </w:pPr>
      <w:r w:rsidRPr="00403D25">
        <w:rPr>
          <w:rFonts w:ascii="Verdana" w:hAnsi="Verdana"/>
          <w:sz w:val="18"/>
          <w:szCs w:val="18"/>
        </w:rPr>
        <w:t xml:space="preserve">ICT: Vanwege </w:t>
      </w:r>
      <w:r w:rsidR="00C82327" w:rsidRPr="00403D25">
        <w:rPr>
          <w:rFonts w:ascii="Verdana" w:hAnsi="Verdana"/>
          <w:sz w:val="18"/>
          <w:szCs w:val="18"/>
        </w:rPr>
        <w:t xml:space="preserve">herschikking </w:t>
      </w:r>
      <w:r w:rsidRPr="00403D25">
        <w:rPr>
          <w:rFonts w:ascii="Verdana" w:hAnsi="Verdana"/>
          <w:sz w:val="18"/>
          <w:szCs w:val="18"/>
        </w:rPr>
        <w:t xml:space="preserve">vindt er een verschuiving </w:t>
      </w:r>
      <w:r w:rsidR="00C82327" w:rsidRPr="00403D25">
        <w:rPr>
          <w:rFonts w:ascii="Verdana" w:hAnsi="Verdana"/>
          <w:sz w:val="18"/>
          <w:szCs w:val="18"/>
        </w:rPr>
        <w:t xml:space="preserve">plaats ten opzichte van de oorspronkelijke begroting binnen de apparaatsmiddelen voor ICT en koersverschillen. Dit </w:t>
      </w:r>
      <w:r w:rsidR="000C23EE" w:rsidRPr="00403D25">
        <w:rPr>
          <w:rFonts w:ascii="Verdana" w:hAnsi="Verdana"/>
          <w:sz w:val="18"/>
          <w:szCs w:val="18"/>
        </w:rPr>
        <w:t xml:space="preserve">is </w:t>
      </w:r>
      <w:r w:rsidR="00C82327" w:rsidRPr="00403D25">
        <w:rPr>
          <w:rFonts w:ascii="Verdana" w:hAnsi="Verdana"/>
          <w:sz w:val="18"/>
          <w:szCs w:val="18"/>
        </w:rPr>
        <w:t>gebaseerd op een actualisatie van de ramingen voor IT uitgaven</w:t>
      </w:r>
      <w:r w:rsidR="003469EC" w:rsidRPr="00403D25">
        <w:rPr>
          <w:rFonts w:ascii="Verdana" w:hAnsi="Verdana"/>
          <w:sz w:val="18"/>
          <w:szCs w:val="18"/>
        </w:rPr>
        <w:t>.</w:t>
      </w:r>
      <w:r w:rsidR="00C82327" w:rsidRPr="00403D25">
        <w:rPr>
          <w:rFonts w:ascii="Verdana" w:hAnsi="Verdana"/>
          <w:sz w:val="18"/>
          <w:szCs w:val="18"/>
        </w:rPr>
        <w:t xml:space="preserve"> </w:t>
      </w:r>
    </w:p>
    <w:p w:rsidR="00216427" w:rsidRPr="00403D25" w:rsidRDefault="00216427" w:rsidP="00B361D5">
      <w:pPr>
        <w:rPr>
          <w:rFonts w:ascii="Verdana" w:hAnsi="Verdana"/>
          <w:sz w:val="18"/>
          <w:szCs w:val="18"/>
        </w:rPr>
      </w:pPr>
    </w:p>
    <w:p w:rsidR="001A3ABA" w:rsidRPr="00403D25" w:rsidRDefault="001A3ABA" w:rsidP="001A3ABA">
      <w:pPr>
        <w:rPr>
          <w:rFonts w:ascii="Verdana" w:hAnsi="Verdana"/>
          <w:i/>
          <w:sz w:val="18"/>
          <w:szCs w:val="18"/>
        </w:rPr>
      </w:pPr>
    </w:p>
    <w:p w:rsidR="001A3ABA" w:rsidRPr="00403D25" w:rsidRDefault="001A3ABA" w:rsidP="001A3ABA">
      <w:pPr>
        <w:rPr>
          <w:rFonts w:ascii="Verdana" w:hAnsi="Verdana"/>
          <w:i/>
          <w:sz w:val="18"/>
          <w:szCs w:val="18"/>
        </w:rPr>
      </w:pPr>
      <w:r w:rsidRPr="00403D25">
        <w:rPr>
          <w:rFonts w:ascii="Verdana" w:hAnsi="Verdana"/>
          <w:i/>
          <w:sz w:val="18"/>
          <w:szCs w:val="18"/>
        </w:rPr>
        <w:t>Ontvangsten</w:t>
      </w:r>
    </w:p>
    <w:p w:rsidR="00486773" w:rsidRPr="00403D25" w:rsidRDefault="006620E5" w:rsidP="006620E5">
      <w:pPr>
        <w:autoSpaceDE w:val="0"/>
        <w:autoSpaceDN w:val="0"/>
        <w:adjustRightInd w:val="0"/>
        <w:rPr>
          <w:rFonts w:ascii="Verdana" w:hAnsi="Verdana"/>
          <w:sz w:val="18"/>
          <w:szCs w:val="18"/>
        </w:rPr>
      </w:pPr>
      <w:r w:rsidRPr="00403D25">
        <w:rPr>
          <w:rFonts w:ascii="Verdana" w:hAnsi="Verdana"/>
          <w:sz w:val="18"/>
          <w:szCs w:val="18"/>
        </w:rPr>
        <w:t xml:space="preserve">De mutatie op de ontvangsten </w:t>
      </w:r>
      <w:r w:rsidR="00DD6D7D" w:rsidRPr="00403D25">
        <w:rPr>
          <w:rFonts w:ascii="Verdana" w:hAnsi="Verdana"/>
          <w:sz w:val="18"/>
          <w:szCs w:val="18"/>
        </w:rPr>
        <w:t xml:space="preserve">is het gevolg van een actualisatie van de raming voor verkoop van roerende goederen. </w:t>
      </w:r>
    </w:p>
    <w:p w:rsidR="00BD0C1F" w:rsidRPr="00403D25" w:rsidRDefault="00BD0C1F" w:rsidP="006620E5">
      <w:pPr>
        <w:autoSpaceDE w:val="0"/>
        <w:autoSpaceDN w:val="0"/>
        <w:adjustRightInd w:val="0"/>
        <w:rPr>
          <w:rFonts w:ascii="Verdana" w:hAnsi="Verdana"/>
          <w:sz w:val="18"/>
          <w:szCs w:val="18"/>
        </w:rPr>
      </w:pPr>
    </w:p>
    <w:p w:rsidR="00BD0C1F" w:rsidRPr="00403D25" w:rsidRDefault="00BD0C1F" w:rsidP="00BD0C1F">
      <w:pPr>
        <w:rPr>
          <w:rFonts w:ascii="Verdana" w:hAnsi="Verdana"/>
          <w:i/>
          <w:sz w:val="18"/>
          <w:szCs w:val="18"/>
        </w:rPr>
      </w:pPr>
      <w:r w:rsidRPr="00403D25">
        <w:rPr>
          <w:rFonts w:ascii="Verdana" w:hAnsi="Verdana"/>
          <w:i/>
          <w:sz w:val="18"/>
          <w:szCs w:val="18"/>
        </w:rPr>
        <w:t>Overige:</w:t>
      </w:r>
    </w:p>
    <w:p w:rsidR="00651A3E" w:rsidRDefault="00651A3E" w:rsidP="00BD0C1F">
      <w:pPr>
        <w:autoSpaceDE w:val="0"/>
        <w:autoSpaceDN w:val="0"/>
        <w:adjustRightInd w:val="0"/>
        <w:rPr>
          <w:rFonts w:ascii="Verdana" w:hAnsi="Verdana" w:cs="Courier New"/>
          <w:sz w:val="18"/>
          <w:szCs w:val="18"/>
        </w:rPr>
      </w:pPr>
      <w:r w:rsidRPr="00403D25">
        <w:rPr>
          <w:rFonts w:ascii="Verdana" w:hAnsi="Verdana" w:cs="Courier New"/>
          <w:sz w:val="18"/>
          <w:szCs w:val="18"/>
        </w:rPr>
        <w:t>Eind 2013 is door Nederland een overeenkomst gesloten met de Royal Bank of Scotland waarin een zekerheidsstelling in de vorm van een bankgarantie is opgenomen ten behoeve van de Russische Federatie in de ‘Arctic Sunrise arbitrage’. Omdat de bankgarantie niet is opgehaald is de overeenkomst beëindigd en is het bedrag in oktober 2014 teruggestort. In afwachting van de einduitspraak van het arbitraal tribunaal of de bilaterale afwikkeling van het geschil tussen Rusland en Nederland over de ‘Arctic Sunrise’ is het mogelijk dat een zekerheidsstelling in de vorm van een bankgarantie alsnog beschikbaar zal moeten worden gesteld. In dat geval zal Nederland haar verplichting nakomen. De verwachting is dat de einduitspraak in de arbitrage eind 2015 komt.</w:t>
      </w:r>
      <w:r w:rsidR="004A15BA" w:rsidRPr="00403D25">
        <w:rPr>
          <w:rFonts w:ascii="Verdana" w:hAnsi="Verdana"/>
          <w:sz w:val="18"/>
        </w:rPr>
        <w:t xml:space="preserve"> Met het oog op mogelijk (geheel of gedeeltelijk) inroepen van deze garantiestelling zijn in 2013 afspraken gemaakt met Greenpeace.</w:t>
      </w:r>
      <w:r w:rsidR="004A15BA">
        <w:rPr>
          <w:rFonts w:ascii="Verdana" w:hAnsi="Verdana"/>
          <w:sz w:val="18"/>
        </w:rPr>
        <w:t xml:space="preserve"> </w:t>
      </w:r>
    </w:p>
    <w:sectPr w:rsidR="00651A3E" w:rsidSect="008473BD">
      <w:headerReference w:type="even" r:id="rId31"/>
      <w:headerReference w:type="default" r:id="rId32"/>
      <w:footerReference w:type="even" r:id="rId33"/>
      <w:footerReference w:type="default" r:id="rId34"/>
      <w:headerReference w:type="first" r:id="rId35"/>
      <w:footerReference w:type="first" r:id="rId36"/>
      <w:pgSz w:w="11907" w:h="16834"/>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FA" w:rsidRDefault="00822DFA">
      <w:r>
        <w:separator/>
      </w:r>
    </w:p>
  </w:endnote>
  <w:endnote w:type="continuationSeparator" w:id="0">
    <w:p w:rsidR="00822DFA" w:rsidRDefault="0082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E1)">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FA" w:rsidRDefault="00822DF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988708"/>
      <w:docPartObj>
        <w:docPartGallery w:val="Page Numbers (Bottom of Page)"/>
        <w:docPartUnique/>
      </w:docPartObj>
    </w:sdtPr>
    <w:sdtEndPr>
      <w:rPr>
        <w:rFonts w:ascii="Verdana" w:hAnsi="Verdana"/>
        <w:noProof/>
        <w:sz w:val="18"/>
        <w:szCs w:val="18"/>
      </w:rPr>
    </w:sdtEndPr>
    <w:sdtContent>
      <w:p w:rsidR="00822DFA" w:rsidRPr="00762973" w:rsidRDefault="00822DFA">
        <w:pPr>
          <w:pStyle w:val="Voettekst"/>
          <w:jc w:val="center"/>
          <w:rPr>
            <w:rFonts w:ascii="Verdana" w:hAnsi="Verdana"/>
            <w:sz w:val="18"/>
            <w:szCs w:val="18"/>
          </w:rPr>
        </w:pPr>
        <w:r w:rsidRPr="00762973">
          <w:rPr>
            <w:rFonts w:ascii="Verdana" w:hAnsi="Verdana"/>
            <w:sz w:val="18"/>
            <w:szCs w:val="18"/>
          </w:rPr>
          <w:fldChar w:fldCharType="begin"/>
        </w:r>
        <w:r w:rsidRPr="00762973">
          <w:rPr>
            <w:rFonts w:ascii="Verdana" w:hAnsi="Verdana"/>
            <w:sz w:val="18"/>
            <w:szCs w:val="18"/>
          </w:rPr>
          <w:instrText xml:space="preserve"> PAGE   \* MERGEFORMAT </w:instrText>
        </w:r>
        <w:r w:rsidRPr="00762973">
          <w:rPr>
            <w:rFonts w:ascii="Verdana" w:hAnsi="Verdana"/>
            <w:sz w:val="18"/>
            <w:szCs w:val="18"/>
          </w:rPr>
          <w:fldChar w:fldCharType="separate"/>
        </w:r>
        <w:r w:rsidR="00F27720">
          <w:rPr>
            <w:rFonts w:ascii="Verdana" w:hAnsi="Verdana"/>
            <w:noProof/>
            <w:sz w:val="18"/>
            <w:szCs w:val="18"/>
          </w:rPr>
          <w:t>2</w:t>
        </w:r>
        <w:r w:rsidRPr="00762973">
          <w:rPr>
            <w:rFonts w:ascii="Verdana" w:hAnsi="Verdana"/>
            <w:noProof/>
            <w:sz w:val="18"/>
            <w:szCs w:val="18"/>
          </w:rPr>
          <w:fldChar w:fldCharType="end"/>
        </w:r>
      </w:p>
    </w:sdtContent>
  </w:sdt>
  <w:p w:rsidR="00822DFA" w:rsidRDefault="00822DF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FA" w:rsidRDefault="00822DF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FA" w:rsidRDefault="00822DFA">
      <w:r>
        <w:separator/>
      </w:r>
    </w:p>
  </w:footnote>
  <w:footnote w:type="continuationSeparator" w:id="0">
    <w:p w:rsidR="00822DFA" w:rsidRDefault="00822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FA" w:rsidRDefault="00822DF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FA" w:rsidRDefault="00822DF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FA" w:rsidRDefault="00822DF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369"/>
    <w:multiLevelType w:val="hybridMultilevel"/>
    <w:tmpl w:val="D6B0BC8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087807EF"/>
    <w:multiLevelType w:val="hybridMultilevel"/>
    <w:tmpl w:val="6E38EB68"/>
    <w:lvl w:ilvl="0" w:tplc="0413000F">
      <w:start w:val="1"/>
      <w:numFmt w:val="decimal"/>
      <w:lvlText w:val="%1."/>
      <w:lvlJc w:val="left"/>
      <w:pPr>
        <w:tabs>
          <w:tab w:val="num" w:pos="360"/>
        </w:tabs>
        <w:ind w:left="360" w:hanging="360"/>
      </w:pPr>
      <w:rPr>
        <w:rFonts w:cs="Times New Roman" w:hint="default"/>
      </w:rPr>
    </w:lvl>
    <w:lvl w:ilvl="1" w:tplc="04130019">
      <w:start w:val="1"/>
      <w:numFmt w:val="lowerLetter"/>
      <w:lvlText w:val="%2."/>
      <w:lvlJc w:val="left"/>
      <w:pPr>
        <w:tabs>
          <w:tab w:val="num" w:pos="2084"/>
        </w:tabs>
        <w:ind w:left="2084" w:hanging="360"/>
      </w:pPr>
      <w:rPr>
        <w:rFonts w:cs="Times New Roman"/>
      </w:rPr>
    </w:lvl>
    <w:lvl w:ilvl="2" w:tplc="0413001B" w:tentative="1">
      <w:start w:val="1"/>
      <w:numFmt w:val="lowerRoman"/>
      <w:lvlText w:val="%3."/>
      <w:lvlJc w:val="right"/>
      <w:pPr>
        <w:tabs>
          <w:tab w:val="num" w:pos="2804"/>
        </w:tabs>
        <w:ind w:left="2804" w:hanging="180"/>
      </w:pPr>
      <w:rPr>
        <w:rFonts w:cs="Times New Roman"/>
      </w:rPr>
    </w:lvl>
    <w:lvl w:ilvl="3" w:tplc="0413000F" w:tentative="1">
      <w:start w:val="1"/>
      <w:numFmt w:val="decimal"/>
      <w:lvlText w:val="%4."/>
      <w:lvlJc w:val="left"/>
      <w:pPr>
        <w:tabs>
          <w:tab w:val="num" w:pos="3524"/>
        </w:tabs>
        <w:ind w:left="3524" w:hanging="360"/>
      </w:pPr>
      <w:rPr>
        <w:rFonts w:cs="Times New Roman"/>
      </w:rPr>
    </w:lvl>
    <w:lvl w:ilvl="4" w:tplc="04130019" w:tentative="1">
      <w:start w:val="1"/>
      <w:numFmt w:val="lowerLetter"/>
      <w:lvlText w:val="%5."/>
      <w:lvlJc w:val="left"/>
      <w:pPr>
        <w:tabs>
          <w:tab w:val="num" w:pos="4244"/>
        </w:tabs>
        <w:ind w:left="4244" w:hanging="360"/>
      </w:pPr>
      <w:rPr>
        <w:rFonts w:cs="Times New Roman"/>
      </w:rPr>
    </w:lvl>
    <w:lvl w:ilvl="5" w:tplc="0413001B" w:tentative="1">
      <w:start w:val="1"/>
      <w:numFmt w:val="lowerRoman"/>
      <w:lvlText w:val="%6."/>
      <w:lvlJc w:val="right"/>
      <w:pPr>
        <w:tabs>
          <w:tab w:val="num" w:pos="4964"/>
        </w:tabs>
        <w:ind w:left="4964" w:hanging="180"/>
      </w:pPr>
      <w:rPr>
        <w:rFonts w:cs="Times New Roman"/>
      </w:rPr>
    </w:lvl>
    <w:lvl w:ilvl="6" w:tplc="0413000F" w:tentative="1">
      <w:start w:val="1"/>
      <w:numFmt w:val="decimal"/>
      <w:lvlText w:val="%7."/>
      <w:lvlJc w:val="left"/>
      <w:pPr>
        <w:tabs>
          <w:tab w:val="num" w:pos="5684"/>
        </w:tabs>
        <w:ind w:left="5684" w:hanging="360"/>
      </w:pPr>
      <w:rPr>
        <w:rFonts w:cs="Times New Roman"/>
      </w:rPr>
    </w:lvl>
    <w:lvl w:ilvl="7" w:tplc="04130019" w:tentative="1">
      <w:start w:val="1"/>
      <w:numFmt w:val="lowerLetter"/>
      <w:lvlText w:val="%8."/>
      <w:lvlJc w:val="left"/>
      <w:pPr>
        <w:tabs>
          <w:tab w:val="num" w:pos="6404"/>
        </w:tabs>
        <w:ind w:left="6404" w:hanging="360"/>
      </w:pPr>
      <w:rPr>
        <w:rFonts w:cs="Times New Roman"/>
      </w:rPr>
    </w:lvl>
    <w:lvl w:ilvl="8" w:tplc="0413001B" w:tentative="1">
      <w:start w:val="1"/>
      <w:numFmt w:val="lowerRoman"/>
      <w:lvlText w:val="%9."/>
      <w:lvlJc w:val="right"/>
      <w:pPr>
        <w:tabs>
          <w:tab w:val="num" w:pos="7124"/>
        </w:tabs>
        <w:ind w:left="7124" w:hanging="180"/>
      </w:pPr>
      <w:rPr>
        <w:rFonts w:cs="Times New Roman"/>
      </w:rPr>
    </w:lvl>
  </w:abstractNum>
  <w:abstractNum w:abstractNumId="2">
    <w:nsid w:val="0A3E1CE9"/>
    <w:multiLevelType w:val="hybridMultilevel"/>
    <w:tmpl w:val="20EA0E6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B235EB7"/>
    <w:multiLevelType w:val="hybridMultilevel"/>
    <w:tmpl w:val="D86AF854"/>
    <w:lvl w:ilvl="0" w:tplc="0413000F">
      <w:start w:val="1"/>
      <w:numFmt w:val="decimal"/>
      <w:lvlText w:val="%1."/>
      <w:lvlJc w:val="left"/>
      <w:pPr>
        <w:ind w:left="360" w:hanging="360"/>
      </w:p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B5C7E65"/>
    <w:multiLevelType w:val="hybridMultilevel"/>
    <w:tmpl w:val="A26ED7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FF84C29"/>
    <w:multiLevelType w:val="hybridMultilevel"/>
    <w:tmpl w:val="2DD8FDA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31A0350"/>
    <w:multiLevelType w:val="hybridMultilevel"/>
    <w:tmpl w:val="8ED4E4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6E57BD0"/>
    <w:multiLevelType w:val="hybridMultilevel"/>
    <w:tmpl w:val="F2EE3B92"/>
    <w:lvl w:ilvl="0" w:tplc="30ACC6AA">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BE43FB1"/>
    <w:multiLevelType w:val="multilevel"/>
    <w:tmpl w:val="60F4C804"/>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abstractNum w:abstractNumId="9">
    <w:nsid w:val="28284775"/>
    <w:multiLevelType w:val="multilevel"/>
    <w:tmpl w:val="12FE156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AC03104"/>
    <w:multiLevelType w:val="hybridMultilevel"/>
    <w:tmpl w:val="D89C758A"/>
    <w:lvl w:ilvl="0" w:tplc="39F255C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AD57B66"/>
    <w:multiLevelType w:val="hybridMultilevel"/>
    <w:tmpl w:val="26B08A5E"/>
    <w:lvl w:ilvl="0" w:tplc="04130001">
      <w:start w:val="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AE006CD"/>
    <w:multiLevelType w:val="hybridMultilevel"/>
    <w:tmpl w:val="2E7CB8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49E5D1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4">
    <w:nsid w:val="40F11B40"/>
    <w:multiLevelType w:val="hybridMultilevel"/>
    <w:tmpl w:val="7B3C1708"/>
    <w:lvl w:ilvl="0" w:tplc="0512F22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13603E7"/>
    <w:multiLevelType w:val="hybridMultilevel"/>
    <w:tmpl w:val="9CA841F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nsid w:val="41BC0CB9"/>
    <w:multiLevelType w:val="hybridMultilevel"/>
    <w:tmpl w:val="B54EFA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4F303D01"/>
    <w:multiLevelType w:val="hybridMultilevel"/>
    <w:tmpl w:val="12D024C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54992E00"/>
    <w:multiLevelType w:val="hybridMultilevel"/>
    <w:tmpl w:val="8664319C"/>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5A1A5165"/>
    <w:multiLevelType w:val="hybridMultilevel"/>
    <w:tmpl w:val="98D82A8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5D6B1D7F"/>
    <w:multiLevelType w:val="hybridMultilevel"/>
    <w:tmpl w:val="E9FAB1F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62773941"/>
    <w:multiLevelType w:val="hybridMultilevel"/>
    <w:tmpl w:val="133A1958"/>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648331BD"/>
    <w:multiLevelType w:val="hybridMultilevel"/>
    <w:tmpl w:val="DE5ABA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65110786"/>
    <w:multiLevelType w:val="hybridMultilevel"/>
    <w:tmpl w:val="7BD4D6F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6C5C422D"/>
    <w:multiLevelType w:val="hybridMultilevel"/>
    <w:tmpl w:val="775C7B20"/>
    <w:lvl w:ilvl="0" w:tplc="3A3A389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71547F5E"/>
    <w:multiLevelType w:val="multilevel"/>
    <w:tmpl w:val="00D2C84C"/>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num w:numId="1">
    <w:abstractNumId w:val="15"/>
  </w:num>
  <w:num w:numId="2">
    <w:abstractNumId w:val="1"/>
  </w:num>
  <w:num w:numId="3">
    <w:abstractNumId w:val="13"/>
  </w:num>
  <w:num w:numId="4">
    <w:abstractNumId w:val="0"/>
  </w:num>
  <w:num w:numId="5">
    <w:abstractNumId w:val="8"/>
  </w:num>
  <w:num w:numId="6">
    <w:abstractNumId w:val="25"/>
  </w:num>
  <w:num w:numId="7">
    <w:abstractNumId w:val="9"/>
  </w:num>
  <w:num w:numId="8">
    <w:abstractNumId w:val="10"/>
  </w:num>
  <w:num w:numId="9">
    <w:abstractNumId w:val="2"/>
  </w:num>
  <w:num w:numId="10">
    <w:abstractNumId w:val="4"/>
  </w:num>
  <w:num w:numId="11">
    <w:abstractNumId w:val="16"/>
  </w:num>
  <w:num w:numId="12">
    <w:abstractNumId w:val="5"/>
  </w:num>
  <w:num w:numId="13">
    <w:abstractNumId w:val="3"/>
  </w:num>
  <w:num w:numId="14">
    <w:abstractNumId w:val="6"/>
  </w:num>
  <w:num w:numId="15">
    <w:abstractNumId w:val="14"/>
  </w:num>
  <w:num w:numId="16">
    <w:abstractNumId w:val="7"/>
  </w:num>
  <w:num w:numId="17">
    <w:abstractNumId w:val="21"/>
  </w:num>
  <w:num w:numId="18">
    <w:abstractNumId w:val="11"/>
  </w:num>
  <w:num w:numId="19">
    <w:abstractNumId w:val="23"/>
  </w:num>
  <w:num w:numId="20">
    <w:abstractNumId w:val="17"/>
  </w:num>
  <w:num w:numId="21">
    <w:abstractNumId w:val="19"/>
  </w:num>
  <w:num w:numId="22">
    <w:abstractNumId w:val="18"/>
  </w:num>
  <w:num w:numId="23">
    <w:abstractNumId w:val="22"/>
  </w:num>
  <w:num w:numId="24">
    <w:abstractNumId w:val="12"/>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2C"/>
    <w:rsid w:val="00000E87"/>
    <w:rsid w:val="0000441F"/>
    <w:rsid w:val="00030468"/>
    <w:rsid w:val="00034FB4"/>
    <w:rsid w:val="0003680A"/>
    <w:rsid w:val="00037C22"/>
    <w:rsid w:val="00043C5B"/>
    <w:rsid w:val="00047233"/>
    <w:rsid w:val="000513B7"/>
    <w:rsid w:val="00051448"/>
    <w:rsid w:val="00052EA7"/>
    <w:rsid w:val="000543FD"/>
    <w:rsid w:val="00066DFB"/>
    <w:rsid w:val="00067B3B"/>
    <w:rsid w:val="000724F8"/>
    <w:rsid w:val="00085940"/>
    <w:rsid w:val="00091C6D"/>
    <w:rsid w:val="000A37E0"/>
    <w:rsid w:val="000A694C"/>
    <w:rsid w:val="000A6EB2"/>
    <w:rsid w:val="000B5041"/>
    <w:rsid w:val="000B6E96"/>
    <w:rsid w:val="000C0570"/>
    <w:rsid w:val="000C23EE"/>
    <w:rsid w:val="000C4C26"/>
    <w:rsid w:val="000D0A6E"/>
    <w:rsid w:val="000E706F"/>
    <w:rsid w:val="000E7A16"/>
    <w:rsid w:val="000F0016"/>
    <w:rsid w:val="001103DA"/>
    <w:rsid w:val="0011107A"/>
    <w:rsid w:val="0011335D"/>
    <w:rsid w:val="00117E3A"/>
    <w:rsid w:val="001202B4"/>
    <w:rsid w:val="00122A6A"/>
    <w:rsid w:val="001236E0"/>
    <w:rsid w:val="001376B8"/>
    <w:rsid w:val="001402A0"/>
    <w:rsid w:val="001427A1"/>
    <w:rsid w:val="0014788F"/>
    <w:rsid w:val="001515BE"/>
    <w:rsid w:val="00151883"/>
    <w:rsid w:val="00153590"/>
    <w:rsid w:val="0016263F"/>
    <w:rsid w:val="00163308"/>
    <w:rsid w:val="00163471"/>
    <w:rsid w:val="001655AF"/>
    <w:rsid w:val="00165EA7"/>
    <w:rsid w:val="00167B1E"/>
    <w:rsid w:val="00170E35"/>
    <w:rsid w:val="0017570B"/>
    <w:rsid w:val="00177BA8"/>
    <w:rsid w:val="00180994"/>
    <w:rsid w:val="00181018"/>
    <w:rsid w:val="00190F55"/>
    <w:rsid w:val="0019308D"/>
    <w:rsid w:val="00193302"/>
    <w:rsid w:val="001A032E"/>
    <w:rsid w:val="001A0AD1"/>
    <w:rsid w:val="001A3ABA"/>
    <w:rsid w:val="001A3DD5"/>
    <w:rsid w:val="001D2060"/>
    <w:rsid w:val="001D7A55"/>
    <w:rsid w:val="001F1D3A"/>
    <w:rsid w:val="001F2F73"/>
    <w:rsid w:val="001F356E"/>
    <w:rsid w:val="001F3FD4"/>
    <w:rsid w:val="001F7199"/>
    <w:rsid w:val="001F7CBE"/>
    <w:rsid w:val="002067DD"/>
    <w:rsid w:val="00216427"/>
    <w:rsid w:val="002221DA"/>
    <w:rsid w:val="002358F5"/>
    <w:rsid w:val="00265307"/>
    <w:rsid w:val="0027443A"/>
    <w:rsid w:val="0027648D"/>
    <w:rsid w:val="00277ADF"/>
    <w:rsid w:val="002811DE"/>
    <w:rsid w:val="00282216"/>
    <w:rsid w:val="00296F40"/>
    <w:rsid w:val="002A7672"/>
    <w:rsid w:val="002B35E7"/>
    <w:rsid w:val="002B63F1"/>
    <w:rsid w:val="002C42D6"/>
    <w:rsid w:val="002C730D"/>
    <w:rsid w:val="002E7883"/>
    <w:rsid w:val="002F1D5D"/>
    <w:rsid w:val="003022A9"/>
    <w:rsid w:val="003029F6"/>
    <w:rsid w:val="00304FCA"/>
    <w:rsid w:val="00305E72"/>
    <w:rsid w:val="00310533"/>
    <w:rsid w:val="003275D9"/>
    <w:rsid w:val="00330E97"/>
    <w:rsid w:val="0033752D"/>
    <w:rsid w:val="00343F74"/>
    <w:rsid w:val="003469EC"/>
    <w:rsid w:val="0034772C"/>
    <w:rsid w:val="00357B0D"/>
    <w:rsid w:val="00360C9B"/>
    <w:rsid w:val="00364F18"/>
    <w:rsid w:val="003767E6"/>
    <w:rsid w:val="003771E6"/>
    <w:rsid w:val="0038087B"/>
    <w:rsid w:val="00385F83"/>
    <w:rsid w:val="00390602"/>
    <w:rsid w:val="00391EE0"/>
    <w:rsid w:val="003957AC"/>
    <w:rsid w:val="00395814"/>
    <w:rsid w:val="003A4649"/>
    <w:rsid w:val="003B3E39"/>
    <w:rsid w:val="003B4186"/>
    <w:rsid w:val="003B68D7"/>
    <w:rsid w:val="003B7AB8"/>
    <w:rsid w:val="003C04D8"/>
    <w:rsid w:val="003C38CA"/>
    <w:rsid w:val="003D2C86"/>
    <w:rsid w:val="003E5382"/>
    <w:rsid w:val="003F13D4"/>
    <w:rsid w:val="003F24ED"/>
    <w:rsid w:val="003F557A"/>
    <w:rsid w:val="003F67CE"/>
    <w:rsid w:val="00403469"/>
    <w:rsid w:val="00403D25"/>
    <w:rsid w:val="0040478A"/>
    <w:rsid w:val="00407A6B"/>
    <w:rsid w:val="00407CD9"/>
    <w:rsid w:val="0041193A"/>
    <w:rsid w:val="00433722"/>
    <w:rsid w:val="00451DFF"/>
    <w:rsid w:val="00455EB8"/>
    <w:rsid w:val="004565A4"/>
    <w:rsid w:val="004571A9"/>
    <w:rsid w:val="0046086E"/>
    <w:rsid w:val="00462B3B"/>
    <w:rsid w:val="00467647"/>
    <w:rsid w:val="0046766D"/>
    <w:rsid w:val="004710A7"/>
    <w:rsid w:val="004754BE"/>
    <w:rsid w:val="00477ECB"/>
    <w:rsid w:val="00480D63"/>
    <w:rsid w:val="004866CA"/>
    <w:rsid w:val="00486773"/>
    <w:rsid w:val="004876E4"/>
    <w:rsid w:val="00495C81"/>
    <w:rsid w:val="004A1071"/>
    <w:rsid w:val="004A15BA"/>
    <w:rsid w:val="004A3990"/>
    <w:rsid w:val="004A40CA"/>
    <w:rsid w:val="004A6858"/>
    <w:rsid w:val="004B0BBB"/>
    <w:rsid w:val="004B5774"/>
    <w:rsid w:val="004B5854"/>
    <w:rsid w:val="004B626D"/>
    <w:rsid w:val="004C50ED"/>
    <w:rsid w:val="004C5D55"/>
    <w:rsid w:val="004C5D5C"/>
    <w:rsid w:val="004C5D9A"/>
    <w:rsid w:val="004C6F03"/>
    <w:rsid w:val="004E279B"/>
    <w:rsid w:val="004F6902"/>
    <w:rsid w:val="004F6F69"/>
    <w:rsid w:val="00502A5E"/>
    <w:rsid w:val="0050422B"/>
    <w:rsid w:val="00510F94"/>
    <w:rsid w:val="00511106"/>
    <w:rsid w:val="00515801"/>
    <w:rsid w:val="00523F31"/>
    <w:rsid w:val="005248EB"/>
    <w:rsid w:val="00532BF1"/>
    <w:rsid w:val="00542E23"/>
    <w:rsid w:val="00553869"/>
    <w:rsid w:val="00553F91"/>
    <w:rsid w:val="00564C85"/>
    <w:rsid w:val="00566D9D"/>
    <w:rsid w:val="00567020"/>
    <w:rsid w:val="005813E7"/>
    <w:rsid w:val="0058512F"/>
    <w:rsid w:val="00596975"/>
    <w:rsid w:val="005A1BA9"/>
    <w:rsid w:val="005A3441"/>
    <w:rsid w:val="005A4845"/>
    <w:rsid w:val="005A4B55"/>
    <w:rsid w:val="005A775C"/>
    <w:rsid w:val="005D2DDB"/>
    <w:rsid w:val="005D31E9"/>
    <w:rsid w:val="005E2A87"/>
    <w:rsid w:val="005F032C"/>
    <w:rsid w:val="005F27E4"/>
    <w:rsid w:val="005F2C5F"/>
    <w:rsid w:val="005F589A"/>
    <w:rsid w:val="005F6994"/>
    <w:rsid w:val="00603047"/>
    <w:rsid w:val="00603D0B"/>
    <w:rsid w:val="00611E4E"/>
    <w:rsid w:val="00615953"/>
    <w:rsid w:val="00620EE5"/>
    <w:rsid w:val="00627CCC"/>
    <w:rsid w:val="00631ABF"/>
    <w:rsid w:val="00631D4D"/>
    <w:rsid w:val="00642B9A"/>
    <w:rsid w:val="00643667"/>
    <w:rsid w:val="00651A3E"/>
    <w:rsid w:val="00652BDB"/>
    <w:rsid w:val="006533E1"/>
    <w:rsid w:val="00653E58"/>
    <w:rsid w:val="00654B1C"/>
    <w:rsid w:val="00655782"/>
    <w:rsid w:val="00656ABD"/>
    <w:rsid w:val="006620E5"/>
    <w:rsid w:val="006662FD"/>
    <w:rsid w:val="00667643"/>
    <w:rsid w:val="006726FE"/>
    <w:rsid w:val="00677A69"/>
    <w:rsid w:val="0068240F"/>
    <w:rsid w:val="006951BA"/>
    <w:rsid w:val="0069599F"/>
    <w:rsid w:val="006A152C"/>
    <w:rsid w:val="006A1E51"/>
    <w:rsid w:val="006B2886"/>
    <w:rsid w:val="006B706E"/>
    <w:rsid w:val="006C5F82"/>
    <w:rsid w:val="006E09EE"/>
    <w:rsid w:val="006E2BDD"/>
    <w:rsid w:val="006E5197"/>
    <w:rsid w:val="006F1270"/>
    <w:rsid w:val="006F46C2"/>
    <w:rsid w:val="00702B82"/>
    <w:rsid w:val="00705409"/>
    <w:rsid w:val="007106EB"/>
    <w:rsid w:val="00717331"/>
    <w:rsid w:val="00717627"/>
    <w:rsid w:val="007209D9"/>
    <w:rsid w:val="00721410"/>
    <w:rsid w:val="007248B9"/>
    <w:rsid w:val="007274EE"/>
    <w:rsid w:val="00734B1A"/>
    <w:rsid w:val="007500AD"/>
    <w:rsid w:val="00753A76"/>
    <w:rsid w:val="00760727"/>
    <w:rsid w:val="007616C9"/>
    <w:rsid w:val="00761FD9"/>
    <w:rsid w:val="00762973"/>
    <w:rsid w:val="00763C91"/>
    <w:rsid w:val="00774896"/>
    <w:rsid w:val="0078248E"/>
    <w:rsid w:val="00783E62"/>
    <w:rsid w:val="00785234"/>
    <w:rsid w:val="007959DB"/>
    <w:rsid w:val="007A11C7"/>
    <w:rsid w:val="007A232E"/>
    <w:rsid w:val="007A4C90"/>
    <w:rsid w:val="007B12F1"/>
    <w:rsid w:val="007B7FFE"/>
    <w:rsid w:val="007C313F"/>
    <w:rsid w:val="007C32C5"/>
    <w:rsid w:val="007D5B1D"/>
    <w:rsid w:val="007D7C15"/>
    <w:rsid w:val="007E2FA2"/>
    <w:rsid w:val="007E7AC4"/>
    <w:rsid w:val="007F1DDB"/>
    <w:rsid w:val="007F51AD"/>
    <w:rsid w:val="007F712C"/>
    <w:rsid w:val="00800D06"/>
    <w:rsid w:val="00801F94"/>
    <w:rsid w:val="00802AC0"/>
    <w:rsid w:val="008070E4"/>
    <w:rsid w:val="0080729C"/>
    <w:rsid w:val="00822AFF"/>
    <w:rsid w:val="00822DFA"/>
    <w:rsid w:val="00833FAC"/>
    <w:rsid w:val="00834074"/>
    <w:rsid w:val="008365A0"/>
    <w:rsid w:val="0084601A"/>
    <w:rsid w:val="008473BD"/>
    <w:rsid w:val="008514C1"/>
    <w:rsid w:val="00861125"/>
    <w:rsid w:val="0087022B"/>
    <w:rsid w:val="008757C0"/>
    <w:rsid w:val="00880604"/>
    <w:rsid w:val="008819A0"/>
    <w:rsid w:val="0088461B"/>
    <w:rsid w:val="00884C96"/>
    <w:rsid w:val="008860FA"/>
    <w:rsid w:val="00886CFE"/>
    <w:rsid w:val="008914E1"/>
    <w:rsid w:val="008947AB"/>
    <w:rsid w:val="00897CC0"/>
    <w:rsid w:val="008A0FEC"/>
    <w:rsid w:val="008A2992"/>
    <w:rsid w:val="008A337C"/>
    <w:rsid w:val="008B416F"/>
    <w:rsid w:val="008B436F"/>
    <w:rsid w:val="008B7657"/>
    <w:rsid w:val="008B76F6"/>
    <w:rsid w:val="008B7983"/>
    <w:rsid w:val="008C5307"/>
    <w:rsid w:val="008D0A7C"/>
    <w:rsid w:val="008E36F1"/>
    <w:rsid w:val="008F5500"/>
    <w:rsid w:val="008F6F1E"/>
    <w:rsid w:val="00900EC1"/>
    <w:rsid w:val="00910CFB"/>
    <w:rsid w:val="009208A1"/>
    <w:rsid w:val="00930D60"/>
    <w:rsid w:val="00936C3A"/>
    <w:rsid w:val="0094343F"/>
    <w:rsid w:val="00951496"/>
    <w:rsid w:val="00952C63"/>
    <w:rsid w:val="0096648B"/>
    <w:rsid w:val="00980DE1"/>
    <w:rsid w:val="00984141"/>
    <w:rsid w:val="009857A9"/>
    <w:rsid w:val="009902ED"/>
    <w:rsid w:val="009966DF"/>
    <w:rsid w:val="009A17CB"/>
    <w:rsid w:val="009A6B27"/>
    <w:rsid w:val="009B1F5B"/>
    <w:rsid w:val="009B6668"/>
    <w:rsid w:val="009C324B"/>
    <w:rsid w:val="009C67D9"/>
    <w:rsid w:val="009C6F4D"/>
    <w:rsid w:val="009E0295"/>
    <w:rsid w:val="009E33BB"/>
    <w:rsid w:val="009E4200"/>
    <w:rsid w:val="009E46CE"/>
    <w:rsid w:val="009E7124"/>
    <w:rsid w:val="009E7A01"/>
    <w:rsid w:val="009F79CF"/>
    <w:rsid w:val="00A025D1"/>
    <w:rsid w:val="00A027FF"/>
    <w:rsid w:val="00A05F84"/>
    <w:rsid w:val="00A078F1"/>
    <w:rsid w:val="00A10470"/>
    <w:rsid w:val="00A13D38"/>
    <w:rsid w:val="00A14C9B"/>
    <w:rsid w:val="00A24B41"/>
    <w:rsid w:val="00A26CC0"/>
    <w:rsid w:val="00A277C2"/>
    <w:rsid w:val="00A31DE8"/>
    <w:rsid w:val="00A436F8"/>
    <w:rsid w:val="00A440B6"/>
    <w:rsid w:val="00A518BC"/>
    <w:rsid w:val="00A51F92"/>
    <w:rsid w:val="00A53DED"/>
    <w:rsid w:val="00A550BE"/>
    <w:rsid w:val="00A57C8E"/>
    <w:rsid w:val="00A60F54"/>
    <w:rsid w:val="00A61223"/>
    <w:rsid w:val="00A647C4"/>
    <w:rsid w:val="00A803E2"/>
    <w:rsid w:val="00A8351E"/>
    <w:rsid w:val="00A83F75"/>
    <w:rsid w:val="00A8588D"/>
    <w:rsid w:val="00A86AA9"/>
    <w:rsid w:val="00A928A9"/>
    <w:rsid w:val="00AA1618"/>
    <w:rsid w:val="00AA1CA5"/>
    <w:rsid w:val="00AA29CD"/>
    <w:rsid w:val="00AA5241"/>
    <w:rsid w:val="00AC49FE"/>
    <w:rsid w:val="00AC4A05"/>
    <w:rsid w:val="00AD59E9"/>
    <w:rsid w:val="00AE415A"/>
    <w:rsid w:val="00AF4926"/>
    <w:rsid w:val="00AF648D"/>
    <w:rsid w:val="00B03561"/>
    <w:rsid w:val="00B11103"/>
    <w:rsid w:val="00B15A7A"/>
    <w:rsid w:val="00B361D5"/>
    <w:rsid w:val="00B420C2"/>
    <w:rsid w:val="00B428F7"/>
    <w:rsid w:val="00B42FBD"/>
    <w:rsid w:val="00B46957"/>
    <w:rsid w:val="00B50BB3"/>
    <w:rsid w:val="00B6345B"/>
    <w:rsid w:val="00B65FF1"/>
    <w:rsid w:val="00B7150E"/>
    <w:rsid w:val="00B732BF"/>
    <w:rsid w:val="00B73F8F"/>
    <w:rsid w:val="00B83A35"/>
    <w:rsid w:val="00BA01D6"/>
    <w:rsid w:val="00BC3928"/>
    <w:rsid w:val="00BC65F4"/>
    <w:rsid w:val="00BD0C1F"/>
    <w:rsid w:val="00BD0E14"/>
    <w:rsid w:val="00BE154D"/>
    <w:rsid w:val="00BE21F4"/>
    <w:rsid w:val="00BE5900"/>
    <w:rsid w:val="00BE62A2"/>
    <w:rsid w:val="00BF152E"/>
    <w:rsid w:val="00BF6149"/>
    <w:rsid w:val="00C03573"/>
    <w:rsid w:val="00C11F19"/>
    <w:rsid w:val="00C15731"/>
    <w:rsid w:val="00C2017B"/>
    <w:rsid w:val="00C2048F"/>
    <w:rsid w:val="00C22486"/>
    <w:rsid w:val="00C320E4"/>
    <w:rsid w:val="00C34AE8"/>
    <w:rsid w:val="00C50818"/>
    <w:rsid w:val="00C540A3"/>
    <w:rsid w:val="00C5565B"/>
    <w:rsid w:val="00C61DE7"/>
    <w:rsid w:val="00C67618"/>
    <w:rsid w:val="00C67931"/>
    <w:rsid w:val="00C73476"/>
    <w:rsid w:val="00C74317"/>
    <w:rsid w:val="00C8144E"/>
    <w:rsid w:val="00C814E6"/>
    <w:rsid w:val="00C82327"/>
    <w:rsid w:val="00C90A87"/>
    <w:rsid w:val="00CA1DC9"/>
    <w:rsid w:val="00CA2829"/>
    <w:rsid w:val="00CA5FF5"/>
    <w:rsid w:val="00CA79BA"/>
    <w:rsid w:val="00CB1989"/>
    <w:rsid w:val="00CB4BDA"/>
    <w:rsid w:val="00CB706B"/>
    <w:rsid w:val="00CC142B"/>
    <w:rsid w:val="00CC6936"/>
    <w:rsid w:val="00CD6071"/>
    <w:rsid w:val="00D017E5"/>
    <w:rsid w:val="00D0267B"/>
    <w:rsid w:val="00D13D4F"/>
    <w:rsid w:val="00D14953"/>
    <w:rsid w:val="00D16917"/>
    <w:rsid w:val="00D23BD3"/>
    <w:rsid w:val="00D2532B"/>
    <w:rsid w:val="00D34488"/>
    <w:rsid w:val="00D41A0B"/>
    <w:rsid w:val="00D42D43"/>
    <w:rsid w:val="00D47A0B"/>
    <w:rsid w:val="00D63382"/>
    <w:rsid w:val="00D63C52"/>
    <w:rsid w:val="00D6783F"/>
    <w:rsid w:val="00D71E93"/>
    <w:rsid w:val="00D71F63"/>
    <w:rsid w:val="00D7216B"/>
    <w:rsid w:val="00D731ED"/>
    <w:rsid w:val="00D832A2"/>
    <w:rsid w:val="00D83A13"/>
    <w:rsid w:val="00D83ECB"/>
    <w:rsid w:val="00D87F17"/>
    <w:rsid w:val="00DA6050"/>
    <w:rsid w:val="00DA6378"/>
    <w:rsid w:val="00DA652E"/>
    <w:rsid w:val="00DB4CA4"/>
    <w:rsid w:val="00DC1898"/>
    <w:rsid w:val="00DC3EDF"/>
    <w:rsid w:val="00DC5173"/>
    <w:rsid w:val="00DC702B"/>
    <w:rsid w:val="00DD0EF2"/>
    <w:rsid w:val="00DD6D7D"/>
    <w:rsid w:val="00DF1F5F"/>
    <w:rsid w:val="00DF3A8E"/>
    <w:rsid w:val="00DF3EC0"/>
    <w:rsid w:val="00E03768"/>
    <w:rsid w:val="00E108A1"/>
    <w:rsid w:val="00E1514E"/>
    <w:rsid w:val="00E2229B"/>
    <w:rsid w:val="00E23F2A"/>
    <w:rsid w:val="00E25F68"/>
    <w:rsid w:val="00E26FDE"/>
    <w:rsid w:val="00E31EE1"/>
    <w:rsid w:val="00E36845"/>
    <w:rsid w:val="00E4136D"/>
    <w:rsid w:val="00E41389"/>
    <w:rsid w:val="00E439B1"/>
    <w:rsid w:val="00E440E9"/>
    <w:rsid w:val="00E44291"/>
    <w:rsid w:val="00E45B42"/>
    <w:rsid w:val="00E47E20"/>
    <w:rsid w:val="00E54221"/>
    <w:rsid w:val="00E57147"/>
    <w:rsid w:val="00E5722D"/>
    <w:rsid w:val="00E71470"/>
    <w:rsid w:val="00E7281E"/>
    <w:rsid w:val="00E745F4"/>
    <w:rsid w:val="00E74B44"/>
    <w:rsid w:val="00E75B59"/>
    <w:rsid w:val="00E8463C"/>
    <w:rsid w:val="00E87C6D"/>
    <w:rsid w:val="00E91A18"/>
    <w:rsid w:val="00E93F7A"/>
    <w:rsid w:val="00EA0B44"/>
    <w:rsid w:val="00EA2DA4"/>
    <w:rsid w:val="00EA40D1"/>
    <w:rsid w:val="00EA77B0"/>
    <w:rsid w:val="00EB71BD"/>
    <w:rsid w:val="00EC6CAF"/>
    <w:rsid w:val="00EC77DA"/>
    <w:rsid w:val="00EC7BCB"/>
    <w:rsid w:val="00ED0291"/>
    <w:rsid w:val="00ED0A91"/>
    <w:rsid w:val="00ED585C"/>
    <w:rsid w:val="00ED64C0"/>
    <w:rsid w:val="00ED7AAA"/>
    <w:rsid w:val="00EE4ADB"/>
    <w:rsid w:val="00EE6C85"/>
    <w:rsid w:val="00EF46C0"/>
    <w:rsid w:val="00EF6D90"/>
    <w:rsid w:val="00EF730F"/>
    <w:rsid w:val="00F00E0E"/>
    <w:rsid w:val="00F0206B"/>
    <w:rsid w:val="00F02840"/>
    <w:rsid w:val="00F040B2"/>
    <w:rsid w:val="00F05CC4"/>
    <w:rsid w:val="00F1010B"/>
    <w:rsid w:val="00F1216F"/>
    <w:rsid w:val="00F15C7B"/>
    <w:rsid w:val="00F23326"/>
    <w:rsid w:val="00F23DCE"/>
    <w:rsid w:val="00F247CA"/>
    <w:rsid w:val="00F2587D"/>
    <w:rsid w:val="00F27720"/>
    <w:rsid w:val="00F313BF"/>
    <w:rsid w:val="00F45153"/>
    <w:rsid w:val="00F47148"/>
    <w:rsid w:val="00F60022"/>
    <w:rsid w:val="00F62ADF"/>
    <w:rsid w:val="00F64F2F"/>
    <w:rsid w:val="00F6528F"/>
    <w:rsid w:val="00F674EB"/>
    <w:rsid w:val="00F718F1"/>
    <w:rsid w:val="00F726B9"/>
    <w:rsid w:val="00F74FC2"/>
    <w:rsid w:val="00F84038"/>
    <w:rsid w:val="00F87B7C"/>
    <w:rsid w:val="00F94A54"/>
    <w:rsid w:val="00F94AE4"/>
    <w:rsid w:val="00F9615B"/>
    <w:rsid w:val="00F96C2A"/>
    <w:rsid w:val="00F978E5"/>
    <w:rsid w:val="00F97B99"/>
    <w:rsid w:val="00FA3B47"/>
    <w:rsid w:val="00FC0821"/>
    <w:rsid w:val="00FC1B23"/>
    <w:rsid w:val="00FC1C9F"/>
    <w:rsid w:val="00FC2409"/>
    <w:rsid w:val="00FC2B6C"/>
    <w:rsid w:val="00FC5260"/>
    <w:rsid w:val="00FC62D2"/>
    <w:rsid w:val="00FD06C8"/>
    <w:rsid w:val="00FD5001"/>
    <w:rsid w:val="00FD510A"/>
    <w:rsid w:val="00FD56D9"/>
    <w:rsid w:val="00FE0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902ED"/>
    <w:rPr>
      <w:sz w:val="24"/>
      <w:szCs w:val="24"/>
      <w:lang w:eastAsia="zh-CN"/>
    </w:rPr>
  </w:style>
  <w:style w:type="paragraph" w:styleId="Kop2">
    <w:name w:val="heading 2"/>
    <w:basedOn w:val="Standaard"/>
    <w:next w:val="Standaard"/>
    <w:qFormat/>
    <w:rsid w:val="000724F8"/>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NAW">
    <w:name w:val="Huisstijl-NAW"/>
    <w:basedOn w:val="Standaard"/>
    <w:rsid w:val="00D83ECB"/>
    <w:pPr>
      <w:adjustRightInd w:val="0"/>
      <w:spacing w:line="240" w:lineRule="atLeast"/>
    </w:pPr>
    <w:rPr>
      <w:rFonts w:ascii="Verdana" w:hAnsi="Verdana" w:cs="Verdana"/>
      <w:noProof/>
      <w:sz w:val="18"/>
      <w:szCs w:val="18"/>
      <w:lang w:eastAsia="nl-NL"/>
    </w:rPr>
  </w:style>
  <w:style w:type="paragraph" w:styleId="Voetnoottekst">
    <w:name w:val="footnote text"/>
    <w:basedOn w:val="Standaard"/>
    <w:semiHidden/>
    <w:rsid w:val="0088461B"/>
    <w:rPr>
      <w:sz w:val="20"/>
      <w:szCs w:val="20"/>
    </w:rPr>
  </w:style>
  <w:style w:type="character" w:styleId="Voetnootmarkering">
    <w:name w:val="footnote reference"/>
    <w:semiHidden/>
    <w:rsid w:val="0088461B"/>
    <w:rPr>
      <w:rFonts w:cs="Times New Roman"/>
      <w:vertAlign w:val="superscript"/>
    </w:rPr>
  </w:style>
  <w:style w:type="paragraph" w:styleId="Plattetekst2">
    <w:name w:val="Body Text 2"/>
    <w:basedOn w:val="Standaard"/>
    <w:rsid w:val="00F9615B"/>
    <w:rPr>
      <w:rFonts w:ascii="CG Times (E1)" w:hAnsi="CG Times (E1)"/>
      <w:sz w:val="22"/>
      <w:szCs w:val="20"/>
      <w:lang w:eastAsia="en-US"/>
    </w:rPr>
  </w:style>
  <w:style w:type="table" w:styleId="Tabelraster">
    <w:name w:val="Table Grid"/>
    <w:basedOn w:val="Standaardtabel"/>
    <w:rsid w:val="001A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77C2"/>
    <w:pPr>
      <w:ind w:left="720"/>
      <w:contextualSpacing/>
    </w:pPr>
  </w:style>
  <w:style w:type="paragraph" w:styleId="Koptekst">
    <w:name w:val="header"/>
    <w:basedOn w:val="Standaard"/>
    <w:link w:val="KoptekstChar"/>
    <w:rsid w:val="00762973"/>
    <w:pPr>
      <w:tabs>
        <w:tab w:val="center" w:pos="4513"/>
        <w:tab w:val="right" w:pos="9026"/>
      </w:tabs>
    </w:pPr>
  </w:style>
  <w:style w:type="character" w:customStyle="1" w:styleId="KoptekstChar">
    <w:name w:val="Koptekst Char"/>
    <w:basedOn w:val="Standaardalinea-lettertype"/>
    <w:link w:val="Koptekst"/>
    <w:rsid w:val="00762973"/>
    <w:rPr>
      <w:sz w:val="24"/>
      <w:szCs w:val="24"/>
      <w:lang w:eastAsia="zh-CN"/>
    </w:rPr>
  </w:style>
  <w:style w:type="paragraph" w:styleId="Voettekst">
    <w:name w:val="footer"/>
    <w:basedOn w:val="Standaard"/>
    <w:link w:val="VoettekstChar"/>
    <w:uiPriority w:val="99"/>
    <w:rsid w:val="00762973"/>
    <w:pPr>
      <w:tabs>
        <w:tab w:val="center" w:pos="4513"/>
        <w:tab w:val="right" w:pos="9026"/>
      </w:tabs>
    </w:pPr>
  </w:style>
  <w:style w:type="character" w:customStyle="1" w:styleId="VoettekstChar">
    <w:name w:val="Voettekst Char"/>
    <w:basedOn w:val="Standaardalinea-lettertype"/>
    <w:link w:val="Voettekst"/>
    <w:uiPriority w:val="99"/>
    <w:rsid w:val="00762973"/>
    <w:rPr>
      <w:sz w:val="24"/>
      <w:szCs w:val="24"/>
      <w:lang w:eastAsia="zh-CN"/>
    </w:rPr>
  </w:style>
  <w:style w:type="paragraph" w:styleId="Ballontekst">
    <w:name w:val="Balloon Text"/>
    <w:basedOn w:val="Standaard"/>
    <w:link w:val="BallontekstChar"/>
    <w:rsid w:val="00762973"/>
    <w:rPr>
      <w:rFonts w:ascii="Tahoma" w:hAnsi="Tahoma" w:cs="Tahoma"/>
      <w:sz w:val="16"/>
      <w:szCs w:val="16"/>
    </w:rPr>
  </w:style>
  <w:style w:type="character" w:customStyle="1" w:styleId="BallontekstChar">
    <w:name w:val="Ballontekst Char"/>
    <w:basedOn w:val="Standaardalinea-lettertype"/>
    <w:link w:val="Ballontekst"/>
    <w:rsid w:val="00762973"/>
    <w:rPr>
      <w:rFonts w:ascii="Tahoma" w:hAnsi="Tahoma" w:cs="Tahoma"/>
      <w:sz w:val="16"/>
      <w:szCs w:val="16"/>
      <w:lang w:eastAsia="zh-CN"/>
    </w:rPr>
  </w:style>
  <w:style w:type="paragraph" w:customStyle="1" w:styleId="Default">
    <w:name w:val="Default"/>
    <w:rsid w:val="00DA6050"/>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C34AE8"/>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Geenafstand">
    <w:name w:val="No Spacing"/>
    <w:uiPriority w:val="1"/>
    <w:qFormat/>
    <w:rsid w:val="00667643"/>
    <w:rPr>
      <w:rFonts w:ascii="Verdana" w:eastAsiaTheme="minorHAnsi" w:hAnsi="Verdana" w:cstheme="minorBidi"/>
      <w:sz w:val="18"/>
      <w:szCs w:val="22"/>
      <w:lang w:eastAsia="en-US"/>
    </w:rPr>
  </w:style>
  <w:style w:type="character" w:styleId="Hyperlink">
    <w:name w:val="Hyperlink"/>
    <w:basedOn w:val="Standaardalinea-lettertype"/>
    <w:rsid w:val="001A3DD5"/>
    <w:rPr>
      <w:color w:val="0000FF" w:themeColor="hyperlink"/>
      <w:u w:val="single"/>
    </w:rPr>
  </w:style>
  <w:style w:type="character" w:styleId="GevolgdeHyperlink">
    <w:name w:val="FollowedHyperlink"/>
    <w:basedOn w:val="Standaardalinea-lettertype"/>
    <w:rsid w:val="00451D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902ED"/>
    <w:rPr>
      <w:sz w:val="24"/>
      <w:szCs w:val="24"/>
      <w:lang w:eastAsia="zh-CN"/>
    </w:rPr>
  </w:style>
  <w:style w:type="paragraph" w:styleId="Kop2">
    <w:name w:val="heading 2"/>
    <w:basedOn w:val="Standaard"/>
    <w:next w:val="Standaard"/>
    <w:qFormat/>
    <w:rsid w:val="000724F8"/>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NAW">
    <w:name w:val="Huisstijl-NAW"/>
    <w:basedOn w:val="Standaard"/>
    <w:rsid w:val="00D83ECB"/>
    <w:pPr>
      <w:adjustRightInd w:val="0"/>
      <w:spacing w:line="240" w:lineRule="atLeast"/>
    </w:pPr>
    <w:rPr>
      <w:rFonts w:ascii="Verdana" w:hAnsi="Verdana" w:cs="Verdana"/>
      <w:noProof/>
      <w:sz w:val="18"/>
      <w:szCs w:val="18"/>
      <w:lang w:eastAsia="nl-NL"/>
    </w:rPr>
  </w:style>
  <w:style w:type="paragraph" w:styleId="Voetnoottekst">
    <w:name w:val="footnote text"/>
    <w:basedOn w:val="Standaard"/>
    <w:semiHidden/>
    <w:rsid w:val="0088461B"/>
    <w:rPr>
      <w:sz w:val="20"/>
      <w:szCs w:val="20"/>
    </w:rPr>
  </w:style>
  <w:style w:type="character" w:styleId="Voetnootmarkering">
    <w:name w:val="footnote reference"/>
    <w:semiHidden/>
    <w:rsid w:val="0088461B"/>
    <w:rPr>
      <w:rFonts w:cs="Times New Roman"/>
      <w:vertAlign w:val="superscript"/>
    </w:rPr>
  </w:style>
  <w:style w:type="paragraph" w:styleId="Plattetekst2">
    <w:name w:val="Body Text 2"/>
    <w:basedOn w:val="Standaard"/>
    <w:rsid w:val="00F9615B"/>
    <w:rPr>
      <w:rFonts w:ascii="CG Times (E1)" w:hAnsi="CG Times (E1)"/>
      <w:sz w:val="22"/>
      <w:szCs w:val="20"/>
      <w:lang w:eastAsia="en-US"/>
    </w:rPr>
  </w:style>
  <w:style w:type="table" w:styleId="Tabelraster">
    <w:name w:val="Table Grid"/>
    <w:basedOn w:val="Standaardtabel"/>
    <w:rsid w:val="001A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77C2"/>
    <w:pPr>
      <w:ind w:left="720"/>
      <w:contextualSpacing/>
    </w:pPr>
  </w:style>
  <w:style w:type="paragraph" w:styleId="Koptekst">
    <w:name w:val="header"/>
    <w:basedOn w:val="Standaard"/>
    <w:link w:val="KoptekstChar"/>
    <w:rsid w:val="00762973"/>
    <w:pPr>
      <w:tabs>
        <w:tab w:val="center" w:pos="4513"/>
        <w:tab w:val="right" w:pos="9026"/>
      </w:tabs>
    </w:pPr>
  </w:style>
  <w:style w:type="character" w:customStyle="1" w:styleId="KoptekstChar">
    <w:name w:val="Koptekst Char"/>
    <w:basedOn w:val="Standaardalinea-lettertype"/>
    <w:link w:val="Koptekst"/>
    <w:rsid w:val="00762973"/>
    <w:rPr>
      <w:sz w:val="24"/>
      <w:szCs w:val="24"/>
      <w:lang w:eastAsia="zh-CN"/>
    </w:rPr>
  </w:style>
  <w:style w:type="paragraph" w:styleId="Voettekst">
    <w:name w:val="footer"/>
    <w:basedOn w:val="Standaard"/>
    <w:link w:val="VoettekstChar"/>
    <w:uiPriority w:val="99"/>
    <w:rsid w:val="00762973"/>
    <w:pPr>
      <w:tabs>
        <w:tab w:val="center" w:pos="4513"/>
        <w:tab w:val="right" w:pos="9026"/>
      </w:tabs>
    </w:pPr>
  </w:style>
  <w:style w:type="character" w:customStyle="1" w:styleId="VoettekstChar">
    <w:name w:val="Voettekst Char"/>
    <w:basedOn w:val="Standaardalinea-lettertype"/>
    <w:link w:val="Voettekst"/>
    <w:uiPriority w:val="99"/>
    <w:rsid w:val="00762973"/>
    <w:rPr>
      <w:sz w:val="24"/>
      <w:szCs w:val="24"/>
      <w:lang w:eastAsia="zh-CN"/>
    </w:rPr>
  </w:style>
  <w:style w:type="paragraph" w:styleId="Ballontekst">
    <w:name w:val="Balloon Text"/>
    <w:basedOn w:val="Standaard"/>
    <w:link w:val="BallontekstChar"/>
    <w:rsid w:val="00762973"/>
    <w:rPr>
      <w:rFonts w:ascii="Tahoma" w:hAnsi="Tahoma" w:cs="Tahoma"/>
      <w:sz w:val="16"/>
      <w:szCs w:val="16"/>
    </w:rPr>
  </w:style>
  <w:style w:type="character" w:customStyle="1" w:styleId="BallontekstChar">
    <w:name w:val="Ballontekst Char"/>
    <w:basedOn w:val="Standaardalinea-lettertype"/>
    <w:link w:val="Ballontekst"/>
    <w:rsid w:val="00762973"/>
    <w:rPr>
      <w:rFonts w:ascii="Tahoma" w:hAnsi="Tahoma" w:cs="Tahoma"/>
      <w:sz w:val="16"/>
      <w:szCs w:val="16"/>
      <w:lang w:eastAsia="zh-CN"/>
    </w:rPr>
  </w:style>
  <w:style w:type="paragraph" w:customStyle="1" w:styleId="Default">
    <w:name w:val="Default"/>
    <w:rsid w:val="00DA6050"/>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C34AE8"/>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Geenafstand">
    <w:name w:val="No Spacing"/>
    <w:uiPriority w:val="1"/>
    <w:qFormat/>
    <w:rsid w:val="00667643"/>
    <w:rPr>
      <w:rFonts w:ascii="Verdana" w:eastAsiaTheme="minorHAnsi" w:hAnsi="Verdana" w:cstheme="minorBidi"/>
      <w:sz w:val="18"/>
      <w:szCs w:val="22"/>
      <w:lang w:eastAsia="en-US"/>
    </w:rPr>
  </w:style>
  <w:style w:type="character" w:styleId="Hyperlink">
    <w:name w:val="Hyperlink"/>
    <w:basedOn w:val="Standaardalinea-lettertype"/>
    <w:rsid w:val="001A3DD5"/>
    <w:rPr>
      <w:color w:val="0000FF" w:themeColor="hyperlink"/>
      <w:u w:val="single"/>
    </w:rPr>
  </w:style>
  <w:style w:type="character" w:styleId="GevolgdeHyperlink">
    <w:name w:val="FollowedHyperlink"/>
    <w:basedOn w:val="Standaardalinea-lettertype"/>
    <w:rsid w:val="00451D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725564159">
      <w:bodyDiv w:val="1"/>
      <w:marLeft w:val="0"/>
      <w:marRight w:val="0"/>
      <w:marTop w:val="0"/>
      <w:marBottom w:val="0"/>
      <w:divBdr>
        <w:top w:val="none" w:sz="0" w:space="0" w:color="auto"/>
        <w:left w:val="none" w:sz="0" w:space="0" w:color="auto"/>
        <w:bottom w:val="none" w:sz="0" w:space="0" w:color="auto"/>
        <w:right w:val="none" w:sz="0" w:space="0" w:color="auto"/>
      </w:divBdr>
    </w:div>
    <w:div w:id="1738430349">
      <w:bodyDiv w:val="1"/>
      <w:marLeft w:val="0"/>
      <w:marRight w:val="0"/>
      <w:marTop w:val="0"/>
      <w:marBottom w:val="0"/>
      <w:divBdr>
        <w:top w:val="none" w:sz="0" w:space="0" w:color="auto"/>
        <w:left w:val="none" w:sz="0" w:space="0" w:color="auto"/>
        <w:bottom w:val="none" w:sz="0" w:space="0" w:color="auto"/>
        <w:right w:val="none" w:sz="0" w:space="0" w:color="auto"/>
      </w:divBdr>
    </w:div>
    <w:div w:id="20454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Excel_97-2003_Worksheet1.xls"/><Relationship Id="rId18" Type="http://schemas.openxmlformats.org/officeDocument/2006/relationships/image" Target="media/image4.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oleObject" Target="embeddings/Microsoft_Excel_97-2003_Worksheet5.xls"/><Relationship Id="rId34"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oleObject" Target="embeddings/Microsoft_Excel_97-2003_Worksheet3.xls"/><Relationship Id="rId25" Type="http://schemas.openxmlformats.org/officeDocument/2006/relationships/hyperlink" Target="http://www.tweedekamer.nl/kamerstukken/detail?id=2014D42473"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yperlink" Target="https://zoek.officielebekendmakingen.nl/kst-34000-2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zoek.officielebekendmakingen.nl/kst-34000-22.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Microsoft_Excel_97-2003_Worksheet2.xls"/><Relationship Id="rId23" Type="http://schemas.openxmlformats.org/officeDocument/2006/relationships/oleObject" Target="embeddings/Microsoft_Excel_97-2003_Worksheet6.xls"/><Relationship Id="rId28" Type="http://schemas.openxmlformats.org/officeDocument/2006/relationships/hyperlink" Target="http://www.tweedekamer.nl/kamerstukken/detail?id=2014D42473"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oleObject" Target="embeddings/Microsoft_Excel_97-2003_Worksheet4.xls"/><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Excel_97-2003_Worksheet7.xls"/><Relationship Id="rId30" Type="http://schemas.openxmlformats.org/officeDocument/2006/relationships/hyperlink" Target="http://www.rijksoverheid.nl/documenten-en-publicaties/kamerstukken/2015/02/27/kamerbrief-over-de-versterkingen-in-de-veiligheidsketen.html"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4A9A9-496A-4D3B-899B-AD0B17DB4DC6}"/>
</file>

<file path=customXml/itemProps2.xml><?xml version="1.0" encoding="utf-8"?>
<ds:datastoreItem xmlns:ds="http://schemas.openxmlformats.org/officeDocument/2006/customXml" ds:itemID="{F643A04F-490B-487D-AC76-E80283FD7D00}"/>
</file>

<file path=customXml/itemProps3.xml><?xml version="1.0" encoding="utf-8"?>
<ds:datastoreItem xmlns:ds="http://schemas.openxmlformats.org/officeDocument/2006/customXml" ds:itemID="{F446BF47-1567-4B47-96F8-D4D45BB52887}"/>
</file>

<file path=customXml/itemProps4.xml><?xml version="1.0" encoding="utf-8"?>
<ds:datastoreItem xmlns:ds="http://schemas.openxmlformats.org/officeDocument/2006/customXml" ds:itemID="{3511EE2F-5B9E-4DCD-9997-F4C5068413BE}"/>
</file>

<file path=docProps/app.xml><?xml version="1.0" encoding="utf-8"?>
<Properties xmlns="http://schemas.openxmlformats.org/officeDocument/2006/extended-properties" xmlns:vt="http://schemas.openxmlformats.org/officeDocument/2006/docPropsVTypes">
  <Template>E527E549</Template>
  <TotalTime>0</TotalTime>
  <Pages>13</Pages>
  <Words>2815</Words>
  <Characters>17168</Characters>
  <Application>Microsoft Office Word</Application>
  <DocSecurity>4</DocSecurity>
  <Lines>143</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VOORSTEL VAN WET</vt:lpstr>
      <vt:lpstr>VOORSTEL VAN WET</vt:lpstr>
    </vt:vector>
  </TitlesOfParts>
  <Company>Ministerie van Buitenlandse Zaken</Company>
  <LinksUpToDate>false</LinksUpToDate>
  <CharactersWithSpaces>19944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 VAN WET</dc:title>
  <dc:creator>Marc H.C. Sprik</dc:creator>
  <cp:lastModifiedBy>Stefano Tamin</cp:lastModifiedBy>
  <cp:revision>2</cp:revision>
  <cp:lastPrinted>2015-06-01T12:50:00Z</cp:lastPrinted>
  <dcterms:created xsi:type="dcterms:W3CDTF">2015-06-01T16:13:00Z</dcterms:created>
  <dcterms:modified xsi:type="dcterms:W3CDTF">2015-06-01T16:13:00Z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Wed Mar 02 08:56:23 CET 2011</vt:lpwstr>
  </property>
  <property fmtid="{D5CDD505-2E9C-101B-9397-08002B2CF9AE}" pid="3" name="jforVersion">
    <vt:lpwstr>jfor V0.7.2rc1 - see http://www.jfor.org</vt:lpwstr>
  </property>
  <property fmtid="{D5CDD505-2E9C-101B-9397-08002B2CF9AE}" pid="4" name="ContentTypeId">
    <vt:lpwstr>0x0101002394C579B2BF72438FFD5DCE97224A3A</vt:lpwstr>
  </property>
</Properties>
</file>