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FC8" w:rsidRPr="005224FD" w:rsidRDefault="00E52FC8" w:rsidP="00E52FC8">
      <w:pPr>
        <w:rPr>
          <w:b/>
          <w:sz w:val="20"/>
          <w:szCs w:val="20"/>
        </w:rPr>
      </w:pPr>
      <w:r w:rsidRPr="005224FD">
        <w:rPr>
          <w:b/>
          <w:sz w:val="20"/>
          <w:szCs w:val="20"/>
        </w:rPr>
        <w:t xml:space="preserve">Wijziging </w:t>
      </w:r>
      <w:r>
        <w:rPr>
          <w:b/>
          <w:sz w:val="20"/>
          <w:szCs w:val="20"/>
        </w:rPr>
        <w:t xml:space="preserve">van de </w:t>
      </w:r>
      <w:r w:rsidRPr="005224FD">
        <w:rPr>
          <w:b/>
          <w:sz w:val="20"/>
          <w:szCs w:val="20"/>
        </w:rPr>
        <w:t xml:space="preserve">begrotingsstaat van </w:t>
      </w:r>
      <w:r>
        <w:rPr>
          <w:b/>
          <w:sz w:val="20"/>
          <w:szCs w:val="20"/>
        </w:rPr>
        <w:t xml:space="preserve">het </w:t>
      </w:r>
      <w:r w:rsidRPr="005224FD">
        <w:rPr>
          <w:b/>
          <w:sz w:val="20"/>
          <w:szCs w:val="20"/>
        </w:rPr>
        <w:t>Diergezondheidsfonds</w:t>
      </w:r>
      <w:r>
        <w:rPr>
          <w:b/>
          <w:sz w:val="20"/>
          <w:szCs w:val="20"/>
        </w:rPr>
        <w:t xml:space="preserve"> (F)</w:t>
      </w:r>
      <w:r w:rsidRPr="005224FD">
        <w:rPr>
          <w:b/>
          <w:sz w:val="20"/>
          <w:szCs w:val="20"/>
        </w:rPr>
        <w:t xml:space="preserve"> voor het jaar 2014 (Tweede suppletoire begroting) </w:t>
      </w:r>
    </w:p>
    <w:p w:rsidR="00E52FC8" w:rsidRDefault="00E52FC8" w:rsidP="00E52FC8">
      <w:pPr>
        <w:spacing w:before="100" w:beforeAutospacing="1" w:after="100" w:afterAutospacing="1" w:line="240" w:lineRule="auto"/>
        <w:rPr>
          <w:b/>
          <w:bCs/>
          <w:sz w:val="24"/>
        </w:rPr>
      </w:pPr>
    </w:p>
    <w:p w:rsidR="00E52FC8" w:rsidRPr="00032BB0" w:rsidRDefault="00E52FC8" w:rsidP="00E52FC8">
      <w:pPr>
        <w:rPr>
          <w:b/>
          <w:sz w:val="20"/>
          <w:szCs w:val="20"/>
        </w:rPr>
      </w:pPr>
      <w:r w:rsidRPr="00032BB0">
        <w:rPr>
          <w:b/>
          <w:sz w:val="20"/>
          <w:szCs w:val="20"/>
        </w:rPr>
        <w:t>MEMORIE VAN TOELICHTING</w:t>
      </w:r>
    </w:p>
    <w:p w:rsidR="00E52FC8" w:rsidRDefault="00E52FC8" w:rsidP="00E52FC8">
      <w:pPr>
        <w:spacing w:before="100" w:beforeAutospacing="1" w:after="100" w:afterAutospacing="1" w:line="240" w:lineRule="auto"/>
        <w:outlineLvl w:val="1"/>
        <w:rPr>
          <w:b/>
          <w:bCs/>
          <w:szCs w:val="18"/>
        </w:rPr>
      </w:pPr>
    </w:p>
    <w:p w:rsidR="00E52FC8" w:rsidRPr="00032BB0" w:rsidRDefault="00E52FC8" w:rsidP="00E52FC8">
      <w:pPr>
        <w:spacing w:before="100" w:beforeAutospacing="1" w:after="100" w:afterAutospacing="1" w:line="240" w:lineRule="auto"/>
        <w:outlineLvl w:val="1"/>
        <w:rPr>
          <w:b/>
          <w:bCs/>
          <w:sz w:val="20"/>
          <w:szCs w:val="20"/>
        </w:rPr>
      </w:pPr>
      <w:r w:rsidRPr="00032BB0">
        <w:rPr>
          <w:b/>
          <w:bCs/>
          <w:sz w:val="20"/>
          <w:szCs w:val="20"/>
        </w:rPr>
        <w:t>A. ARTIKELSGEWIJZE TOELICHTING BIJ HET WETSVOORSTEL</w:t>
      </w:r>
    </w:p>
    <w:p w:rsidR="00E52FC8" w:rsidRDefault="00E52FC8" w:rsidP="00E52FC8">
      <w:pPr>
        <w:spacing w:before="100" w:beforeAutospacing="1" w:after="100" w:afterAutospacing="1" w:line="240" w:lineRule="auto"/>
        <w:outlineLvl w:val="2"/>
        <w:rPr>
          <w:b/>
          <w:bCs/>
          <w:szCs w:val="18"/>
        </w:rPr>
      </w:pPr>
      <w:r>
        <w:rPr>
          <w:b/>
          <w:bCs/>
          <w:szCs w:val="18"/>
        </w:rPr>
        <w:t>Wetsartikel 1</w:t>
      </w:r>
    </w:p>
    <w:p w:rsidR="00E52FC8" w:rsidRDefault="00E52FC8" w:rsidP="00E52FC8">
      <w:pPr>
        <w:spacing w:before="100" w:beforeAutospacing="1" w:after="100" w:afterAutospacing="1" w:line="240" w:lineRule="auto"/>
        <w:outlineLvl w:val="2"/>
        <w:rPr>
          <w:szCs w:val="18"/>
        </w:rPr>
      </w:pPr>
      <w:r>
        <w:t xml:space="preserve">De begrotingsstaat die onderdeel is van de Rijksbegroting, wordt op grond van artikel 1, derde lid, van de Comptabiliteitswet 2001 bij de wet vastgesteld en derhalve ook gewijzigd. Het onderhavige wetsvoorstel strekt ertoe om voor het jaar 2014 wijzigingen aan te brengen in </w:t>
      </w:r>
      <w:r>
        <w:rPr>
          <w:szCs w:val="18"/>
        </w:rPr>
        <w:t>de begrotingsstaat voor het Diergezondheidsfonds.</w:t>
      </w:r>
    </w:p>
    <w:p w:rsidR="00E52FC8" w:rsidRDefault="00E52FC8" w:rsidP="00E52FC8">
      <w:pPr>
        <w:spacing w:line="240" w:lineRule="auto"/>
        <w:rPr>
          <w:szCs w:val="18"/>
        </w:rPr>
      </w:pPr>
      <w:r>
        <w:rPr>
          <w:szCs w:val="18"/>
        </w:rPr>
        <w:t xml:space="preserve">Het in de begrotingsstaat opgenomen begrotingsartikel wordt in onderdeel B van deze memorie van toelichting toegelicht (de zgn. begrotingstoelichting). </w:t>
      </w:r>
    </w:p>
    <w:p w:rsidR="00E52FC8" w:rsidRDefault="00E52FC8" w:rsidP="00E52FC8">
      <w:r>
        <w:br/>
      </w:r>
    </w:p>
    <w:p w:rsidR="00E52FC8" w:rsidRDefault="00E52FC8" w:rsidP="00E52FC8"/>
    <w:p w:rsidR="00E52FC8" w:rsidRDefault="00E52FC8" w:rsidP="00E52FC8"/>
    <w:p w:rsidR="00E52FC8" w:rsidRDefault="00E52FC8" w:rsidP="00E52FC8"/>
    <w:p w:rsidR="00E52FC8" w:rsidRDefault="00E52FC8" w:rsidP="00E52FC8">
      <w:r>
        <w:t>H.G.J. Kamp</w:t>
      </w:r>
    </w:p>
    <w:p w:rsidR="00E52FC8" w:rsidRDefault="00E52FC8" w:rsidP="00E52FC8">
      <w:r>
        <w:t>Minister van Economische Zaken</w:t>
      </w:r>
    </w:p>
    <w:p w:rsidR="00E52FC8" w:rsidRDefault="00E52FC8" w:rsidP="00E52FC8">
      <w:pPr>
        <w:spacing w:before="100" w:beforeAutospacing="1" w:after="100" w:afterAutospacing="1" w:line="240" w:lineRule="auto"/>
        <w:rPr>
          <w:szCs w:val="18"/>
        </w:rPr>
      </w:pPr>
    </w:p>
    <w:p w:rsidR="00E52FC8" w:rsidRDefault="00E52FC8" w:rsidP="00E52FC8">
      <w:pPr>
        <w:spacing w:line="240" w:lineRule="auto"/>
        <w:rPr>
          <w:b/>
        </w:rPr>
      </w:pPr>
      <w:r>
        <w:rPr>
          <w:b/>
        </w:rPr>
        <w:br w:type="page"/>
      </w:r>
    </w:p>
    <w:p w:rsidR="00E52FC8" w:rsidRPr="00032BB0" w:rsidRDefault="00E52FC8" w:rsidP="00E52FC8">
      <w:pPr>
        <w:rPr>
          <w:b/>
          <w:sz w:val="20"/>
          <w:szCs w:val="20"/>
        </w:rPr>
      </w:pPr>
      <w:r w:rsidRPr="00032BB0">
        <w:rPr>
          <w:b/>
          <w:sz w:val="20"/>
          <w:szCs w:val="20"/>
        </w:rPr>
        <w:lastRenderedPageBreak/>
        <w:t>B. BEGROTINGSTOELICHTING</w:t>
      </w:r>
    </w:p>
    <w:p w:rsidR="00E52FC8" w:rsidRDefault="00E52FC8" w:rsidP="00E52FC8">
      <w:pPr>
        <w:rPr>
          <w:b/>
        </w:rPr>
      </w:pPr>
    </w:p>
    <w:p w:rsidR="00E52FC8" w:rsidRDefault="00E52FC8" w:rsidP="00E52FC8">
      <w:pPr>
        <w:rPr>
          <w:b/>
        </w:rPr>
      </w:pPr>
      <w:r>
        <w:rPr>
          <w:b/>
        </w:rPr>
        <w:t xml:space="preserve">Budgettaire gevolgen van beleid, </w:t>
      </w:r>
    </w:p>
    <w:p w:rsidR="00E52FC8" w:rsidRDefault="00E52FC8" w:rsidP="00E52FC8">
      <w:pPr>
        <w:rPr>
          <w:b/>
        </w:rPr>
      </w:pPr>
    </w:p>
    <w:p w:rsidR="00E52FC8" w:rsidRDefault="00E52FC8" w:rsidP="00E52FC8">
      <w:pPr>
        <w:rPr>
          <w:b/>
        </w:rPr>
      </w:pPr>
      <w:r>
        <w:rPr>
          <w:b/>
        </w:rPr>
        <w:t>Beleidsartikel 01 Bewaking en bestrijding van dierziekten en voorkomen en verminderen van welzijnsproblemen (Tweede suppletoire begroting)</w:t>
      </w:r>
    </w:p>
    <w:p w:rsidR="00E52FC8" w:rsidRDefault="00E52FC8" w:rsidP="00E52FC8"/>
    <w:p w:rsidR="00E52FC8" w:rsidRDefault="00E52FC8" w:rsidP="00E52FC8"/>
    <w:p w:rsidR="00E52FC8" w:rsidRPr="007E3AEE" w:rsidRDefault="00E52FC8" w:rsidP="00E52FC8">
      <w:pPr>
        <w:rPr>
          <w:i/>
        </w:rPr>
      </w:pPr>
      <w:r w:rsidRPr="007E3AEE">
        <w:rPr>
          <w:i/>
        </w:rPr>
        <w:t>Bedragen x € 1.000</w:t>
      </w:r>
    </w:p>
    <w:tbl>
      <w:tblPr>
        <w:tblStyle w:val="Tabelraster"/>
        <w:tblW w:w="5000" w:type="pct"/>
        <w:tblLook w:val="01E0" w:firstRow="1" w:lastRow="1" w:firstColumn="1" w:lastColumn="1" w:noHBand="0" w:noVBand="0"/>
      </w:tblPr>
      <w:tblGrid>
        <w:gridCol w:w="2550"/>
        <w:gridCol w:w="1822"/>
        <w:gridCol w:w="1638"/>
        <w:gridCol w:w="1638"/>
        <w:gridCol w:w="1638"/>
      </w:tblGrid>
      <w:tr w:rsidR="00E52FC8" w:rsidTr="00E83CE2">
        <w:tc>
          <w:tcPr>
            <w:tcW w:w="1373" w:type="pct"/>
            <w:tcBorders>
              <w:top w:val="single" w:sz="4" w:space="0" w:color="auto"/>
              <w:left w:val="single" w:sz="4" w:space="0" w:color="auto"/>
              <w:bottom w:val="single" w:sz="4" w:space="0" w:color="auto"/>
              <w:right w:val="single" w:sz="4" w:space="0" w:color="auto"/>
            </w:tcBorders>
          </w:tcPr>
          <w:p w:rsidR="00E52FC8" w:rsidRDefault="00E52FC8" w:rsidP="00E83CE2">
            <w:pPr>
              <w:rPr>
                <w:b/>
                <w:bCs/>
              </w:rPr>
            </w:pPr>
          </w:p>
        </w:tc>
        <w:tc>
          <w:tcPr>
            <w:tcW w:w="981" w:type="pct"/>
            <w:tcBorders>
              <w:top w:val="single" w:sz="4" w:space="0" w:color="auto"/>
              <w:left w:val="single" w:sz="4" w:space="0" w:color="auto"/>
              <w:bottom w:val="single" w:sz="4" w:space="0" w:color="auto"/>
              <w:right w:val="single" w:sz="4" w:space="0" w:color="auto"/>
            </w:tcBorders>
            <w:hideMark/>
          </w:tcPr>
          <w:p w:rsidR="00E52FC8" w:rsidRDefault="00E52FC8" w:rsidP="00E83CE2">
            <w:pPr>
              <w:jc w:val="center"/>
              <w:rPr>
                <w:bCs/>
              </w:rPr>
            </w:pPr>
            <w:r>
              <w:rPr>
                <w:bCs/>
              </w:rPr>
              <w:t xml:space="preserve">Stand </w:t>
            </w:r>
            <w:proofErr w:type="spellStart"/>
            <w:r>
              <w:rPr>
                <w:bCs/>
              </w:rPr>
              <w:t>vastgestelde</w:t>
            </w:r>
            <w:proofErr w:type="spellEnd"/>
            <w:r>
              <w:rPr>
                <w:bCs/>
              </w:rPr>
              <w:t xml:space="preserve"> </w:t>
            </w:r>
            <w:proofErr w:type="spellStart"/>
            <w:r>
              <w:rPr>
                <w:bCs/>
              </w:rPr>
              <w:t>begroting</w:t>
            </w:r>
            <w:proofErr w:type="spellEnd"/>
            <w:r>
              <w:rPr>
                <w:bCs/>
              </w:rPr>
              <w:t xml:space="preserve"> </w:t>
            </w:r>
          </w:p>
        </w:tc>
        <w:tc>
          <w:tcPr>
            <w:tcW w:w="882" w:type="pct"/>
            <w:tcBorders>
              <w:top w:val="single" w:sz="4" w:space="0" w:color="auto"/>
              <w:left w:val="single" w:sz="4" w:space="0" w:color="auto"/>
              <w:bottom w:val="single" w:sz="4" w:space="0" w:color="auto"/>
              <w:right w:val="single" w:sz="4" w:space="0" w:color="auto"/>
            </w:tcBorders>
            <w:hideMark/>
          </w:tcPr>
          <w:p w:rsidR="00E52FC8" w:rsidRDefault="00E52FC8" w:rsidP="00E83CE2">
            <w:pPr>
              <w:jc w:val="center"/>
              <w:rPr>
                <w:bCs/>
              </w:rPr>
            </w:pPr>
            <w:r>
              <w:rPr>
                <w:bCs/>
              </w:rPr>
              <w:t>Stand 1</w:t>
            </w:r>
            <w:r>
              <w:rPr>
                <w:bCs/>
                <w:vertAlign w:val="superscript"/>
              </w:rPr>
              <w:t>e</w:t>
            </w:r>
            <w:r>
              <w:rPr>
                <w:bCs/>
              </w:rPr>
              <w:t xml:space="preserve"> </w:t>
            </w:r>
            <w:proofErr w:type="spellStart"/>
            <w:r>
              <w:rPr>
                <w:bCs/>
              </w:rPr>
              <w:t>suppletoire</w:t>
            </w:r>
            <w:proofErr w:type="spellEnd"/>
            <w:r>
              <w:rPr>
                <w:bCs/>
              </w:rPr>
              <w:t xml:space="preserve"> </w:t>
            </w:r>
            <w:proofErr w:type="spellStart"/>
            <w:r>
              <w:rPr>
                <w:bCs/>
              </w:rPr>
              <w:t>begroting</w:t>
            </w:r>
            <w:proofErr w:type="spellEnd"/>
          </w:p>
        </w:tc>
        <w:tc>
          <w:tcPr>
            <w:tcW w:w="882" w:type="pct"/>
            <w:tcBorders>
              <w:top w:val="single" w:sz="4" w:space="0" w:color="auto"/>
              <w:left w:val="single" w:sz="4" w:space="0" w:color="auto"/>
              <w:bottom w:val="single" w:sz="4" w:space="0" w:color="auto"/>
              <w:right w:val="single" w:sz="4" w:space="0" w:color="auto"/>
            </w:tcBorders>
            <w:hideMark/>
          </w:tcPr>
          <w:p w:rsidR="00E52FC8" w:rsidRDefault="00E52FC8" w:rsidP="00E83CE2">
            <w:pPr>
              <w:jc w:val="center"/>
              <w:rPr>
                <w:bCs/>
              </w:rPr>
            </w:pPr>
            <w:proofErr w:type="spellStart"/>
            <w:r>
              <w:rPr>
                <w:bCs/>
              </w:rPr>
              <w:t>Mutaties</w:t>
            </w:r>
            <w:proofErr w:type="spellEnd"/>
            <w:r>
              <w:rPr>
                <w:bCs/>
              </w:rPr>
              <w:t xml:space="preserve"> 2e </w:t>
            </w:r>
            <w:proofErr w:type="spellStart"/>
            <w:r>
              <w:rPr>
                <w:bCs/>
              </w:rPr>
              <w:t>suppletoire</w:t>
            </w:r>
            <w:proofErr w:type="spellEnd"/>
            <w:r>
              <w:rPr>
                <w:bCs/>
              </w:rPr>
              <w:t xml:space="preserve"> </w:t>
            </w:r>
            <w:proofErr w:type="spellStart"/>
            <w:r>
              <w:rPr>
                <w:bCs/>
              </w:rPr>
              <w:t>begroting</w:t>
            </w:r>
            <w:proofErr w:type="spellEnd"/>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center"/>
              <w:rPr>
                <w:bCs/>
              </w:rPr>
            </w:pPr>
            <w:r>
              <w:rPr>
                <w:bCs/>
              </w:rPr>
              <w:t>Stand 2</w:t>
            </w:r>
            <w:r>
              <w:rPr>
                <w:bCs/>
                <w:vertAlign w:val="superscript"/>
              </w:rPr>
              <w:t>e</w:t>
            </w:r>
            <w:r>
              <w:rPr>
                <w:bCs/>
              </w:rPr>
              <w:t xml:space="preserve"> </w:t>
            </w:r>
            <w:proofErr w:type="spellStart"/>
            <w:r>
              <w:rPr>
                <w:bCs/>
              </w:rPr>
              <w:t>suppletoire</w:t>
            </w:r>
            <w:proofErr w:type="spellEnd"/>
            <w:r>
              <w:rPr>
                <w:bCs/>
              </w:rPr>
              <w:t xml:space="preserve"> </w:t>
            </w:r>
            <w:proofErr w:type="spellStart"/>
            <w:r>
              <w:rPr>
                <w:bCs/>
              </w:rPr>
              <w:t>begroting</w:t>
            </w:r>
            <w:proofErr w:type="spellEnd"/>
          </w:p>
        </w:tc>
      </w:tr>
      <w:tr w:rsidR="00E52FC8" w:rsidTr="00E83CE2">
        <w:tc>
          <w:tcPr>
            <w:tcW w:w="1373" w:type="pct"/>
            <w:tcBorders>
              <w:top w:val="single" w:sz="4" w:space="0" w:color="auto"/>
              <w:left w:val="single" w:sz="4" w:space="0" w:color="auto"/>
              <w:bottom w:val="single" w:sz="4" w:space="0" w:color="auto"/>
              <w:right w:val="single" w:sz="4" w:space="0" w:color="auto"/>
            </w:tcBorders>
          </w:tcPr>
          <w:p w:rsidR="00E52FC8" w:rsidRDefault="00E52FC8" w:rsidP="00E83CE2">
            <w:pPr>
              <w:rPr>
                <w:b/>
                <w:bCs/>
              </w:rPr>
            </w:pPr>
          </w:p>
        </w:tc>
        <w:tc>
          <w:tcPr>
            <w:tcW w:w="981" w:type="pct"/>
            <w:tcBorders>
              <w:top w:val="single" w:sz="4" w:space="0" w:color="auto"/>
              <w:left w:val="single" w:sz="4" w:space="0" w:color="auto"/>
              <w:bottom w:val="single" w:sz="4" w:space="0" w:color="auto"/>
              <w:right w:val="single" w:sz="4" w:space="0" w:color="auto"/>
            </w:tcBorders>
          </w:tcPr>
          <w:p w:rsidR="00E52FC8" w:rsidRDefault="00E52FC8" w:rsidP="00E83CE2">
            <w:pPr>
              <w:jc w:val="center"/>
              <w:rPr>
                <w:bCs/>
              </w:rPr>
            </w:pPr>
            <w:r>
              <w:rPr>
                <w:bCs/>
              </w:rPr>
              <w:t>(1)</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center"/>
              <w:rPr>
                <w:bCs/>
              </w:rPr>
            </w:pPr>
            <w:r>
              <w:rPr>
                <w:bCs/>
              </w:rPr>
              <w:t>(2)</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center"/>
              <w:rPr>
                <w:bCs/>
              </w:rPr>
            </w:pPr>
            <w:r>
              <w:rPr>
                <w:bCs/>
              </w:rPr>
              <w:t>(3)</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center"/>
              <w:rPr>
                <w:bCs/>
              </w:rPr>
            </w:pPr>
            <w:r>
              <w:rPr>
                <w:bCs/>
              </w:rPr>
              <w:t>(4)=(2+3)</w:t>
            </w:r>
          </w:p>
        </w:tc>
      </w:tr>
      <w:tr w:rsidR="00E52FC8" w:rsidTr="00E83CE2">
        <w:tc>
          <w:tcPr>
            <w:tcW w:w="1373" w:type="pct"/>
            <w:tcBorders>
              <w:top w:val="single" w:sz="4" w:space="0" w:color="auto"/>
              <w:left w:val="single" w:sz="4" w:space="0" w:color="auto"/>
              <w:bottom w:val="single" w:sz="4" w:space="0" w:color="auto"/>
              <w:right w:val="single" w:sz="4" w:space="0" w:color="auto"/>
            </w:tcBorders>
            <w:hideMark/>
          </w:tcPr>
          <w:p w:rsidR="00E52FC8" w:rsidRDefault="00E52FC8" w:rsidP="00E83CE2">
            <w:pPr>
              <w:rPr>
                <w:b/>
              </w:rPr>
            </w:pPr>
            <w:proofErr w:type="spellStart"/>
            <w:r>
              <w:rPr>
                <w:b/>
              </w:rPr>
              <w:t>Verplichtingen</w:t>
            </w:r>
            <w:proofErr w:type="spellEnd"/>
          </w:p>
        </w:tc>
        <w:tc>
          <w:tcPr>
            <w:tcW w:w="981" w:type="pct"/>
            <w:tcBorders>
              <w:top w:val="single" w:sz="4" w:space="0" w:color="auto"/>
              <w:left w:val="single" w:sz="4" w:space="0" w:color="auto"/>
              <w:bottom w:val="single" w:sz="4" w:space="0" w:color="auto"/>
              <w:right w:val="single" w:sz="4" w:space="0" w:color="auto"/>
            </w:tcBorders>
            <w:hideMark/>
          </w:tcPr>
          <w:p w:rsidR="00E52FC8" w:rsidRDefault="00E52FC8" w:rsidP="00E83CE2">
            <w:pPr>
              <w:jc w:val="right"/>
              <w:rPr>
                <w:b/>
              </w:rPr>
            </w:pPr>
            <w:r>
              <w:rPr>
                <w:b/>
              </w:rPr>
              <w:t>10.900</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rPr>
                <w:b/>
              </w:rPr>
            </w:pPr>
            <w:r>
              <w:rPr>
                <w:b/>
              </w:rPr>
              <w:t>20.194</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rPr>
                <w:b/>
              </w:rPr>
            </w:pPr>
            <w:r>
              <w:rPr>
                <w:b/>
              </w:rPr>
              <w:t>2.172</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rPr>
                <w:b/>
              </w:rPr>
            </w:pPr>
            <w:r>
              <w:rPr>
                <w:b/>
              </w:rPr>
              <w:t>22.366</w:t>
            </w:r>
          </w:p>
        </w:tc>
      </w:tr>
      <w:tr w:rsidR="00E52FC8" w:rsidTr="00E83CE2">
        <w:tc>
          <w:tcPr>
            <w:tcW w:w="1373" w:type="pct"/>
            <w:tcBorders>
              <w:top w:val="single" w:sz="4" w:space="0" w:color="auto"/>
              <w:left w:val="single" w:sz="4" w:space="0" w:color="auto"/>
              <w:bottom w:val="single" w:sz="4" w:space="0" w:color="auto"/>
              <w:right w:val="single" w:sz="4" w:space="0" w:color="auto"/>
            </w:tcBorders>
            <w:hideMark/>
          </w:tcPr>
          <w:p w:rsidR="00E52FC8" w:rsidRDefault="00E52FC8" w:rsidP="00E83CE2">
            <w:pPr>
              <w:rPr>
                <w:b/>
              </w:rPr>
            </w:pPr>
            <w:proofErr w:type="spellStart"/>
            <w:r>
              <w:rPr>
                <w:b/>
              </w:rPr>
              <w:t>Uitgaven</w:t>
            </w:r>
            <w:proofErr w:type="spellEnd"/>
          </w:p>
        </w:tc>
        <w:tc>
          <w:tcPr>
            <w:tcW w:w="981" w:type="pct"/>
            <w:tcBorders>
              <w:top w:val="single" w:sz="4" w:space="0" w:color="auto"/>
              <w:left w:val="single" w:sz="4" w:space="0" w:color="auto"/>
              <w:bottom w:val="single" w:sz="4" w:space="0" w:color="auto"/>
              <w:right w:val="single" w:sz="4" w:space="0" w:color="auto"/>
            </w:tcBorders>
            <w:hideMark/>
          </w:tcPr>
          <w:p w:rsidR="00E52FC8" w:rsidRDefault="00E52FC8" w:rsidP="00E83CE2">
            <w:pPr>
              <w:jc w:val="right"/>
              <w:rPr>
                <w:b/>
              </w:rPr>
            </w:pPr>
            <w:r>
              <w:rPr>
                <w:b/>
              </w:rPr>
              <w:t>10.900</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rPr>
                <w:b/>
              </w:rPr>
            </w:pPr>
            <w:r>
              <w:rPr>
                <w:b/>
              </w:rPr>
              <w:t>20.194</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rPr>
                <w:b/>
              </w:rPr>
            </w:pPr>
            <w:r>
              <w:rPr>
                <w:b/>
              </w:rPr>
              <w:t>2.172</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rPr>
                <w:b/>
              </w:rPr>
            </w:pPr>
            <w:r>
              <w:rPr>
                <w:b/>
              </w:rPr>
              <w:t>22.366</w:t>
            </w:r>
          </w:p>
        </w:tc>
      </w:tr>
      <w:tr w:rsidR="00E52FC8" w:rsidTr="00E83CE2">
        <w:tc>
          <w:tcPr>
            <w:tcW w:w="1373" w:type="pct"/>
            <w:tcBorders>
              <w:top w:val="single" w:sz="4" w:space="0" w:color="auto"/>
              <w:left w:val="single" w:sz="4" w:space="0" w:color="auto"/>
              <w:bottom w:val="single" w:sz="4" w:space="0" w:color="auto"/>
              <w:right w:val="single" w:sz="4" w:space="0" w:color="auto"/>
            </w:tcBorders>
            <w:hideMark/>
          </w:tcPr>
          <w:p w:rsidR="00E52FC8" w:rsidRDefault="00E52FC8" w:rsidP="00E83CE2">
            <w:proofErr w:type="spellStart"/>
            <w:r>
              <w:t>waarvan</w:t>
            </w:r>
            <w:proofErr w:type="spellEnd"/>
            <w:r>
              <w:t xml:space="preserve"> </w:t>
            </w:r>
            <w:proofErr w:type="spellStart"/>
            <w:r>
              <w:t>juridisch</w:t>
            </w:r>
            <w:proofErr w:type="spellEnd"/>
            <w:r>
              <w:t xml:space="preserve"> </w:t>
            </w:r>
            <w:proofErr w:type="spellStart"/>
            <w:r>
              <w:t>verplicht</w:t>
            </w:r>
            <w:proofErr w:type="spellEnd"/>
          </w:p>
        </w:tc>
        <w:tc>
          <w:tcPr>
            <w:tcW w:w="981" w:type="pct"/>
            <w:tcBorders>
              <w:top w:val="single" w:sz="4" w:space="0" w:color="auto"/>
              <w:left w:val="single" w:sz="4" w:space="0" w:color="auto"/>
              <w:bottom w:val="single" w:sz="4" w:space="0" w:color="auto"/>
              <w:right w:val="single" w:sz="4" w:space="0" w:color="auto"/>
            </w:tcBorders>
            <w:hideMark/>
          </w:tcPr>
          <w:p w:rsidR="00E52FC8" w:rsidRDefault="00E52FC8" w:rsidP="00E83CE2">
            <w:pPr>
              <w:jc w:val="right"/>
            </w:pPr>
            <w:r>
              <w:t>100%</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rPr>
                <w:b/>
              </w:rPr>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rPr>
                <w:b/>
              </w:rPr>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rPr>
                <w:b/>
              </w:rPr>
            </w:pPr>
          </w:p>
        </w:tc>
      </w:tr>
      <w:tr w:rsidR="00E52FC8" w:rsidTr="00E83CE2">
        <w:tc>
          <w:tcPr>
            <w:tcW w:w="1373" w:type="pct"/>
            <w:tcBorders>
              <w:top w:val="single" w:sz="4" w:space="0" w:color="auto"/>
              <w:left w:val="single" w:sz="4" w:space="0" w:color="auto"/>
              <w:bottom w:val="single" w:sz="4" w:space="0" w:color="auto"/>
              <w:right w:val="single" w:sz="4" w:space="0" w:color="auto"/>
            </w:tcBorders>
          </w:tcPr>
          <w:p w:rsidR="00E52FC8" w:rsidRDefault="00E52FC8" w:rsidP="00E83CE2">
            <w:pPr>
              <w:rPr>
                <w:i/>
              </w:rPr>
            </w:pPr>
          </w:p>
        </w:tc>
        <w:tc>
          <w:tcPr>
            <w:tcW w:w="981"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r>
      <w:tr w:rsidR="00E52FC8" w:rsidTr="00E83CE2">
        <w:tc>
          <w:tcPr>
            <w:tcW w:w="1373" w:type="pct"/>
            <w:tcBorders>
              <w:top w:val="single" w:sz="4" w:space="0" w:color="auto"/>
              <w:left w:val="single" w:sz="4" w:space="0" w:color="auto"/>
              <w:bottom w:val="single" w:sz="4" w:space="0" w:color="auto"/>
              <w:right w:val="single" w:sz="4" w:space="0" w:color="auto"/>
            </w:tcBorders>
            <w:hideMark/>
          </w:tcPr>
          <w:p w:rsidR="00E52FC8" w:rsidRDefault="00E52FC8" w:rsidP="00E83CE2">
            <w:pPr>
              <w:rPr>
                <w:b/>
                <w:i/>
              </w:rPr>
            </w:pPr>
            <w:proofErr w:type="spellStart"/>
            <w:r>
              <w:rPr>
                <w:b/>
                <w:i/>
              </w:rPr>
              <w:t>Opdrachten</w:t>
            </w:r>
            <w:proofErr w:type="spellEnd"/>
          </w:p>
        </w:tc>
        <w:tc>
          <w:tcPr>
            <w:tcW w:w="981" w:type="pct"/>
            <w:tcBorders>
              <w:top w:val="single" w:sz="4" w:space="0" w:color="auto"/>
              <w:left w:val="single" w:sz="4" w:space="0" w:color="auto"/>
              <w:bottom w:val="single" w:sz="4" w:space="0" w:color="auto"/>
              <w:right w:val="single" w:sz="4" w:space="0" w:color="auto"/>
            </w:tcBorders>
            <w:hideMark/>
          </w:tcPr>
          <w:p w:rsidR="00E52FC8" w:rsidRDefault="00E52FC8" w:rsidP="00E83CE2">
            <w:pPr>
              <w:jc w:val="right"/>
            </w:pPr>
            <w:r>
              <w:rPr>
                <w:b/>
              </w:rPr>
              <w:t>10.900</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r>
              <w:rPr>
                <w:b/>
              </w:rPr>
              <w:t>20.194</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rPr>
                <w:b/>
              </w:rPr>
            </w:pPr>
            <w:r>
              <w:rPr>
                <w:b/>
              </w:rPr>
              <w:t>2.172</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rPr>
                <w:b/>
              </w:rPr>
            </w:pPr>
            <w:r>
              <w:rPr>
                <w:b/>
              </w:rPr>
              <w:t>22.366</w:t>
            </w:r>
          </w:p>
        </w:tc>
      </w:tr>
      <w:tr w:rsidR="00E52FC8" w:rsidTr="00E83CE2">
        <w:tc>
          <w:tcPr>
            <w:tcW w:w="1373" w:type="pct"/>
            <w:tcBorders>
              <w:top w:val="single" w:sz="4" w:space="0" w:color="auto"/>
              <w:left w:val="single" w:sz="4" w:space="0" w:color="auto"/>
              <w:bottom w:val="single" w:sz="4" w:space="0" w:color="auto"/>
              <w:right w:val="single" w:sz="4" w:space="0" w:color="auto"/>
            </w:tcBorders>
            <w:hideMark/>
          </w:tcPr>
          <w:p w:rsidR="00E52FC8" w:rsidRDefault="00E52FC8" w:rsidP="00E83CE2">
            <w:proofErr w:type="spellStart"/>
            <w:r>
              <w:t>Bewaking</w:t>
            </w:r>
            <w:proofErr w:type="spellEnd"/>
            <w:r>
              <w:t xml:space="preserve"> van </w:t>
            </w:r>
            <w:proofErr w:type="spellStart"/>
            <w:r>
              <w:t>dierziekten</w:t>
            </w:r>
            <w:proofErr w:type="spellEnd"/>
            <w:r>
              <w:t xml:space="preserve"> (U1.11)</w:t>
            </w:r>
          </w:p>
        </w:tc>
        <w:tc>
          <w:tcPr>
            <w:tcW w:w="981" w:type="pct"/>
            <w:tcBorders>
              <w:top w:val="single" w:sz="4" w:space="0" w:color="auto"/>
              <w:left w:val="single" w:sz="4" w:space="0" w:color="auto"/>
              <w:bottom w:val="single" w:sz="4" w:space="0" w:color="auto"/>
              <w:right w:val="single" w:sz="4" w:space="0" w:color="auto"/>
            </w:tcBorders>
            <w:hideMark/>
          </w:tcPr>
          <w:p w:rsidR="00E52FC8" w:rsidRDefault="00E52FC8" w:rsidP="00E83CE2">
            <w:pPr>
              <w:jc w:val="right"/>
            </w:pPr>
            <w:r>
              <w:t>4.200</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r>
              <w:t>4.200</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r>
              <w:t>238</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r>
              <w:t>4.438</w:t>
            </w:r>
          </w:p>
        </w:tc>
      </w:tr>
      <w:tr w:rsidR="00E52FC8" w:rsidTr="00E83CE2">
        <w:tc>
          <w:tcPr>
            <w:tcW w:w="1373" w:type="pct"/>
            <w:tcBorders>
              <w:top w:val="single" w:sz="4" w:space="0" w:color="auto"/>
              <w:left w:val="single" w:sz="4" w:space="0" w:color="auto"/>
              <w:bottom w:val="single" w:sz="4" w:space="0" w:color="auto"/>
              <w:right w:val="single" w:sz="4" w:space="0" w:color="auto"/>
            </w:tcBorders>
            <w:hideMark/>
          </w:tcPr>
          <w:p w:rsidR="00E52FC8" w:rsidRDefault="00E52FC8" w:rsidP="00E83CE2">
            <w:proofErr w:type="spellStart"/>
            <w:r>
              <w:t>Bestrijding</w:t>
            </w:r>
            <w:proofErr w:type="spellEnd"/>
            <w:r>
              <w:t xml:space="preserve"> van </w:t>
            </w:r>
            <w:proofErr w:type="spellStart"/>
            <w:r>
              <w:t>dierziekten</w:t>
            </w:r>
            <w:proofErr w:type="spellEnd"/>
            <w:r>
              <w:t xml:space="preserve"> (U1.12)</w:t>
            </w:r>
          </w:p>
        </w:tc>
        <w:tc>
          <w:tcPr>
            <w:tcW w:w="981" w:type="pct"/>
            <w:tcBorders>
              <w:top w:val="single" w:sz="4" w:space="0" w:color="auto"/>
              <w:left w:val="single" w:sz="4" w:space="0" w:color="auto"/>
              <w:bottom w:val="single" w:sz="4" w:space="0" w:color="auto"/>
              <w:right w:val="single" w:sz="4" w:space="0" w:color="auto"/>
            </w:tcBorders>
            <w:hideMark/>
          </w:tcPr>
          <w:p w:rsidR="00E52FC8" w:rsidRDefault="00E52FC8" w:rsidP="00E83CE2">
            <w:pPr>
              <w:jc w:val="right"/>
            </w:pPr>
            <w:r>
              <w:t>6.700</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r>
              <w:t>15.994</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r>
              <w:t>1.934</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r>
              <w:t>17.928</w:t>
            </w:r>
          </w:p>
        </w:tc>
      </w:tr>
      <w:tr w:rsidR="00E52FC8" w:rsidTr="00E83CE2">
        <w:tc>
          <w:tcPr>
            <w:tcW w:w="1373" w:type="pct"/>
            <w:tcBorders>
              <w:top w:val="single" w:sz="4" w:space="0" w:color="auto"/>
              <w:left w:val="single" w:sz="4" w:space="0" w:color="auto"/>
              <w:bottom w:val="single" w:sz="4" w:space="0" w:color="auto"/>
              <w:right w:val="single" w:sz="4" w:space="0" w:color="auto"/>
            </w:tcBorders>
            <w:hideMark/>
          </w:tcPr>
          <w:p w:rsidR="00E52FC8" w:rsidRDefault="00E52FC8" w:rsidP="00E83CE2">
            <w:proofErr w:type="spellStart"/>
            <w:r>
              <w:t>Voorkomen</w:t>
            </w:r>
            <w:proofErr w:type="spellEnd"/>
            <w:r>
              <w:t xml:space="preserve"> en </w:t>
            </w:r>
            <w:proofErr w:type="spellStart"/>
            <w:r>
              <w:t>verminderen</w:t>
            </w:r>
            <w:proofErr w:type="spellEnd"/>
            <w:r>
              <w:t xml:space="preserve"> van </w:t>
            </w:r>
            <w:proofErr w:type="spellStart"/>
            <w:r>
              <w:t>welzijnsproblemen</w:t>
            </w:r>
            <w:proofErr w:type="spellEnd"/>
            <w:r>
              <w:t xml:space="preserve"> (U1.13)</w:t>
            </w:r>
          </w:p>
        </w:tc>
        <w:tc>
          <w:tcPr>
            <w:tcW w:w="981"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r>
      <w:tr w:rsidR="00E52FC8" w:rsidTr="00E83CE2">
        <w:tc>
          <w:tcPr>
            <w:tcW w:w="1373" w:type="pct"/>
            <w:tcBorders>
              <w:top w:val="single" w:sz="4" w:space="0" w:color="auto"/>
              <w:left w:val="single" w:sz="4" w:space="0" w:color="auto"/>
              <w:bottom w:val="single" w:sz="4" w:space="0" w:color="auto"/>
              <w:right w:val="single" w:sz="4" w:space="0" w:color="auto"/>
            </w:tcBorders>
            <w:hideMark/>
          </w:tcPr>
          <w:p w:rsidR="00E52FC8" w:rsidRDefault="00E52FC8" w:rsidP="00E83CE2">
            <w:proofErr w:type="spellStart"/>
            <w:r>
              <w:t>Overig</w:t>
            </w:r>
            <w:proofErr w:type="spellEnd"/>
            <w:r>
              <w:t xml:space="preserve"> (U1.14)</w:t>
            </w:r>
          </w:p>
        </w:tc>
        <w:tc>
          <w:tcPr>
            <w:tcW w:w="981"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r>
      <w:tr w:rsidR="00E52FC8" w:rsidTr="00E83CE2">
        <w:tc>
          <w:tcPr>
            <w:tcW w:w="1373" w:type="pct"/>
            <w:tcBorders>
              <w:top w:val="single" w:sz="4" w:space="0" w:color="auto"/>
              <w:left w:val="single" w:sz="4" w:space="0" w:color="auto"/>
              <w:bottom w:val="single" w:sz="4" w:space="0" w:color="auto"/>
              <w:right w:val="single" w:sz="4" w:space="0" w:color="auto"/>
            </w:tcBorders>
          </w:tcPr>
          <w:p w:rsidR="00E52FC8" w:rsidRDefault="00E52FC8" w:rsidP="00E83CE2"/>
        </w:tc>
        <w:tc>
          <w:tcPr>
            <w:tcW w:w="981"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p>
        </w:tc>
      </w:tr>
      <w:tr w:rsidR="00E52FC8" w:rsidTr="00E83CE2">
        <w:tc>
          <w:tcPr>
            <w:tcW w:w="1373" w:type="pct"/>
            <w:tcBorders>
              <w:top w:val="single" w:sz="4" w:space="0" w:color="auto"/>
              <w:left w:val="single" w:sz="4" w:space="0" w:color="auto"/>
              <w:bottom w:val="single" w:sz="4" w:space="0" w:color="auto"/>
              <w:right w:val="single" w:sz="4" w:space="0" w:color="auto"/>
            </w:tcBorders>
            <w:hideMark/>
          </w:tcPr>
          <w:p w:rsidR="00E52FC8" w:rsidRDefault="00E52FC8" w:rsidP="00E83CE2">
            <w:pPr>
              <w:rPr>
                <w:b/>
              </w:rPr>
            </w:pPr>
            <w:proofErr w:type="spellStart"/>
            <w:r>
              <w:rPr>
                <w:b/>
              </w:rPr>
              <w:t>Ontvangsten</w:t>
            </w:r>
            <w:proofErr w:type="spellEnd"/>
          </w:p>
        </w:tc>
        <w:tc>
          <w:tcPr>
            <w:tcW w:w="981" w:type="pct"/>
            <w:tcBorders>
              <w:top w:val="single" w:sz="4" w:space="0" w:color="auto"/>
              <w:left w:val="single" w:sz="4" w:space="0" w:color="auto"/>
              <w:bottom w:val="single" w:sz="4" w:space="0" w:color="auto"/>
              <w:right w:val="single" w:sz="4" w:space="0" w:color="auto"/>
            </w:tcBorders>
            <w:hideMark/>
          </w:tcPr>
          <w:p w:rsidR="00E52FC8" w:rsidRDefault="00E52FC8" w:rsidP="00E83CE2">
            <w:pPr>
              <w:jc w:val="right"/>
              <w:rPr>
                <w:b/>
              </w:rPr>
            </w:pPr>
            <w:r>
              <w:rPr>
                <w:b/>
              </w:rPr>
              <w:t>10.900</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pPr>
            <w:r>
              <w:rPr>
                <w:b/>
              </w:rPr>
              <w:t>20.194</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rPr>
                <w:b/>
              </w:rPr>
            </w:pPr>
            <w:r>
              <w:rPr>
                <w:b/>
              </w:rPr>
              <w:t>2.172</w:t>
            </w:r>
          </w:p>
        </w:tc>
        <w:tc>
          <w:tcPr>
            <w:tcW w:w="882" w:type="pct"/>
            <w:tcBorders>
              <w:top w:val="single" w:sz="4" w:space="0" w:color="auto"/>
              <w:left w:val="single" w:sz="4" w:space="0" w:color="auto"/>
              <w:bottom w:val="single" w:sz="4" w:space="0" w:color="auto"/>
              <w:right w:val="single" w:sz="4" w:space="0" w:color="auto"/>
            </w:tcBorders>
          </w:tcPr>
          <w:p w:rsidR="00E52FC8" w:rsidRDefault="00E52FC8" w:rsidP="00E83CE2">
            <w:pPr>
              <w:jc w:val="right"/>
              <w:rPr>
                <w:b/>
              </w:rPr>
            </w:pPr>
            <w:r>
              <w:rPr>
                <w:b/>
              </w:rPr>
              <w:t>22.366</w:t>
            </w:r>
          </w:p>
        </w:tc>
      </w:tr>
    </w:tbl>
    <w:p w:rsidR="00E52FC8" w:rsidRDefault="00E52FC8" w:rsidP="00E52FC8">
      <w:pPr>
        <w:rPr>
          <w:szCs w:val="18"/>
        </w:rPr>
      </w:pPr>
    </w:p>
    <w:p w:rsidR="00E52FC8" w:rsidRDefault="00E52FC8" w:rsidP="00E52FC8">
      <w:pPr>
        <w:rPr>
          <w:b/>
        </w:rPr>
      </w:pPr>
      <w:r>
        <w:rPr>
          <w:b/>
        </w:rPr>
        <w:t>Toelichting op de verplichtingen, uitgaven en ontvangsten</w:t>
      </w:r>
    </w:p>
    <w:p w:rsidR="00E52FC8" w:rsidRDefault="00E52FC8" w:rsidP="00E52FC8">
      <w:pPr>
        <w:rPr>
          <w:b/>
        </w:rPr>
      </w:pPr>
    </w:p>
    <w:p w:rsidR="00E52FC8" w:rsidRDefault="00E52FC8" w:rsidP="00E52FC8">
      <w:pPr>
        <w:rPr>
          <w:b/>
          <w:i/>
        </w:rPr>
      </w:pPr>
      <w:r>
        <w:rPr>
          <w:b/>
          <w:i/>
        </w:rPr>
        <w:t>Opdrachten</w:t>
      </w:r>
    </w:p>
    <w:p w:rsidR="00E52FC8" w:rsidRPr="000944F1" w:rsidRDefault="00E52FC8" w:rsidP="00E52FC8">
      <w:pPr>
        <w:spacing w:line="240" w:lineRule="auto"/>
        <w:rPr>
          <w:szCs w:val="18"/>
        </w:rPr>
      </w:pPr>
      <w:r>
        <w:t xml:space="preserve">Het artikelonderdeel “Bewaking van dierziekten” </w:t>
      </w:r>
      <w:r w:rsidRPr="000944F1">
        <w:rPr>
          <w:szCs w:val="18"/>
        </w:rPr>
        <w:t>word</w:t>
      </w:r>
      <w:r>
        <w:rPr>
          <w:szCs w:val="18"/>
        </w:rPr>
        <w:t>t</w:t>
      </w:r>
      <w:r w:rsidRPr="000944F1">
        <w:rPr>
          <w:szCs w:val="18"/>
        </w:rPr>
        <w:t xml:space="preserve"> </w:t>
      </w:r>
      <w:r>
        <w:rPr>
          <w:szCs w:val="18"/>
        </w:rPr>
        <w:t>m</w:t>
      </w:r>
      <w:r w:rsidRPr="000944F1">
        <w:rPr>
          <w:szCs w:val="18"/>
        </w:rPr>
        <w:t xml:space="preserve">et € 0,2 </w:t>
      </w:r>
      <w:proofErr w:type="spellStart"/>
      <w:r w:rsidRPr="000944F1">
        <w:rPr>
          <w:szCs w:val="18"/>
        </w:rPr>
        <w:t>mln</w:t>
      </w:r>
      <w:proofErr w:type="spellEnd"/>
      <w:r w:rsidRPr="000944F1">
        <w:rPr>
          <w:szCs w:val="18"/>
        </w:rPr>
        <w:t xml:space="preserve"> verhoogd  door </w:t>
      </w:r>
      <w:r>
        <w:rPr>
          <w:szCs w:val="18"/>
        </w:rPr>
        <w:t xml:space="preserve">onder andere </w:t>
      </w:r>
      <w:r w:rsidRPr="000944F1">
        <w:rPr>
          <w:szCs w:val="18"/>
        </w:rPr>
        <w:t xml:space="preserve">meeruitgaven aan de monitoring van </w:t>
      </w:r>
      <w:proofErr w:type="spellStart"/>
      <w:r w:rsidRPr="000944F1">
        <w:rPr>
          <w:szCs w:val="18"/>
        </w:rPr>
        <w:t>Brucella</w:t>
      </w:r>
      <w:proofErr w:type="spellEnd"/>
      <w:r w:rsidRPr="000944F1">
        <w:rPr>
          <w:szCs w:val="18"/>
        </w:rPr>
        <w:t xml:space="preserve">. Het </w:t>
      </w:r>
      <w:r>
        <w:rPr>
          <w:szCs w:val="18"/>
        </w:rPr>
        <w:t>artikel</w:t>
      </w:r>
      <w:r w:rsidRPr="000944F1">
        <w:rPr>
          <w:szCs w:val="18"/>
        </w:rPr>
        <w:t xml:space="preserve">onderdeel </w:t>
      </w:r>
      <w:r>
        <w:rPr>
          <w:szCs w:val="18"/>
        </w:rPr>
        <w:t>“Bestrijding van dierziekten”</w:t>
      </w:r>
      <w:r w:rsidRPr="000944F1">
        <w:rPr>
          <w:szCs w:val="18"/>
        </w:rPr>
        <w:t xml:space="preserve"> wordt met € 1,9 </w:t>
      </w:r>
      <w:proofErr w:type="spellStart"/>
      <w:r w:rsidRPr="000944F1">
        <w:rPr>
          <w:szCs w:val="18"/>
        </w:rPr>
        <w:t>mln</w:t>
      </w:r>
      <w:proofErr w:type="spellEnd"/>
      <w:r w:rsidRPr="000944F1">
        <w:rPr>
          <w:szCs w:val="18"/>
        </w:rPr>
        <w:t xml:space="preserve"> verhoogd als gevolg van meeruitgaven aan AI-bestrijding, Q-koortsbestrijding en een hoger bijdrage aan </w:t>
      </w:r>
      <w:proofErr w:type="spellStart"/>
      <w:r w:rsidRPr="000944F1">
        <w:rPr>
          <w:szCs w:val="18"/>
        </w:rPr>
        <w:t>Rendac</w:t>
      </w:r>
      <w:proofErr w:type="spellEnd"/>
      <w:r w:rsidRPr="000944F1">
        <w:rPr>
          <w:szCs w:val="18"/>
        </w:rPr>
        <w:t>.</w:t>
      </w:r>
    </w:p>
    <w:p w:rsidR="00E52FC8" w:rsidRDefault="00E52FC8" w:rsidP="00E52FC8">
      <w:pPr>
        <w:spacing w:line="240" w:lineRule="auto"/>
        <w:rPr>
          <w:szCs w:val="18"/>
        </w:rPr>
      </w:pPr>
    </w:p>
    <w:p w:rsidR="00E52FC8" w:rsidRDefault="00E52FC8" w:rsidP="00E52FC8">
      <w:pPr>
        <w:spacing w:line="240" w:lineRule="auto"/>
        <w:rPr>
          <w:b/>
          <w:i/>
          <w:szCs w:val="18"/>
        </w:rPr>
      </w:pPr>
      <w:r>
        <w:rPr>
          <w:b/>
          <w:i/>
          <w:szCs w:val="18"/>
        </w:rPr>
        <w:t>Ontvangsten</w:t>
      </w:r>
    </w:p>
    <w:p w:rsidR="00E52FC8" w:rsidRDefault="00E52FC8" w:rsidP="00E52FC8">
      <w:pPr>
        <w:spacing w:line="240" w:lineRule="auto"/>
        <w:rPr>
          <w:szCs w:val="18"/>
        </w:rPr>
      </w:pPr>
      <w:r w:rsidRPr="000944F1">
        <w:rPr>
          <w:szCs w:val="18"/>
        </w:rPr>
        <w:t xml:space="preserve">Tegenover de </w:t>
      </w:r>
      <w:r>
        <w:rPr>
          <w:szCs w:val="18"/>
        </w:rPr>
        <w:t xml:space="preserve">genoemde </w:t>
      </w:r>
      <w:r w:rsidRPr="000944F1">
        <w:rPr>
          <w:szCs w:val="18"/>
        </w:rPr>
        <w:t>hogere uitgaven staan hogere ontvangsten van de Produ</w:t>
      </w:r>
      <w:r>
        <w:rPr>
          <w:szCs w:val="18"/>
        </w:rPr>
        <w:t>c</w:t>
      </w:r>
      <w:r w:rsidRPr="000944F1">
        <w:rPr>
          <w:szCs w:val="18"/>
        </w:rPr>
        <w:t>tschappen</w:t>
      </w:r>
      <w:r>
        <w:rPr>
          <w:szCs w:val="18"/>
        </w:rPr>
        <w:t xml:space="preserve"> en van het Ministerie van EZ van dezelfde omvang</w:t>
      </w:r>
      <w:r w:rsidRPr="000944F1">
        <w:rPr>
          <w:szCs w:val="18"/>
        </w:rPr>
        <w:t>.</w:t>
      </w:r>
    </w:p>
    <w:p w:rsidR="00E52FC8" w:rsidRDefault="00E52FC8" w:rsidP="00E52FC8">
      <w:pPr>
        <w:spacing w:line="240" w:lineRule="auto"/>
        <w:rPr>
          <w:szCs w:val="18"/>
        </w:rPr>
      </w:pPr>
    </w:p>
    <w:p w:rsidR="00E52FC8" w:rsidRPr="000944F1" w:rsidRDefault="00E52FC8" w:rsidP="00E52FC8">
      <w:pPr>
        <w:spacing w:line="240" w:lineRule="auto"/>
        <w:rPr>
          <w:szCs w:val="18"/>
        </w:rPr>
      </w:pPr>
    </w:p>
    <w:p w:rsidR="00E52FC8" w:rsidRPr="00C15531" w:rsidRDefault="00E52FC8" w:rsidP="00E52FC8"/>
    <w:p w:rsidR="00E52FC8" w:rsidRPr="00C15531" w:rsidRDefault="00E52FC8" w:rsidP="00E52FC8">
      <w:pPr>
        <w:rPr>
          <w:b/>
          <w:i/>
        </w:rPr>
      </w:pPr>
    </w:p>
    <w:p w:rsidR="00E52FC8" w:rsidRDefault="00E52FC8" w:rsidP="00E52FC8">
      <w:pPr>
        <w:rPr>
          <w:b/>
        </w:rPr>
      </w:pPr>
    </w:p>
    <w:p w:rsidR="00E52FC8" w:rsidRDefault="00E52FC8" w:rsidP="00E52FC8">
      <w:pPr>
        <w:rPr>
          <w:b/>
        </w:rPr>
      </w:pPr>
    </w:p>
    <w:p w:rsidR="00E52FC8" w:rsidRPr="00097AE2" w:rsidRDefault="00E52FC8" w:rsidP="00E52FC8"/>
    <w:p w:rsidR="009E7070" w:rsidRDefault="009E7070">
      <w:bookmarkStart w:id="0" w:name="_GoBack"/>
      <w:bookmarkEnd w:id="0"/>
    </w:p>
    <w:sectPr w:rsidR="009E7070" w:rsidSect="00E6384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C8"/>
    <w:rsid w:val="00485333"/>
    <w:rsid w:val="004F79F1"/>
    <w:rsid w:val="009E7070"/>
    <w:rsid w:val="00A54391"/>
    <w:rsid w:val="00E52F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2FC8"/>
    <w:pPr>
      <w:spacing w:line="240" w:lineRule="atLeast"/>
    </w:pPr>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52FC8"/>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2FC8"/>
    <w:pPr>
      <w:spacing w:line="240" w:lineRule="atLeast"/>
    </w:pPr>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52FC8"/>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C0487-1D48-4660-B64A-4760A3843739}"/>
</file>

<file path=customXml/itemProps2.xml><?xml version="1.0" encoding="utf-8"?>
<ds:datastoreItem xmlns:ds="http://schemas.openxmlformats.org/officeDocument/2006/customXml" ds:itemID="{E01F343E-004E-440E-B43D-FD7DA0805251}"/>
</file>

<file path=customXml/itemProps3.xml><?xml version="1.0" encoding="utf-8"?>
<ds:datastoreItem xmlns:ds="http://schemas.openxmlformats.org/officeDocument/2006/customXml" ds:itemID="{05A9276B-D51C-4EAD-A8A4-9CF7F2EECFB8}"/>
</file>

<file path=docProps/app.xml><?xml version="1.0" encoding="utf-8"?>
<Properties xmlns="http://schemas.openxmlformats.org/officeDocument/2006/extended-properties" xmlns:vt="http://schemas.openxmlformats.org/officeDocument/2006/docPropsVTypes">
  <Template>985CC5C3.dotm</Template>
  <TotalTime>0</TotalTime>
  <Pages>2</Pages>
  <Words>265</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2014-11-28T13:09:00Z</dcterms:created>
  <dcterms:modified xsi:type="dcterms:W3CDTF">2014-11-28T13:09:00Z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