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F0" w:rsidRPr="00605FC0" w:rsidRDefault="008321F0" w:rsidP="008321F0">
      <w:pPr>
        <w:pStyle w:val="Kop1"/>
        <w:spacing w:line="210" w:lineRule="atLeast"/>
        <w:rPr>
          <w:sz w:val="16"/>
          <w:szCs w:val="16"/>
        </w:rPr>
      </w:pPr>
      <w:r w:rsidRPr="00457BA2">
        <w:rPr>
          <w:sz w:val="24"/>
          <w:szCs w:val="24"/>
        </w:rPr>
        <w:t>Wijziging van de b</w:t>
      </w:r>
      <w:r>
        <w:rPr>
          <w:sz w:val="24"/>
          <w:szCs w:val="24"/>
        </w:rPr>
        <w:t>egrotingsstaat van het gemeente</w:t>
      </w:r>
      <w:r w:rsidRPr="00457BA2">
        <w:rPr>
          <w:sz w:val="24"/>
          <w:szCs w:val="24"/>
        </w:rPr>
        <w:t xml:space="preserve">fonds voor het jaar </w:t>
      </w:r>
      <w:r>
        <w:rPr>
          <w:sz w:val="24"/>
          <w:szCs w:val="24"/>
        </w:rPr>
        <w:t>2014</w:t>
      </w:r>
      <w:r w:rsidRPr="00457BA2">
        <w:rPr>
          <w:sz w:val="24"/>
          <w:szCs w:val="24"/>
        </w:rPr>
        <w:t xml:space="preserve"> (wijziging samenhangende met de Najaarsnota)</w:t>
      </w:r>
    </w:p>
    <w:p w:rsidR="008321F0" w:rsidRPr="00936D96" w:rsidRDefault="008321F0" w:rsidP="008321F0"/>
    <w:p w:rsidR="008321F0" w:rsidRPr="00605FC0" w:rsidRDefault="008321F0" w:rsidP="008321F0">
      <w:pPr>
        <w:pStyle w:val="Kop1"/>
        <w:spacing w:line="210" w:lineRule="atLeast"/>
        <w:rPr>
          <w:sz w:val="16"/>
          <w:szCs w:val="16"/>
        </w:rPr>
      </w:pPr>
      <w:r>
        <w:rPr>
          <w:noProof/>
          <w:sz w:val="16"/>
          <w:szCs w:val="16"/>
        </w:rPr>
        <w:drawing>
          <wp:inline distT="0" distB="0" distL="0" distR="0">
            <wp:extent cx="3467100" cy="30099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3009900"/>
                    </a:xfrm>
                    <a:prstGeom prst="rect">
                      <a:avLst/>
                    </a:prstGeom>
                    <a:noFill/>
                    <a:ln>
                      <a:noFill/>
                    </a:ln>
                  </pic:spPr>
                </pic:pic>
              </a:graphicData>
            </a:graphic>
          </wp:inline>
        </w:drawing>
      </w:r>
      <w:r w:rsidRPr="00605FC0">
        <w:rPr>
          <w:sz w:val="16"/>
          <w:szCs w:val="16"/>
        </w:rPr>
        <w:br w:type="page"/>
      </w:r>
      <w:r w:rsidRPr="00605FC0">
        <w:rPr>
          <w:sz w:val="16"/>
          <w:szCs w:val="16"/>
        </w:rPr>
        <w:lastRenderedPageBreak/>
        <w:t>A. ARTIKELSGEWIJZE TOELICHTING BIJ HET WETSVOORSTEL</w:t>
      </w:r>
    </w:p>
    <w:p w:rsidR="008321F0" w:rsidRPr="00605FC0" w:rsidRDefault="008321F0" w:rsidP="008321F0">
      <w:pPr>
        <w:pStyle w:val="Kop1"/>
        <w:spacing w:line="210" w:lineRule="atLeast"/>
        <w:rPr>
          <w:sz w:val="16"/>
          <w:szCs w:val="16"/>
        </w:rPr>
      </w:pPr>
      <w:r w:rsidRPr="00605FC0">
        <w:rPr>
          <w:sz w:val="16"/>
          <w:szCs w:val="16"/>
        </w:rPr>
        <w:t xml:space="preserve">Wetsartikel 1 </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De begrotingsstaten die onderdeel uitmaken van de Rijksbegroting, worden op grond van artikel 1, derde lid, van de Comptabiliteitswet 2001 elk afzonderlijk bij de wet vastgesteld en derhalve ook gewijzigd. Het onderhavige wetsvoorstel strekt ertoe om de begrotingsstaat van het gemeentefonds voor het jaar 20</w:t>
      </w:r>
      <w:r>
        <w:rPr>
          <w:rFonts w:ascii="Arial" w:hAnsi="Arial" w:cs="Arial"/>
          <w:sz w:val="16"/>
          <w:szCs w:val="16"/>
        </w:rPr>
        <w:t>14</w:t>
      </w:r>
      <w:r w:rsidRPr="00605FC0">
        <w:rPr>
          <w:rFonts w:ascii="Arial" w:hAnsi="Arial" w:cs="Arial"/>
          <w:sz w:val="16"/>
          <w:szCs w:val="16"/>
        </w:rPr>
        <w:t xml:space="preserve"> te wijzigen.</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Het in die begrotingsstaat opgenomen begrotingsartikel wordt in onderdeel B. van deze memorie van toelichting toegelicht.</w:t>
      </w:r>
    </w:p>
    <w:p w:rsidR="008321F0" w:rsidRPr="00605FC0" w:rsidRDefault="008321F0" w:rsidP="008321F0">
      <w:pPr>
        <w:pStyle w:val="Plattetekst"/>
        <w:spacing w:line="210" w:lineRule="atLeast"/>
        <w:rPr>
          <w:rFonts w:cs="Arial"/>
          <w:sz w:val="16"/>
          <w:szCs w:val="16"/>
        </w:rPr>
      </w:pPr>
    </w:p>
    <w:p w:rsidR="008321F0" w:rsidRPr="00605FC0" w:rsidRDefault="008321F0" w:rsidP="008321F0">
      <w:pPr>
        <w:pStyle w:val="Plattetekst"/>
        <w:spacing w:line="210" w:lineRule="atLeast"/>
        <w:rPr>
          <w:rFonts w:cs="Arial"/>
          <w:sz w:val="16"/>
          <w:szCs w:val="16"/>
        </w:rPr>
      </w:pPr>
      <w:r w:rsidRPr="00605FC0">
        <w:rPr>
          <w:rFonts w:cs="Arial"/>
          <w:sz w:val="16"/>
          <w:szCs w:val="16"/>
        </w:rPr>
        <w:t xml:space="preserve">Wetsartikel 3 </w:t>
      </w:r>
    </w:p>
    <w:p w:rsidR="008321F0" w:rsidRPr="00605FC0" w:rsidRDefault="008321F0" w:rsidP="008321F0">
      <w:pPr>
        <w:spacing w:line="210" w:lineRule="atLeast"/>
        <w:rPr>
          <w:rFonts w:ascii="Arial" w:hAnsi="Arial" w:cs="Arial"/>
          <w:sz w:val="16"/>
          <w:szCs w:val="16"/>
        </w:rPr>
      </w:pPr>
    </w:p>
    <w:p w:rsidR="008321F0" w:rsidRPr="00C94A63" w:rsidRDefault="008321F0" w:rsidP="008321F0">
      <w:pPr>
        <w:spacing w:line="210" w:lineRule="atLeast"/>
        <w:rPr>
          <w:rFonts w:ascii="Arial" w:hAnsi="Arial" w:cs="Arial"/>
          <w:sz w:val="16"/>
          <w:szCs w:val="16"/>
        </w:rPr>
      </w:pPr>
      <w:r w:rsidRPr="00C94A63">
        <w:rPr>
          <w:rFonts w:ascii="Arial" w:hAnsi="Arial" w:cs="Arial"/>
          <w:sz w:val="16"/>
          <w:szCs w:val="16"/>
        </w:rPr>
        <w:t xml:space="preserve">Ingevolge artikel 5, eerste lid van de Financiële-verhoudingswet juncto artikel 6, vierde lid van de Invoeringswet Financiële-verhoudingswet, hebben de gemeenten gezamenlijk recht op een bedrag van </w:t>
      </w:r>
      <w:r w:rsidRPr="008C448D">
        <w:rPr>
          <w:rFonts w:ascii="Arial" w:hAnsi="Arial" w:cs="Arial"/>
          <w:sz w:val="16"/>
          <w:szCs w:val="16"/>
        </w:rPr>
        <w:t xml:space="preserve">€ </w:t>
      </w:r>
      <w:r w:rsidRPr="00413EEB">
        <w:rPr>
          <w:rFonts w:ascii="Arial" w:eastAsiaTheme="minorEastAsia" w:hAnsi="Arial" w:cs="Arial"/>
          <w:bCs/>
          <w:color w:val="000000"/>
          <w:sz w:val="16"/>
          <w:szCs w:val="16"/>
        </w:rPr>
        <w:t>15 606 531 000</w:t>
      </w:r>
      <w:r w:rsidRPr="00627D0F">
        <w:rPr>
          <w:rFonts w:ascii="Arial" w:hAnsi="Arial" w:cs="Arial"/>
          <w:sz w:val="16"/>
          <w:szCs w:val="16"/>
        </w:rPr>
        <w:t xml:space="preserve"> d</w:t>
      </w:r>
      <w:r w:rsidRPr="008C448D">
        <w:rPr>
          <w:rFonts w:ascii="Arial" w:hAnsi="Arial" w:cs="Arial"/>
          <w:sz w:val="16"/>
          <w:szCs w:val="16"/>
        </w:rPr>
        <w:t>at in de begroting als verplichting voor het totaal van de algemene uitkeringen en de aanvullende uitkeringen</w:t>
      </w:r>
      <w:r w:rsidRPr="00C94A63">
        <w:rPr>
          <w:rFonts w:ascii="Arial" w:hAnsi="Arial" w:cs="Arial"/>
          <w:sz w:val="16"/>
          <w:szCs w:val="16"/>
        </w:rPr>
        <w:t xml:space="preserve"> is opgenomen. De verplichtingenbedragen bedoeld in artikel 5, tweede lid van de Financiële-verhoudingswet ter zake integratie-uitkeringen en decentralisatie-uitkeringen zijn respectievelijk €</w:t>
      </w:r>
      <w:r>
        <w:rPr>
          <w:rFonts w:ascii="Arial" w:hAnsi="Arial" w:cs="Arial"/>
          <w:sz w:val="16"/>
          <w:szCs w:val="16"/>
        </w:rPr>
        <w:t xml:space="preserve"> </w:t>
      </w:r>
      <w:r w:rsidRPr="00413EEB">
        <w:rPr>
          <w:rFonts w:ascii="Arial" w:eastAsiaTheme="minorEastAsia" w:hAnsi="Arial" w:cs="Arial"/>
          <w:color w:val="000000"/>
          <w:sz w:val="16"/>
          <w:szCs w:val="16"/>
        </w:rPr>
        <w:t>1 760 891 000</w:t>
      </w:r>
      <w:r w:rsidRPr="00C94A63">
        <w:rPr>
          <w:rFonts w:ascii="Arial" w:hAnsi="Arial" w:cs="Arial"/>
          <w:sz w:val="16"/>
          <w:szCs w:val="16"/>
        </w:rPr>
        <w:t xml:space="preserve"> en €</w:t>
      </w:r>
      <w:r>
        <w:rPr>
          <w:rFonts w:ascii="Arial" w:hAnsi="Arial" w:cs="Arial"/>
          <w:sz w:val="16"/>
          <w:szCs w:val="16"/>
        </w:rPr>
        <w:t xml:space="preserve"> </w:t>
      </w:r>
      <w:r w:rsidRPr="00413EEB">
        <w:rPr>
          <w:rFonts w:ascii="Arial" w:eastAsiaTheme="minorEastAsia" w:hAnsi="Arial" w:cs="Arial"/>
          <w:color w:val="000000"/>
          <w:sz w:val="16"/>
          <w:szCs w:val="16"/>
        </w:rPr>
        <w:t>1 327 331 000</w:t>
      </w:r>
      <w:r w:rsidRPr="00C94A63">
        <w:rPr>
          <w:rFonts w:ascii="Arial" w:hAnsi="Arial" w:cs="Arial"/>
          <w:sz w:val="16"/>
          <w:szCs w:val="16"/>
        </w:rPr>
        <w:t>.</w:t>
      </w:r>
    </w:p>
    <w:p w:rsidR="008321F0" w:rsidRPr="000C128D"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De</w:t>
      </w:r>
      <w:r>
        <w:rPr>
          <w:rFonts w:ascii="Arial" w:hAnsi="Arial" w:cs="Arial"/>
          <w:sz w:val="16"/>
          <w:szCs w:val="16"/>
        </w:rPr>
        <w:t xml:space="preserve"> Minister</w:t>
      </w:r>
      <w:r w:rsidRPr="00605FC0">
        <w:rPr>
          <w:rFonts w:ascii="Arial" w:hAnsi="Arial" w:cs="Arial"/>
          <w:sz w:val="16"/>
          <w:szCs w:val="16"/>
        </w:rPr>
        <w:t xml:space="preserve"> van Binnenlandse Zaken en Koninkrijksrelaties,</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E374A9" w:rsidRDefault="008321F0" w:rsidP="008321F0">
      <w:pPr>
        <w:spacing w:line="210" w:lineRule="atLeast"/>
        <w:rPr>
          <w:rFonts w:ascii="Arial" w:hAnsi="Arial" w:cs="Arial"/>
          <w:sz w:val="16"/>
          <w:szCs w:val="16"/>
          <w:lang w:val="de-DE"/>
        </w:rPr>
      </w:pPr>
      <w:r w:rsidRPr="00E374A9">
        <w:rPr>
          <w:rFonts w:ascii="Arial" w:hAnsi="Arial" w:cs="Arial"/>
          <w:sz w:val="16"/>
          <w:szCs w:val="16"/>
          <w:lang w:val="de-DE"/>
        </w:rPr>
        <w:t xml:space="preserve">R.H.A. </w:t>
      </w:r>
      <w:proofErr w:type="spellStart"/>
      <w:r w:rsidRPr="00E374A9">
        <w:rPr>
          <w:rFonts w:ascii="Arial" w:hAnsi="Arial" w:cs="Arial"/>
          <w:sz w:val="16"/>
          <w:szCs w:val="16"/>
          <w:lang w:val="de-DE"/>
        </w:rPr>
        <w:t>Plasterk</w:t>
      </w:r>
      <w:proofErr w:type="spellEnd"/>
    </w:p>
    <w:p w:rsidR="008321F0" w:rsidRPr="00C94A63" w:rsidRDefault="008321F0" w:rsidP="008321F0">
      <w:pPr>
        <w:spacing w:line="210" w:lineRule="atLeast"/>
        <w:rPr>
          <w:rFonts w:ascii="Arial" w:hAnsi="Arial" w:cs="Arial"/>
          <w:sz w:val="16"/>
          <w:szCs w:val="16"/>
          <w:lang w:val="de-DE"/>
        </w:rPr>
      </w:pPr>
    </w:p>
    <w:p w:rsidR="008321F0" w:rsidRPr="00C94A63" w:rsidRDefault="008321F0" w:rsidP="008321F0">
      <w:pPr>
        <w:spacing w:line="210" w:lineRule="atLeast"/>
        <w:rPr>
          <w:rFonts w:ascii="Arial" w:hAnsi="Arial" w:cs="Arial"/>
          <w:sz w:val="16"/>
          <w:szCs w:val="16"/>
          <w:lang w:val="de-DE"/>
        </w:rPr>
      </w:pPr>
    </w:p>
    <w:p w:rsidR="008321F0" w:rsidRPr="00C94A63" w:rsidRDefault="008321F0" w:rsidP="008321F0">
      <w:pPr>
        <w:spacing w:line="210" w:lineRule="atLeast"/>
        <w:rPr>
          <w:rFonts w:ascii="Arial" w:hAnsi="Arial" w:cs="Arial"/>
          <w:sz w:val="16"/>
          <w:szCs w:val="16"/>
          <w:lang w:val="de-DE"/>
        </w:rPr>
      </w:pP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 xml:space="preserve">De </w:t>
      </w:r>
      <w:r>
        <w:rPr>
          <w:rFonts w:ascii="Arial" w:hAnsi="Arial" w:cs="Arial"/>
          <w:sz w:val="16"/>
          <w:szCs w:val="16"/>
        </w:rPr>
        <w:t>Staatssecretaris</w:t>
      </w:r>
      <w:r w:rsidRPr="00605FC0">
        <w:rPr>
          <w:rFonts w:ascii="Arial" w:hAnsi="Arial" w:cs="Arial"/>
          <w:sz w:val="16"/>
          <w:szCs w:val="16"/>
        </w:rPr>
        <w:t xml:space="preserve"> van Financiën,</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r>
        <w:rPr>
          <w:rFonts w:ascii="Arial" w:hAnsi="Arial" w:cs="Arial"/>
          <w:sz w:val="16"/>
          <w:szCs w:val="16"/>
        </w:rPr>
        <w:t xml:space="preserve">E.D. </w:t>
      </w:r>
      <w:proofErr w:type="spellStart"/>
      <w:r>
        <w:rPr>
          <w:rFonts w:ascii="Arial" w:hAnsi="Arial" w:cs="Arial"/>
          <w:sz w:val="16"/>
          <w:szCs w:val="16"/>
        </w:rPr>
        <w:t>Wiebes</w:t>
      </w:r>
      <w:proofErr w:type="spellEnd"/>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b/>
          <w:sz w:val="16"/>
          <w:szCs w:val="16"/>
        </w:rPr>
      </w:pPr>
      <w:r w:rsidRPr="00605FC0">
        <w:rPr>
          <w:rFonts w:ascii="Arial" w:hAnsi="Arial" w:cs="Arial"/>
          <w:sz w:val="16"/>
          <w:szCs w:val="16"/>
        </w:rPr>
        <w:br w:type="page"/>
      </w:r>
      <w:r w:rsidRPr="00605FC0">
        <w:rPr>
          <w:rFonts w:ascii="Arial" w:hAnsi="Arial" w:cs="Arial"/>
          <w:b/>
          <w:sz w:val="16"/>
          <w:szCs w:val="16"/>
        </w:rPr>
        <w:lastRenderedPageBreak/>
        <w:t>B. BEGROTINGSTOELICHTING</w:t>
      </w:r>
    </w:p>
    <w:p w:rsidR="008321F0" w:rsidRPr="00605FC0" w:rsidRDefault="008321F0" w:rsidP="008321F0">
      <w:pPr>
        <w:spacing w:line="210" w:lineRule="atLeast"/>
        <w:rPr>
          <w:rFonts w:ascii="Arial" w:hAnsi="Arial" w:cs="Arial"/>
          <w:b/>
          <w:sz w:val="16"/>
          <w:szCs w:val="16"/>
        </w:rPr>
      </w:pPr>
    </w:p>
    <w:p w:rsidR="008321F0" w:rsidRPr="00605FC0" w:rsidRDefault="008321F0" w:rsidP="008321F0">
      <w:pPr>
        <w:spacing w:line="210" w:lineRule="atLeast"/>
        <w:rPr>
          <w:rFonts w:ascii="Arial" w:hAnsi="Arial" w:cs="Arial"/>
          <w:sz w:val="16"/>
          <w:szCs w:val="16"/>
        </w:rPr>
      </w:pPr>
      <w:r w:rsidRPr="00605FC0">
        <w:rPr>
          <w:rFonts w:ascii="Arial" w:hAnsi="Arial" w:cs="Arial"/>
          <w:b/>
          <w:sz w:val="16"/>
          <w:szCs w:val="16"/>
        </w:rPr>
        <w:t>1. LEESWIJZER</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pStyle w:val="Plattetekst21"/>
        <w:spacing w:line="210" w:lineRule="atLeast"/>
        <w:ind w:left="0"/>
        <w:rPr>
          <w:rFonts w:cs="Arial"/>
          <w:sz w:val="16"/>
          <w:szCs w:val="16"/>
        </w:rPr>
      </w:pPr>
      <w:r w:rsidRPr="00605FC0">
        <w:rPr>
          <w:rFonts w:cs="Arial"/>
          <w:sz w:val="16"/>
          <w:szCs w:val="16"/>
        </w:rPr>
        <w:t xml:space="preserve">Bij een </w:t>
      </w:r>
      <w:r>
        <w:rPr>
          <w:rFonts w:cs="Arial"/>
          <w:sz w:val="16"/>
          <w:szCs w:val="16"/>
        </w:rPr>
        <w:t>suppletoire</w:t>
      </w:r>
      <w:r w:rsidRPr="00605FC0">
        <w:rPr>
          <w:rFonts w:cs="Arial"/>
          <w:sz w:val="16"/>
          <w:szCs w:val="16"/>
        </w:rPr>
        <w:t xml:space="preserve"> begroting ligt de nadruk niet op de beleidsprioriteiten, zoals in de ontwerpbegroting 20</w:t>
      </w:r>
      <w:r>
        <w:rPr>
          <w:rFonts w:cs="Arial"/>
          <w:sz w:val="16"/>
          <w:szCs w:val="16"/>
        </w:rPr>
        <w:t>14</w:t>
      </w:r>
      <w:r w:rsidRPr="00605FC0">
        <w:rPr>
          <w:rFonts w:cs="Arial"/>
          <w:sz w:val="16"/>
          <w:szCs w:val="16"/>
        </w:rPr>
        <w:t>, maar op de mutaties ten opzichte van deze ontwerpbegroting. De terugkoppeling over het gevoerde beleid in relatie tot de beleidsprioriteiten, zal centraal staan in de financiële verantwoording over 20</w:t>
      </w:r>
      <w:r>
        <w:rPr>
          <w:rFonts w:cs="Arial"/>
          <w:sz w:val="16"/>
          <w:szCs w:val="16"/>
        </w:rPr>
        <w:t>14</w:t>
      </w:r>
      <w:r w:rsidRPr="00605FC0">
        <w:rPr>
          <w:rFonts w:cs="Arial"/>
          <w:sz w:val="16"/>
          <w:szCs w:val="16"/>
        </w:rPr>
        <w:t>.</w:t>
      </w: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 xml:space="preserve">De indeling van deze </w:t>
      </w:r>
      <w:r>
        <w:rPr>
          <w:rFonts w:ascii="Arial" w:hAnsi="Arial" w:cs="Arial"/>
          <w:sz w:val="16"/>
          <w:szCs w:val="16"/>
        </w:rPr>
        <w:t>suppletoire</w:t>
      </w:r>
      <w:r w:rsidRPr="00605FC0">
        <w:rPr>
          <w:rFonts w:ascii="Arial" w:hAnsi="Arial" w:cs="Arial"/>
          <w:sz w:val="16"/>
          <w:szCs w:val="16"/>
        </w:rPr>
        <w:t xml:space="preserve"> begroting is als volgt. Paragraaf 2.1. start met het beschrijven van de beleidsmutaties. Kort zal worden toegelicht wat de omvang en de reden van de uitgavenmutaties is. Vervolgens wordt in paragraaf 2.2. (“het beleidsartikel”), ingegaan op de “budgettaire gevolgen van beleid”. Deze paragraaf geeft inzicht in de integrale uitgaven die samenhangen met de hoofdbeleidsdoelstelling. Hierin worden de veranderingen op artikelonderdeel-niveau belicht. In paragraaf 3.1. worden de mutaties in de verplichtingen, uitgaven en ontvangsten weergegeven vanaf de 1</w:t>
      </w:r>
      <w:r w:rsidRPr="00605FC0">
        <w:rPr>
          <w:rFonts w:ascii="Arial" w:hAnsi="Arial" w:cs="Arial"/>
          <w:sz w:val="16"/>
          <w:szCs w:val="16"/>
          <w:vertAlign w:val="superscript"/>
        </w:rPr>
        <w:t>e</w:t>
      </w:r>
      <w:r w:rsidRPr="00605FC0">
        <w:rPr>
          <w:rFonts w:ascii="Arial" w:hAnsi="Arial" w:cs="Arial"/>
          <w:sz w:val="16"/>
          <w:szCs w:val="16"/>
        </w:rPr>
        <w:t xml:space="preserve"> </w:t>
      </w:r>
      <w:r>
        <w:rPr>
          <w:rFonts w:ascii="Arial" w:hAnsi="Arial" w:cs="Arial"/>
          <w:sz w:val="16"/>
          <w:szCs w:val="16"/>
        </w:rPr>
        <w:t>suppletoire</w:t>
      </w:r>
      <w:r w:rsidRPr="00605FC0">
        <w:rPr>
          <w:rFonts w:ascii="Arial" w:hAnsi="Arial" w:cs="Arial"/>
          <w:sz w:val="16"/>
          <w:szCs w:val="16"/>
        </w:rPr>
        <w:t xml:space="preserve"> begroting. De mutaties die nog niet eerder zijn opgenomen in een begrotingshoofdstuk worden vervolgens toegelicht in paragraaf 3.2. Tot slot wordt in de paragrafen 3.3. en 3.4. ingegaan op respectievelijk de integratie-uitkeringen en de decentralisatie-uitkeringen</w:t>
      </w:r>
    </w:p>
    <w:p w:rsidR="008321F0" w:rsidRPr="00605FC0" w:rsidRDefault="008321F0" w:rsidP="008321F0">
      <w:pPr>
        <w:spacing w:line="210" w:lineRule="atLeast"/>
        <w:rPr>
          <w:rFonts w:ascii="Arial" w:hAnsi="Arial" w:cs="Arial"/>
          <w:b/>
          <w:sz w:val="16"/>
          <w:szCs w:val="16"/>
        </w:rPr>
      </w:pPr>
    </w:p>
    <w:p w:rsidR="008321F0" w:rsidRPr="00605FC0" w:rsidRDefault="008321F0" w:rsidP="008321F0">
      <w:pPr>
        <w:spacing w:line="210" w:lineRule="atLeast"/>
        <w:rPr>
          <w:rFonts w:ascii="Arial" w:hAnsi="Arial" w:cs="Arial"/>
          <w:b/>
          <w:sz w:val="16"/>
          <w:szCs w:val="16"/>
        </w:rPr>
      </w:pPr>
      <w:r w:rsidRPr="00605FC0">
        <w:rPr>
          <w:rFonts w:ascii="Arial" w:hAnsi="Arial" w:cs="Arial"/>
          <w:b/>
          <w:sz w:val="16"/>
          <w:szCs w:val="16"/>
        </w:rPr>
        <w:t>2. DE BELEIDSMUTATIES</w:t>
      </w:r>
    </w:p>
    <w:p w:rsidR="008321F0" w:rsidRPr="00605FC0" w:rsidRDefault="008321F0" w:rsidP="008321F0">
      <w:pPr>
        <w:spacing w:line="210" w:lineRule="atLeast"/>
        <w:rPr>
          <w:rFonts w:ascii="Arial" w:hAnsi="Arial" w:cs="Arial"/>
          <w:b/>
          <w:sz w:val="16"/>
          <w:szCs w:val="16"/>
        </w:rPr>
      </w:pPr>
    </w:p>
    <w:p w:rsidR="008321F0" w:rsidRPr="00605FC0" w:rsidRDefault="008321F0" w:rsidP="008321F0">
      <w:pPr>
        <w:spacing w:line="210" w:lineRule="atLeast"/>
        <w:rPr>
          <w:rFonts w:ascii="Arial" w:hAnsi="Arial" w:cs="Arial"/>
          <w:b/>
          <w:sz w:val="16"/>
          <w:szCs w:val="16"/>
        </w:rPr>
      </w:pPr>
      <w:r w:rsidRPr="00605FC0">
        <w:rPr>
          <w:rFonts w:ascii="Arial" w:hAnsi="Arial" w:cs="Arial"/>
          <w:b/>
          <w:sz w:val="16"/>
          <w:szCs w:val="16"/>
        </w:rPr>
        <w:t>2.1. Overzicht beleidsmutaties</w:t>
      </w:r>
    </w:p>
    <w:p w:rsidR="008321F0" w:rsidRDefault="008321F0" w:rsidP="008321F0">
      <w:pPr>
        <w:spacing w:line="210" w:lineRule="atLeast"/>
        <w:rPr>
          <w:rFonts w:ascii="Arial" w:hAnsi="Arial" w:cs="Arial"/>
          <w:sz w:val="16"/>
          <w:szCs w:val="16"/>
        </w:rPr>
      </w:pPr>
    </w:p>
    <w:p w:rsidR="008321F0" w:rsidRPr="00F03E3F" w:rsidRDefault="008321F0" w:rsidP="008321F0">
      <w:pPr>
        <w:spacing w:line="210" w:lineRule="atLeast"/>
        <w:rPr>
          <w:rFonts w:ascii="Arial" w:hAnsi="Arial" w:cs="Arial"/>
          <w:sz w:val="16"/>
          <w:szCs w:val="16"/>
        </w:rPr>
      </w:pPr>
      <w:r>
        <w:rPr>
          <w:noProof/>
          <w:szCs w:val="16"/>
        </w:rPr>
        <w:lastRenderedPageBreak/>
        <w:drawing>
          <wp:inline distT="0" distB="0" distL="0" distR="0">
            <wp:extent cx="4733925" cy="68103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6810375"/>
                    </a:xfrm>
                    <a:prstGeom prst="rect">
                      <a:avLst/>
                    </a:prstGeom>
                    <a:noFill/>
                    <a:ln>
                      <a:noFill/>
                    </a:ln>
                  </pic:spPr>
                </pic:pic>
              </a:graphicData>
            </a:graphic>
          </wp:inline>
        </w:drawing>
      </w:r>
    </w:p>
    <w:p w:rsidR="008321F0" w:rsidRDefault="008321F0" w:rsidP="008321F0">
      <w:pPr>
        <w:spacing w:line="210" w:lineRule="atLeast"/>
        <w:rPr>
          <w:rFonts w:ascii="Arial" w:hAnsi="Arial" w:cs="Arial"/>
          <w:b/>
          <w:sz w:val="16"/>
          <w:szCs w:val="16"/>
        </w:rPr>
      </w:pPr>
    </w:p>
    <w:p w:rsidR="008321F0" w:rsidRPr="00605FC0" w:rsidRDefault="008321F0" w:rsidP="008321F0">
      <w:pPr>
        <w:spacing w:line="210" w:lineRule="atLeast"/>
        <w:rPr>
          <w:rFonts w:ascii="Arial" w:hAnsi="Arial" w:cs="Arial"/>
          <w:b/>
          <w:sz w:val="16"/>
          <w:szCs w:val="16"/>
        </w:rPr>
      </w:pPr>
      <w:r w:rsidRPr="00605FC0">
        <w:rPr>
          <w:rFonts w:ascii="Arial" w:hAnsi="Arial" w:cs="Arial"/>
          <w:b/>
          <w:sz w:val="16"/>
          <w:szCs w:val="16"/>
        </w:rPr>
        <w:t>2.2. Het beleidsartikel</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In onderstaande tabel worden voor de verplichtingen, de uitgaven en de ontvangsten de budgettaire gevolgen van beleid van het gemeentefonds weergegeven. Hiermee worden de integrale uitgaven die samenhangen met de samengestelde beleidsdoelstelling (het nastreven van een adequate omvang van het gemeentefonds en het nastreven van een adequate verdeling van de middelen over de gemeenten) inzichtelijk gemaakt.</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ind w:left="-567"/>
        <w:rPr>
          <w:rFonts w:ascii="Arial" w:hAnsi="Arial" w:cs="Arial"/>
          <w:sz w:val="16"/>
          <w:szCs w:val="16"/>
        </w:rPr>
      </w:pPr>
      <w:r>
        <w:rPr>
          <w:rFonts w:ascii="Arial" w:hAnsi="Arial" w:cs="Arial"/>
          <w:noProof/>
          <w:sz w:val="16"/>
          <w:szCs w:val="16"/>
        </w:rPr>
        <w:lastRenderedPageBreak/>
        <w:drawing>
          <wp:inline distT="0" distB="0" distL="0" distR="0">
            <wp:extent cx="5019675" cy="39624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3962400"/>
                    </a:xfrm>
                    <a:prstGeom prst="rect">
                      <a:avLst/>
                    </a:prstGeom>
                    <a:noFill/>
                    <a:ln>
                      <a:noFill/>
                    </a:ln>
                  </pic:spPr>
                </pic:pic>
              </a:graphicData>
            </a:graphic>
          </wp:inline>
        </w:drawing>
      </w:r>
    </w:p>
    <w:p w:rsidR="008321F0" w:rsidRDefault="008321F0" w:rsidP="008321F0">
      <w:pPr>
        <w:spacing w:line="210" w:lineRule="atLeast"/>
        <w:rPr>
          <w:rFonts w:ascii="Arial" w:hAnsi="Arial" w:cs="Arial"/>
          <w:sz w:val="16"/>
          <w:szCs w:val="16"/>
        </w:rPr>
      </w:pPr>
    </w:p>
    <w:p w:rsidR="008321F0" w:rsidRPr="001C4AC8" w:rsidRDefault="008321F0" w:rsidP="008321F0">
      <w:pPr>
        <w:spacing w:line="210" w:lineRule="atLeast"/>
        <w:rPr>
          <w:rFonts w:ascii="Arial" w:hAnsi="Arial" w:cs="Arial"/>
          <w:sz w:val="16"/>
          <w:szCs w:val="16"/>
        </w:rPr>
      </w:pPr>
      <w:r w:rsidRPr="00605FC0">
        <w:rPr>
          <w:rFonts w:ascii="Arial" w:hAnsi="Arial" w:cs="Arial"/>
          <w:b/>
          <w:sz w:val="16"/>
          <w:szCs w:val="16"/>
        </w:rPr>
        <w:t>3. HET VERDIEPINGSHOOFDSTUK</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b/>
          <w:sz w:val="16"/>
          <w:szCs w:val="16"/>
        </w:rPr>
      </w:pPr>
      <w:r w:rsidRPr="00605FC0">
        <w:rPr>
          <w:rFonts w:ascii="Arial" w:hAnsi="Arial" w:cs="Arial"/>
          <w:b/>
          <w:sz w:val="16"/>
          <w:szCs w:val="16"/>
        </w:rPr>
        <w:t>3.1. Opbouw verplichtingen, uitgaven en ontvangsten vanaf de 1</w:t>
      </w:r>
      <w:r w:rsidRPr="00605FC0">
        <w:rPr>
          <w:rFonts w:ascii="Arial" w:hAnsi="Arial" w:cs="Arial"/>
          <w:b/>
          <w:sz w:val="16"/>
          <w:szCs w:val="16"/>
          <w:vertAlign w:val="superscript"/>
        </w:rPr>
        <w:t>e</w:t>
      </w:r>
      <w:r w:rsidRPr="00605FC0">
        <w:rPr>
          <w:rFonts w:ascii="Arial" w:hAnsi="Arial" w:cs="Arial"/>
          <w:b/>
          <w:sz w:val="16"/>
          <w:szCs w:val="16"/>
        </w:rPr>
        <w:t xml:space="preserve"> </w:t>
      </w:r>
      <w:r>
        <w:rPr>
          <w:rFonts w:ascii="Arial" w:hAnsi="Arial" w:cs="Arial"/>
          <w:b/>
          <w:sz w:val="16"/>
          <w:szCs w:val="16"/>
        </w:rPr>
        <w:t>suppletoire</w:t>
      </w:r>
      <w:r w:rsidRPr="00605FC0">
        <w:rPr>
          <w:rFonts w:ascii="Arial" w:hAnsi="Arial" w:cs="Arial"/>
          <w:b/>
          <w:sz w:val="16"/>
          <w:szCs w:val="16"/>
        </w:rPr>
        <w:t xml:space="preserve"> begroting</w:t>
      </w:r>
    </w:p>
    <w:p w:rsidR="008321F0" w:rsidRPr="00605FC0" w:rsidRDefault="008321F0" w:rsidP="008321F0">
      <w:pPr>
        <w:spacing w:line="210" w:lineRule="atLeast"/>
        <w:rPr>
          <w:rFonts w:ascii="Arial" w:hAnsi="Arial" w:cs="Arial"/>
          <w:b/>
          <w:sz w:val="16"/>
          <w:szCs w:val="16"/>
        </w:rPr>
      </w:pPr>
    </w:p>
    <w:p w:rsidR="008321F0" w:rsidRPr="00A70C53" w:rsidRDefault="008321F0" w:rsidP="008321F0">
      <w:pPr>
        <w:spacing w:line="210" w:lineRule="atLeast"/>
        <w:rPr>
          <w:rFonts w:ascii="Arial" w:hAnsi="Arial" w:cs="Arial"/>
          <w:i/>
          <w:sz w:val="16"/>
          <w:szCs w:val="16"/>
        </w:rPr>
      </w:pPr>
      <w:r w:rsidRPr="00A70C53">
        <w:rPr>
          <w:rFonts w:ascii="Arial" w:hAnsi="Arial" w:cs="Arial"/>
          <w:i/>
          <w:sz w:val="16"/>
          <w:szCs w:val="16"/>
        </w:rPr>
        <w:t>Verplichtingen</w:t>
      </w:r>
    </w:p>
    <w:p w:rsidR="008321F0" w:rsidRPr="00A70C53" w:rsidRDefault="008321F0" w:rsidP="008321F0">
      <w:pPr>
        <w:spacing w:line="210" w:lineRule="atLeast"/>
        <w:rPr>
          <w:rFonts w:ascii="Arial" w:hAnsi="Arial" w:cs="Arial"/>
          <w:sz w:val="16"/>
          <w:szCs w:val="16"/>
        </w:rPr>
      </w:pPr>
      <w:r w:rsidRPr="00A70C53">
        <w:rPr>
          <w:rFonts w:ascii="Arial" w:hAnsi="Arial" w:cs="Arial"/>
          <w:sz w:val="16"/>
          <w:szCs w:val="16"/>
        </w:rPr>
        <w:t>In dit wetsvoorstel wordt voorgesteld de begroting van de verplichtingen van het gemeentefonds voor het jaar 20</w:t>
      </w:r>
      <w:r>
        <w:rPr>
          <w:rFonts w:ascii="Arial" w:hAnsi="Arial" w:cs="Arial"/>
          <w:sz w:val="16"/>
          <w:szCs w:val="16"/>
        </w:rPr>
        <w:t>14</w:t>
      </w:r>
      <w:r w:rsidRPr="00A70C53">
        <w:rPr>
          <w:rFonts w:ascii="Arial" w:hAnsi="Arial" w:cs="Arial"/>
          <w:sz w:val="16"/>
          <w:szCs w:val="16"/>
        </w:rPr>
        <w:t xml:space="preserve"> met €</w:t>
      </w:r>
      <w:r w:rsidRPr="002A3421">
        <w:rPr>
          <w:rFonts w:ascii="Arial" w:hAnsi="Arial" w:cs="Arial"/>
          <w:color w:val="000000"/>
          <w:sz w:val="16"/>
          <w:szCs w:val="16"/>
        </w:rPr>
        <w:t xml:space="preserve"> </w:t>
      </w:r>
      <w:r w:rsidRPr="00413EEB">
        <w:rPr>
          <w:rFonts w:ascii="Arial" w:eastAsiaTheme="minorEastAsia" w:hAnsi="Arial" w:cs="Arial"/>
          <w:bCs/>
          <w:color w:val="000000"/>
          <w:sz w:val="16"/>
          <w:szCs w:val="16"/>
        </w:rPr>
        <w:t xml:space="preserve"> 277 801</w:t>
      </w:r>
      <w:r w:rsidRPr="002A3421">
        <w:rPr>
          <w:rFonts w:ascii="Arial" w:hAnsi="Arial" w:cs="Arial"/>
          <w:color w:val="000000"/>
          <w:sz w:val="16"/>
          <w:szCs w:val="16"/>
        </w:rPr>
        <w:t xml:space="preserve"> 000</w:t>
      </w:r>
      <w:r w:rsidRPr="00A70C53">
        <w:rPr>
          <w:rFonts w:ascii="Arial" w:hAnsi="Arial" w:cs="Arial"/>
          <w:sz w:val="16"/>
          <w:szCs w:val="16"/>
        </w:rPr>
        <w:t xml:space="preserve"> </w:t>
      </w:r>
      <w:r>
        <w:rPr>
          <w:rFonts w:ascii="Arial" w:hAnsi="Arial" w:cs="Arial"/>
          <w:sz w:val="16"/>
          <w:szCs w:val="16"/>
        </w:rPr>
        <w:t>te muteren</w:t>
      </w:r>
      <w:r w:rsidRPr="00A70C53">
        <w:rPr>
          <w:rFonts w:ascii="Arial" w:hAnsi="Arial" w:cs="Arial"/>
          <w:sz w:val="16"/>
          <w:szCs w:val="16"/>
        </w:rPr>
        <w:t xml:space="preserve"> en te brengen op €</w:t>
      </w:r>
      <w:r>
        <w:rPr>
          <w:rFonts w:ascii="Arial" w:hAnsi="Arial" w:cs="Arial"/>
          <w:sz w:val="16"/>
          <w:szCs w:val="16"/>
        </w:rPr>
        <w:t xml:space="preserve"> </w:t>
      </w:r>
      <w:r w:rsidRPr="00413EEB">
        <w:rPr>
          <w:rFonts w:ascii="Arial" w:eastAsiaTheme="minorEastAsia" w:hAnsi="Arial" w:cs="Arial"/>
          <w:bCs/>
          <w:color w:val="000000"/>
          <w:sz w:val="16"/>
          <w:szCs w:val="16"/>
        </w:rPr>
        <w:t>18 728 415</w:t>
      </w:r>
      <w:r w:rsidRPr="002A3421">
        <w:rPr>
          <w:rFonts w:ascii="Arial" w:hAnsi="Arial" w:cs="Arial"/>
          <w:color w:val="000000"/>
          <w:sz w:val="16"/>
          <w:szCs w:val="16"/>
        </w:rPr>
        <w:t xml:space="preserve"> 000</w:t>
      </w:r>
      <w:r>
        <w:rPr>
          <w:rFonts w:ascii="Arial" w:hAnsi="Arial" w:cs="Arial"/>
          <w:sz w:val="16"/>
          <w:szCs w:val="16"/>
        </w:rPr>
        <w:t>.</w:t>
      </w:r>
    </w:p>
    <w:p w:rsidR="008321F0" w:rsidRPr="00A70C53" w:rsidRDefault="008321F0" w:rsidP="008321F0">
      <w:pPr>
        <w:spacing w:line="210" w:lineRule="atLeast"/>
        <w:rPr>
          <w:rFonts w:ascii="Arial" w:hAnsi="Arial" w:cs="Arial"/>
          <w:sz w:val="16"/>
          <w:szCs w:val="16"/>
        </w:rPr>
      </w:pPr>
      <w:r w:rsidRPr="00A70C53">
        <w:rPr>
          <w:rFonts w:ascii="Arial" w:hAnsi="Arial" w:cs="Arial"/>
          <w:sz w:val="16"/>
          <w:szCs w:val="16"/>
        </w:rPr>
        <w:t>De toelichting bij de mutaties, welke nog niet eerder zijn opgenomen in een begrotingsstuk, die onderdeel vormen van het bedrag van €</w:t>
      </w:r>
      <w:r w:rsidRPr="002A3421">
        <w:rPr>
          <w:rFonts w:ascii="Arial" w:hAnsi="Arial" w:cs="Arial"/>
          <w:color w:val="000000"/>
          <w:sz w:val="16"/>
          <w:szCs w:val="16"/>
        </w:rPr>
        <w:t xml:space="preserve"> </w:t>
      </w:r>
      <w:r w:rsidRPr="00413EEB">
        <w:rPr>
          <w:rFonts w:ascii="Arial" w:eastAsiaTheme="minorEastAsia" w:hAnsi="Arial" w:cs="Arial"/>
          <w:bCs/>
          <w:color w:val="000000"/>
          <w:sz w:val="16"/>
          <w:szCs w:val="16"/>
        </w:rPr>
        <w:t xml:space="preserve"> 277 801</w:t>
      </w:r>
      <w:r w:rsidRPr="002A3421">
        <w:rPr>
          <w:rFonts w:ascii="Arial" w:hAnsi="Arial" w:cs="Arial"/>
          <w:color w:val="000000"/>
          <w:sz w:val="16"/>
          <w:szCs w:val="16"/>
        </w:rPr>
        <w:t xml:space="preserve"> 000</w:t>
      </w:r>
      <w:r w:rsidRPr="00A70C53">
        <w:rPr>
          <w:rFonts w:ascii="Arial" w:hAnsi="Arial" w:cs="Arial"/>
          <w:sz w:val="16"/>
          <w:szCs w:val="16"/>
        </w:rPr>
        <w:t xml:space="preserve"> dat in tabel B2 is vermeld, wordt gegeven in paragraaf 3.2.</w:t>
      </w:r>
    </w:p>
    <w:p w:rsidR="008321F0" w:rsidRPr="00605FC0" w:rsidRDefault="008321F0" w:rsidP="008321F0">
      <w:pPr>
        <w:spacing w:line="210" w:lineRule="atLeast"/>
        <w:rPr>
          <w:rFonts w:ascii="Arial" w:hAnsi="Arial" w:cs="Arial"/>
          <w:b/>
          <w:sz w:val="16"/>
          <w:szCs w:val="16"/>
        </w:rPr>
      </w:pPr>
    </w:p>
    <w:p w:rsidR="008321F0" w:rsidRPr="000D5725" w:rsidRDefault="008321F0" w:rsidP="008321F0">
      <w:pPr>
        <w:spacing w:line="210" w:lineRule="atLeast"/>
        <w:rPr>
          <w:rFonts w:ascii="Arial" w:hAnsi="Arial" w:cs="Arial"/>
          <w:sz w:val="16"/>
          <w:szCs w:val="16"/>
        </w:rPr>
      </w:pPr>
      <w:r>
        <w:rPr>
          <w:rFonts w:ascii="Arial" w:hAnsi="Arial" w:cs="Arial"/>
          <w:noProof/>
          <w:sz w:val="16"/>
          <w:szCs w:val="16"/>
        </w:rPr>
        <w:lastRenderedPageBreak/>
        <w:drawing>
          <wp:inline distT="0" distB="0" distL="0" distR="0">
            <wp:extent cx="4686300" cy="53244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5324475"/>
                    </a:xfrm>
                    <a:prstGeom prst="rect">
                      <a:avLst/>
                    </a:prstGeom>
                    <a:noFill/>
                    <a:ln>
                      <a:noFill/>
                    </a:ln>
                  </pic:spPr>
                </pic:pic>
              </a:graphicData>
            </a:graphic>
          </wp:inline>
        </w:drawing>
      </w:r>
    </w:p>
    <w:p w:rsidR="008321F0" w:rsidRDefault="008321F0" w:rsidP="008321F0">
      <w:pPr>
        <w:spacing w:line="210" w:lineRule="atLeast"/>
        <w:rPr>
          <w:rFonts w:ascii="Arial" w:hAnsi="Arial" w:cs="Arial"/>
          <w:i/>
          <w:sz w:val="16"/>
          <w:szCs w:val="16"/>
        </w:rPr>
      </w:pPr>
    </w:p>
    <w:p w:rsidR="008321F0" w:rsidRPr="00605FC0" w:rsidRDefault="008321F0" w:rsidP="008321F0">
      <w:pPr>
        <w:spacing w:line="210" w:lineRule="atLeast"/>
        <w:rPr>
          <w:rFonts w:ascii="Arial" w:hAnsi="Arial" w:cs="Arial"/>
          <w:i/>
          <w:sz w:val="16"/>
          <w:szCs w:val="16"/>
        </w:rPr>
      </w:pPr>
      <w:r w:rsidRPr="00605FC0">
        <w:rPr>
          <w:rFonts w:ascii="Arial" w:hAnsi="Arial" w:cs="Arial"/>
          <w:i/>
          <w:sz w:val="16"/>
          <w:szCs w:val="16"/>
        </w:rPr>
        <w:t>Uitgaven</w:t>
      </w: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In de onderstaande tabel B3 wordt een overzicht gegeven van de belangrijkste mutaties die zich in de periode vanaf de ontwerpbegroting 20</w:t>
      </w:r>
      <w:r>
        <w:rPr>
          <w:rFonts w:ascii="Arial" w:hAnsi="Arial" w:cs="Arial"/>
          <w:sz w:val="16"/>
          <w:szCs w:val="16"/>
        </w:rPr>
        <w:t>14</w:t>
      </w:r>
      <w:r w:rsidRPr="00605FC0">
        <w:rPr>
          <w:rFonts w:ascii="Arial" w:hAnsi="Arial" w:cs="Arial"/>
          <w:sz w:val="16"/>
          <w:szCs w:val="16"/>
        </w:rPr>
        <w:t xml:space="preserve"> tot en met de tweede suppleto</w:t>
      </w:r>
      <w:r>
        <w:rPr>
          <w:rFonts w:ascii="Arial" w:hAnsi="Arial" w:cs="Arial"/>
          <w:sz w:val="16"/>
          <w:szCs w:val="16"/>
        </w:rPr>
        <w:t>i</w:t>
      </w:r>
      <w:r w:rsidRPr="00605FC0">
        <w:rPr>
          <w:rFonts w:ascii="Arial" w:hAnsi="Arial" w:cs="Arial"/>
          <w:sz w:val="16"/>
          <w:szCs w:val="16"/>
        </w:rPr>
        <w:t>re begroting 20</w:t>
      </w:r>
      <w:r>
        <w:rPr>
          <w:rFonts w:ascii="Arial" w:hAnsi="Arial" w:cs="Arial"/>
          <w:sz w:val="16"/>
          <w:szCs w:val="16"/>
        </w:rPr>
        <w:t>14</w:t>
      </w:r>
      <w:r w:rsidRPr="00605FC0">
        <w:rPr>
          <w:rFonts w:ascii="Arial" w:hAnsi="Arial" w:cs="Arial"/>
          <w:sz w:val="16"/>
          <w:szCs w:val="16"/>
        </w:rPr>
        <w:t xml:space="preserve"> hebben voorgedaan in de uitgaven. De weergegeven mutaties, welke nog niet eerder zijn opgenomen in een begrotingsstuk, worden in paragraaf 3.2 afzonderlijk toegelicht.</w:t>
      </w:r>
    </w:p>
    <w:p w:rsidR="008321F0" w:rsidRPr="00605FC0" w:rsidRDefault="008321F0" w:rsidP="008321F0">
      <w:pPr>
        <w:spacing w:line="210" w:lineRule="atLeast"/>
        <w:rPr>
          <w:rFonts w:ascii="Arial" w:hAnsi="Arial" w:cs="Arial"/>
          <w:sz w:val="16"/>
          <w:szCs w:val="16"/>
        </w:rPr>
      </w:pPr>
    </w:p>
    <w:p w:rsidR="008321F0" w:rsidRPr="0042429B" w:rsidRDefault="008321F0" w:rsidP="008321F0">
      <w:pPr>
        <w:spacing w:line="210" w:lineRule="atLeast"/>
        <w:rPr>
          <w:rFonts w:ascii="Arial" w:hAnsi="Arial" w:cs="Arial"/>
          <w:sz w:val="16"/>
          <w:szCs w:val="16"/>
        </w:rPr>
      </w:pPr>
      <w:r w:rsidRPr="0042429B">
        <w:rPr>
          <w:rFonts w:ascii="Arial" w:hAnsi="Arial" w:cs="Arial"/>
          <w:sz w:val="16"/>
          <w:szCs w:val="16"/>
        </w:rPr>
        <w:t>In dit wetsvoorstel wordt voorgesteld de begroting van de uitgaven van het gemeentefonds voor het jaar 20</w:t>
      </w:r>
      <w:r>
        <w:rPr>
          <w:rFonts w:ascii="Arial" w:hAnsi="Arial" w:cs="Arial"/>
          <w:sz w:val="16"/>
          <w:szCs w:val="16"/>
        </w:rPr>
        <w:t>14</w:t>
      </w:r>
      <w:r w:rsidRPr="0042429B">
        <w:rPr>
          <w:rFonts w:ascii="Arial" w:hAnsi="Arial" w:cs="Arial"/>
          <w:sz w:val="16"/>
          <w:szCs w:val="16"/>
        </w:rPr>
        <w:t xml:space="preserve"> met €</w:t>
      </w:r>
      <w:r w:rsidRPr="002A3421">
        <w:rPr>
          <w:rFonts w:ascii="Arial" w:hAnsi="Arial" w:cs="Arial"/>
          <w:color w:val="000000"/>
          <w:sz w:val="16"/>
          <w:szCs w:val="16"/>
        </w:rPr>
        <w:t xml:space="preserve"> </w:t>
      </w:r>
      <w:r w:rsidRPr="00413EEB">
        <w:rPr>
          <w:rFonts w:ascii="Arial" w:eastAsiaTheme="minorEastAsia" w:hAnsi="Arial" w:cs="Arial"/>
          <w:bCs/>
          <w:color w:val="000000"/>
          <w:sz w:val="16"/>
          <w:szCs w:val="16"/>
        </w:rPr>
        <w:t xml:space="preserve"> 277 801</w:t>
      </w:r>
      <w:r w:rsidRPr="002A3421">
        <w:rPr>
          <w:rFonts w:ascii="Arial" w:hAnsi="Arial" w:cs="Arial"/>
          <w:color w:val="000000"/>
          <w:sz w:val="16"/>
          <w:szCs w:val="16"/>
        </w:rPr>
        <w:t xml:space="preserve"> 000</w:t>
      </w:r>
      <w:r>
        <w:rPr>
          <w:rFonts w:ascii="Arial" w:hAnsi="Arial" w:cs="Arial"/>
          <w:sz w:val="16"/>
          <w:szCs w:val="16"/>
        </w:rPr>
        <w:t xml:space="preserve"> te muteren</w:t>
      </w:r>
      <w:r w:rsidRPr="0042429B">
        <w:rPr>
          <w:rFonts w:ascii="Arial" w:hAnsi="Arial" w:cs="Arial"/>
          <w:sz w:val="16"/>
          <w:szCs w:val="16"/>
        </w:rPr>
        <w:t xml:space="preserve"> en te brengen op €</w:t>
      </w:r>
      <w:r>
        <w:rPr>
          <w:rFonts w:ascii="Arial" w:hAnsi="Arial" w:cs="Arial"/>
          <w:sz w:val="16"/>
          <w:szCs w:val="16"/>
        </w:rPr>
        <w:t xml:space="preserve"> </w:t>
      </w:r>
      <w:r w:rsidRPr="00413EEB">
        <w:rPr>
          <w:rFonts w:ascii="Arial" w:eastAsiaTheme="minorEastAsia" w:hAnsi="Arial" w:cs="Arial"/>
          <w:bCs/>
          <w:color w:val="000000"/>
          <w:sz w:val="16"/>
          <w:szCs w:val="16"/>
        </w:rPr>
        <w:t>18 763 190</w:t>
      </w:r>
      <w:r w:rsidRPr="002A3421">
        <w:rPr>
          <w:rFonts w:ascii="Arial" w:hAnsi="Arial" w:cs="Arial"/>
          <w:color w:val="000000"/>
          <w:sz w:val="16"/>
          <w:szCs w:val="16"/>
        </w:rPr>
        <w:t xml:space="preserve"> 000</w:t>
      </w:r>
      <w:r w:rsidRPr="0042429B">
        <w:rPr>
          <w:rFonts w:ascii="Arial" w:hAnsi="Arial" w:cs="Arial"/>
          <w:sz w:val="16"/>
          <w:szCs w:val="16"/>
        </w:rPr>
        <w:t>.</w:t>
      </w:r>
    </w:p>
    <w:p w:rsidR="008321F0" w:rsidRDefault="008321F0" w:rsidP="008321F0">
      <w:pPr>
        <w:spacing w:line="210" w:lineRule="atLeast"/>
        <w:rPr>
          <w:rFonts w:ascii="Arial" w:hAnsi="Arial" w:cs="Arial"/>
          <w:b/>
          <w:sz w:val="16"/>
          <w:szCs w:val="16"/>
        </w:rPr>
      </w:pPr>
    </w:p>
    <w:p w:rsidR="008321F0" w:rsidRPr="00E73213" w:rsidRDefault="008321F0" w:rsidP="008321F0">
      <w:pPr>
        <w:spacing w:line="210" w:lineRule="atLeast"/>
        <w:rPr>
          <w:rFonts w:ascii="Arial" w:hAnsi="Arial" w:cs="Arial"/>
          <w:b/>
          <w:sz w:val="16"/>
          <w:szCs w:val="16"/>
        </w:rPr>
      </w:pPr>
      <w:r>
        <w:rPr>
          <w:rFonts w:ascii="Arial" w:hAnsi="Arial" w:cs="Arial"/>
          <w:b/>
          <w:noProof/>
          <w:sz w:val="16"/>
          <w:szCs w:val="16"/>
        </w:rPr>
        <w:lastRenderedPageBreak/>
        <w:drawing>
          <wp:inline distT="0" distB="0" distL="0" distR="0">
            <wp:extent cx="4562475" cy="53911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5391150"/>
                    </a:xfrm>
                    <a:prstGeom prst="rect">
                      <a:avLst/>
                    </a:prstGeom>
                    <a:noFill/>
                    <a:ln>
                      <a:noFill/>
                    </a:ln>
                  </pic:spPr>
                </pic:pic>
              </a:graphicData>
            </a:graphic>
          </wp:inline>
        </w:drawing>
      </w:r>
    </w:p>
    <w:p w:rsidR="008321F0" w:rsidRDefault="008321F0" w:rsidP="008321F0">
      <w:pPr>
        <w:spacing w:line="210" w:lineRule="atLeast"/>
        <w:rPr>
          <w:rFonts w:ascii="Arial" w:hAnsi="Arial" w:cs="Arial"/>
          <w:i/>
          <w:sz w:val="16"/>
          <w:szCs w:val="16"/>
        </w:rPr>
      </w:pPr>
    </w:p>
    <w:p w:rsidR="008321F0" w:rsidRPr="00605FC0" w:rsidRDefault="008321F0" w:rsidP="008321F0">
      <w:pPr>
        <w:spacing w:line="210" w:lineRule="atLeast"/>
        <w:rPr>
          <w:rFonts w:ascii="Arial" w:hAnsi="Arial" w:cs="Arial"/>
          <w:i/>
          <w:sz w:val="16"/>
          <w:szCs w:val="16"/>
        </w:rPr>
      </w:pPr>
      <w:r w:rsidRPr="00605FC0">
        <w:rPr>
          <w:rFonts w:ascii="Arial" w:hAnsi="Arial" w:cs="Arial"/>
          <w:i/>
          <w:sz w:val="16"/>
          <w:szCs w:val="16"/>
        </w:rPr>
        <w:t>Ontvangsten</w:t>
      </w:r>
    </w:p>
    <w:p w:rsidR="008321F0" w:rsidRPr="0042429B" w:rsidRDefault="008321F0" w:rsidP="008321F0">
      <w:pPr>
        <w:spacing w:line="210" w:lineRule="atLeast"/>
        <w:rPr>
          <w:rFonts w:ascii="Arial" w:hAnsi="Arial" w:cs="Arial"/>
          <w:sz w:val="16"/>
          <w:szCs w:val="16"/>
        </w:rPr>
      </w:pPr>
      <w:r w:rsidRPr="0042429B">
        <w:rPr>
          <w:rFonts w:ascii="Arial" w:hAnsi="Arial" w:cs="Arial"/>
          <w:sz w:val="16"/>
          <w:szCs w:val="16"/>
        </w:rPr>
        <w:t>Sinds de invoering van de Financiële-verhoudingswet zijn de uitgaven en de inkomsten op grond van artikel 4 van die wet over ieder uitkeringsjaar aan elkaar gelijk. Ten opzichte van de oorspronkelijke vastgestelde begroting van het gemeentefonds voor 20</w:t>
      </w:r>
      <w:r>
        <w:rPr>
          <w:rFonts w:ascii="Arial" w:hAnsi="Arial" w:cs="Arial"/>
          <w:sz w:val="16"/>
          <w:szCs w:val="16"/>
        </w:rPr>
        <w:t>14</w:t>
      </w:r>
      <w:r w:rsidRPr="0042429B">
        <w:rPr>
          <w:rFonts w:ascii="Arial" w:hAnsi="Arial" w:cs="Arial"/>
          <w:sz w:val="16"/>
          <w:szCs w:val="16"/>
        </w:rPr>
        <w:t xml:space="preserve"> worden de ontvangsten, analoog aan de uitgaven, met €</w:t>
      </w:r>
      <w:r w:rsidRPr="002A3421">
        <w:rPr>
          <w:rFonts w:ascii="Arial" w:hAnsi="Arial" w:cs="Arial"/>
          <w:color w:val="000000"/>
          <w:sz w:val="16"/>
          <w:szCs w:val="16"/>
        </w:rPr>
        <w:t xml:space="preserve"> </w:t>
      </w:r>
      <w:r w:rsidRPr="00413EEB">
        <w:rPr>
          <w:rFonts w:ascii="Arial" w:eastAsiaTheme="minorEastAsia" w:hAnsi="Arial" w:cs="Arial"/>
          <w:bCs/>
          <w:color w:val="000000"/>
          <w:sz w:val="16"/>
          <w:szCs w:val="16"/>
        </w:rPr>
        <w:t xml:space="preserve"> 277 801</w:t>
      </w:r>
      <w:r w:rsidRPr="002A3421">
        <w:rPr>
          <w:rFonts w:ascii="Arial" w:hAnsi="Arial" w:cs="Arial"/>
          <w:color w:val="000000"/>
          <w:sz w:val="16"/>
          <w:szCs w:val="16"/>
        </w:rPr>
        <w:t xml:space="preserve"> 000</w:t>
      </w:r>
      <w:r>
        <w:rPr>
          <w:rFonts w:ascii="Arial" w:hAnsi="Arial" w:cs="Arial"/>
          <w:color w:val="000000"/>
          <w:sz w:val="16"/>
          <w:szCs w:val="16"/>
        </w:rPr>
        <w:t xml:space="preserve"> </w:t>
      </w:r>
      <w:r w:rsidRPr="0042429B">
        <w:rPr>
          <w:rFonts w:ascii="Arial" w:hAnsi="Arial" w:cs="Arial"/>
          <w:color w:val="000000"/>
          <w:sz w:val="16"/>
          <w:szCs w:val="16"/>
        </w:rPr>
        <w:t xml:space="preserve"> </w:t>
      </w:r>
      <w:r>
        <w:rPr>
          <w:rFonts w:ascii="Arial" w:hAnsi="Arial" w:cs="Arial"/>
          <w:sz w:val="16"/>
          <w:szCs w:val="16"/>
        </w:rPr>
        <w:t>gemuteerd</w:t>
      </w:r>
      <w:r w:rsidRPr="0042429B">
        <w:rPr>
          <w:rFonts w:ascii="Arial" w:hAnsi="Arial" w:cs="Arial"/>
          <w:sz w:val="16"/>
          <w:szCs w:val="16"/>
        </w:rPr>
        <w:t xml:space="preserve"> en gebracht op €</w:t>
      </w:r>
      <w:r>
        <w:rPr>
          <w:rFonts w:ascii="Arial" w:hAnsi="Arial" w:cs="Arial"/>
          <w:sz w:val="16"/>
          <w:szCs w:val="16"/>
        </w:rPr>
        <w:t xml:space="preserve"> </w:t>
      </w:r>
      <w:r w:rsidRPr="00413EEB">
        <w:rPr>
          <w:rFonts w:ascii="Arial" w:eastAsiaTheme="minorEastAsia" w:hAnsi="Arial" w:cs="Arial"/>
          <w:bCs/>
          <w:color w:val="000000"/>
          <w:sz w:val="16"/>
          <w:szCs w:val="16"/>
        </w:rPr>
        <w:t>18 763 190</w:t>
      </w:r>
      <w:r w:rsidRPr="002A3421">
        <w:rPr>
          <w:rFonts w:ascii="Arial" w:hAnsi="Arial" w:cs="Arial"/>
          <w:color w:val="000000"/>
          <w:sz w:val="16"/>
          <w:szCs w:val="16"/>
        </w:rPr>
        <w:t xml:space="preserve"> 000</w:t>
      </w:r>
      <w:r w:rsidRPr="0042429B">
        <w:rPr>
          <w:rFonts w:ascii="Arial" w:hAnsi="Arial" w:cs="Arial"/>
          <w:b/>
          <w:bCs/>
          <w:sz w:val="16"/>
          <w:szCs w:val="16"/>
        </w:rPr>
        <w:t>.</w:t>
      </w:r>
    </w:p>
    <w:p w:rsidR="008321F0" w:rsidRPr="00605FC0" w:rsidRDefault="008321F0" w:rsidP="008321F0">
      <w:pPr>
        <w:spacing w:line="210" w:lineRule="atLeast"/>
        <w:rPr>
          <w:rFonts w:ascii="Arial" w:hAnsi="Arial" w:cs="Arial"/>
          <w:b/>
          <w:sz w:val="16"/>
          <w:szCs w:val="16"/>
        </w:rPr>
      </w:pPr>
    </w:p>
    <w:p w:rsidR="008321F0" w:rsidRPr="00605FC0" w:rsidRDefault="008321F0" w:rsidP="008321F0">
      <w:pPr>
        <w:spacing w:line="210" w:lineRule="atLeast"/>
        <w:rPr>
          <w:rFonts w:ascii="Arial" w:hAnsi="Arial" w:cs="Arial"/>
          <w:b/>
          <w:sz w:val="16"/>
          <w:szCs w:val="16"/>
        </w:rPr>
      </w:pPr>
      <w:r w:rsidRPr="00605FC0">
        <w:rPr>
          <w:rFonts w:ascii="Arial" w:hAnsi="Arial" w:cs="Arial"/>
          <w:b/>
          <w:sz w:val="16"/>
          <w:szCs w:val="16"/>
        </w:rPr>
        <w:t>3.2. Toelichting op de nog niet eerder opgenomen mutaties</w:t>
      </w:r>
    </w:p>
    <w:p w:rsidR="008321F0" w:rsidRPr="006B4703" w:rsidRDefault="008321F0" w:rsidP="008321F0">
      <w:pPr>
        <w:spacing w:line="210" w:lineRule="atLeast"/>
        <w:rPr>
          <w:rFonts w:ascii="Arial" w:hAnsi="Arial" w:cs="Arial"/>
          <w:sz w:val="16"/>
          <w:szCs w:val="16"/>
        </w:rPr>
      </w:pPr>
    </w:p>
    <w:p w:rsidR="008321F0" w:rsidRPr="00D23C7C" w:rsidRDefault="008321F0" w:rsidP="008321F0">
      <w:pPr>
        <w:spacing w:line="210" w:lineRule="atLeast"/>
        <w:rPr>
          <w:rStyle w:val="Kop1Char"/>
          <w:b w:val="0"/>
          <w:i/>
          <w:sz w:val="16"/>
          <w:szCs w:val="16"/>
        </w:rPr>
      </w:pPr>
      <w:r w:rsidRPr="00D23C7C">
        <w:rPr>
          <w:rStyle w:val="Kop1Char"/>
          <w:i/>
          <w:sz w:val="16"/>
          <w:szCs w:val="16"/>
        </w:rPr>
        <w:t xml:space="preserve">1)  </w:t>
      </w:r>
      <w:proofErr w:type="spellStart"/>
      <w:r w:rsidRPr="00D23C7C">
        <w:rPr>
          <w:rStyle w:val="Kop1Char"/>
          <w:i/>
          <w:sz w:val="16"/>
          <w:szCs w:val="16"/>
        </w:rPr>
        <w:t>Oversampling</w:t>
      </w:r>
      <w:proofErr w:type="spellEnd"/>
      <w:r w:rsidRPr="00D23C7C">
        <w:rPr>
          <w:rStyle w:val="Kop1Char"/>
          <w:i/>
          <w:sz w:val="16"/>
          <w:szCs w:val="16"/>
        </w:rPr>
        <w:t xml:space="preserve"> </w:t>
      </w:r>
      <w:proofErr w:type="spellStart"/>
      <w:r w:rsidRPr="00D23C7C">
        <w:rPr>
          <w:rStyle w:val="Kop1Char"/>
          <w:i/>
          <w:sz w:val="16"/>
          <w:szCs w:val="16"/>
        </w:rPr>
        <w:t>WoonOnderzoek</w:t>
      </w:r>
      <w:proofErr w:type="spellEnd"/>
      <w:r w:rsidRPr="00D23C7C">
        <w:rPr>
          <w:rStyle w:val="Kop1Char"/>
          <w:i/>
          <w:sz w:val="16"/>
          <w:szCs w:val="16"/>
        </w:rPr>
        <w:t xml:space="preserve"> Nederland (decentralisatie-uitkering)</w:t>
      </w:r>
    </w:p>
    <w:p w:rsidR="008321F0" w:rsidRDefault="008321F0" w:rsidP="008321F0">
      <w:pPr>
        <w:spacing w:line="210" w:lineRule="atLeast"/>
        <w:rPr>
          <w:rStyle w:val="Kop1Char"/>
          <w:b w:val="0"/>
          <w:sz w:val="16"/>
          <w:szCs w:val="16"/>
        </w:rPr>
      </w:pPr>
      <w:r w:rsidRPr="00F53F13">
        <w:rPr>
          <w:rStyle w:val="Kop1Char"/>
          <w:sz w:val="16"/>
          <w:szCs w:val="16"/>
        </w:rPr>
        <w:t xml:space="preserve">In 2014-2015 wordt voor de vierde  keer het </w:t>
      </w:r>
      <w:proofErr w:type="spellStart"/>
      <w:r w:rsidRPr="00F53F13">
        <w:rPr>
          <w:rStyle w:val="Kop1Char"/>
          <w:sz w:val="16"/>
          <w:szCs w:val="16"/>
        </w:rPr>
        <w:t>WoonOnderzoek</w:t>
      </w:r>
      <w:proofErr w:type="spellEnd"/>
      <w:r w:rsidRPr="00F53F13">
        <w:rPr>
          <w:rStyle w:val="Kop1Char"/>
          <w:sz w:val="16"/>
          <w:szCs w:val="16"/>
        </w:rPr>
        <w:t xml:space="preserve"> Nederland (</w:t>
      </w:r>
      <w:proofErr w:type="spellStart"/>
      <w:r w:rsidRPr="00F53F13">
        <w:rPr>
          <w:rStyle w:val="Kop1Char"/>
          <w:sz w:val="16"/>
          <w:szCs w:val="16"/>
        </w:rPr>
        <w:t>WoON</w:t>
      </w:r>
      <w:proofErr w:type="spellEnd"/>
      <w:r w:rsidRPr="00F53F13">
        <w:rPr>
          <w:rStyle w:val="Kop1Char"/>
          <w:sz w:val="16"/>
          <w:szCs w:val="16"/>
        </w:rPr>
        <w:t xml:space="preserve">) gehouden. Een aantal gemeenten </w:t>
      </w:r>
      <w:r>
        <w:rPr>
          <w:rStyle w:val="Kop1Char"/>
          <w:sz w:val="16"/>
          <w:szCs w:val="16"/>
        </w:rPr>
        <w:t>o</w:t>
      </w:r>
      <w:r w:rsidRPr="00F53F13">
        <w:rPr>
          <w:rStyle w:val="Kop1Char"/>
          <w:sz w:val="16"/>
          <w:szCs w:val="16"/>
        </w:rPr>
        <w:t>ntvang</w:t>
      </w:r>
      <w:r>
        <w:rPr>
          <w:rStyle w:val="Kop1Char"/>
          <w:sz w:val="16"/>
          <w:szCs w:val="16"/>
        </w:rPr>
        <w:t>t</w:t>
      </w:r>
      <w:r w:rsidRPr="00F53F13">
        <w:rPr>
          <w:rStyle w:val="Kop1Char"/>
          <w:sz w:val="16"/>
          <w:szCs w:val="16"/>
        </w:rPr>
        <w:t xml:space="preserve"> via </w:t>
      </w:r>
      <w:r>
        <w:rPr>
          <w:rStyle w:val="Kop1Char"/>
          <w:sz w:val="16"/>
          <w:szCs w:val="16"/>
        </w:rPr>
        <w:t>een</w:t>
      </w:r>
      <w:r w:rsidRPr="00F53F13">
        <w:rPr>
          <w:rStyle w:val="Kop1Char"/>
          <w:sz w:val="16"/>
          <w:szCs w:val="16"/>
        </w:rPr>
        <w:t xml:space="preserve"> decentralisatie</w:t>
      </w:r>
      <w:r>
        <w:rPr>
          <w:rStyle w:val="Kop1Char"/>
          <w:sz w:val="16"/>
          <w:szCs w:val="16"/>
        </w:rPr>
        <w:t>-</w:t>
      </w:r>
      <w:r w:rsidRPr="00F53F13">
        <w:rPr>
          <w:rStyle w:val="Kop1Char"/>
          <w:sz w:val="16"/>
          <w:szCs w:val="16"/>
        </w:rPr>
        <w:t xml:space="preserve">uitkering een incidentele </w:t>
      </w:r>
      <w:r>
        <w:rPr>
          <w:rStyle w:val="Kop1Char"/>
          <w:sz w:val="16"/>
          <w:szCs w:val="16"/>
        </w:rPr>
        <w:t>s</w:t>
      </w:r>
      <w:r w:rsidRPr="00F53F13">
        <w:rPr>
          <w:rStyle w:val="Kop1Char"/>
          <w:sz w:val="16"/>
          <w:szCs w:val="16"/>
        </w:rPr>
        <w:t xml:space="preserve">timuleringsbijdrage als tegemoetkoming in de kosten van </w:t>
      </w:r>
      <w:r>
        <w:rPr>
          <w:rStyle w:val="Kop1Char"/>
          <w:sz w:val="16"/>
          <w:szCs w:val="16"/>
        </w:rPr>
        <w:t>het</w:t>
      </w:r>
      <w:r w:rsidRPr="00F53F13">
        <w:rPr>
          <w:rStyle w:val="Kop1Char"/>
          <w:sz w:val="16"/>
          <w:szCs w:val="16"/>
        </w:rPr>
        <w:t xml:space="preserve"> </w:t>
      </w:r>
      <w:proofErr w:type="spellStart"/>
      <w:r w:rsidRPr="00F53F13">
        <w:rPr>
          <w:rStyle w:val="Kop1Char"/>
          <w:sz w:val="16"/>
          <w:szCs w:val="16"/>
        </w:rPr>
        <w:t>WoonOnderzoek</w:t>
      </w:r>
      <w:proofErr w:type="spellEnd"/>
      <w:r w:rsidRPr="00F53F13">
        <w:rPr>
          <w:rStyle w:val="Kop1Char"/>
          <w:sz w:val="16"/>
          <w:szCs w:val="16"/>
        </w:rPr>
        <w:t xml:space="preserve"> Nederland</w:t>
      </w:r>
      <w:r>
        <w:rPr>
          <w:rStyle w:val="Kop1Char"/>
          <w:sz w:val="16"/>
          <w:szCs w:val="16"/>
        </w:rPr>
        <w:t>.</w:t>
      </w:r>
    </w:p>
    <w:p w:rsidR="008321F0" w:rsidRDefault="008321F0" w:rsidP="008321F0">
      <w:pPr>
        <w:spacing w:line="210" w:lineRule="atLeast"/>
        <w:rPr>
          <w:rStyle w:val="Kop1Char"/>
          <w:b w:val="0"/>
          <w:sz w:val="16"/>
          <w:szCs w:val="16"/>
        </w:rPr>
      </w:pPr>
    </w:p>
    <w:p w:rsidR="008321F0" w:rsidRPr="00A27D35" w:rsidRDefault="008321F0" w:rsidP="008321F0">
      <w:pPr>
        <w:spacing w:line="210" w:lineRule="atLeast"/>
        <w:rPr>
          <w:rStyle w:val="Kop1Char"/>
          <w:b w:val="0"/>
          <w:i/>
          <w:sz w:val="16"/>
          <w:szCs w:val="16"/>
        </w:rPr>
      </w:pPr>
      <w:r>
        <w:rPr>
          <w:rStyle w:val="Kop1Char"/>
          <w:i/>
          <w:sz w:val="16"/>
          <w:szCs w:val="16"/>
        </w:rPr>
        <w:t>2) Bodemsanering (decentralisatie-uitkering)</w:t>
      </w:r>
    </w:p>
    <w:p w:rsidR="008321F0" w:rsidRDefault="008321F0" w:rsidP="008321F0">
      <w:pPr>
        <w:spacing w:line="210" w:lineRule="atLeast"/>
        <w:rPr>
          <w:rStyle w:val="Kop1Char"/>
          <w:b w:val="0"/>
          <w:sz w:val="16"/>
          <w:szCs w:val="16"/>
        </w:rPr>
      </w:pPr>
      <w:r>
        <w:rPr>
          <w:rStyle w:val="Kop1Char"/>
          <w:sz w:val="16"/>
          <w:szCs w:val="16"/>
        </w:rPr>
        <w:t>In het kader van bodemsanering wordt een bedrag van € 4,1 miljoen toegekend aan Haarlem ten behoeve van het knelpunt Joh. Enschede.</w:t>
      </w:r>
    </w:p>
    <w:p w:rsidR="008321F0" w:rsidRDefault="008321F0" w:rsidP="008321F0">
      <w:pPr>
        <w:spacing w:line="210" w:lineRule="atLeast"/>
        <w:rPr>
          <w:rStyle w:val="Kop1Char"/>
          <w:b w:val="0"/>
          <w:sz w:val="16"/>
          <w:szCs w:val="16"/>
        </w:rPr>
      </w:pPr>
    </w:p>
    <w:p w:rsidR="008321F0" w:rsidRPr="00A27D35" w:rsidRDefault="008321F0" w:rsidP="008321F0">
      <w:pPr>
        <w:spacing w:line="210" w:lineRule="atLeast"/>
        <w:rPr>
          <w:rStyle w:val="Kop1Char"/>
          <w:b w:val="0"/>
          <w:i/>
          <w:sz w:val="16"/>
          <w:szCs w:val="16"/>
        </w:rPr>
      </w:pPr>
      <w:r w:rsidRPr="00A27D35">
        <w:rPr>
          <w:rStyle w:val="Kop1Char"/>
          <w:i/>
          <w:sz w:val="16"/>
          <w:szCs w:val="16"/>
        </w:rPr>
        <w:t>3)</w:t>
      </w:r>
      <w:r>
        <w:rPr>
          <w:rStyle w:val="Kop1Char"/>
          <w:i/>
          <w:sz w:val="16"/>
          <w:szCs w:val="16"/>
        </w:rPr>
        <w:t xml:space="preserve"> Voortijdig Schoolverlaters-programmagelden RMC-regio’s G4 (decentralisatie-uitkering)</w:t>
      </w:r>
    </w:p>
    <w:p w:rsidR="008321F0" w:rsidRDefault="008321F0" w:rsidP="008321F0">
      <w:pPr>
        <w:spacing w:line="210" w:lineRule="atLeast"/>
        <w:rPr>
          <w:rStyle w:val="Kop1Char"/>
          <w:b w:val="0"/>
          <w:sz w:val="16"/>
          <w:szCs w:val="16"/>
        </w:rPr>
      </w:pPr>
      <w:r>
        <w:rPr>
          <w:rStyle w:val="Kop1Char"/>
          <w:sz w:val="16"/>
          <w:szCs w:val="16"/>
        </w:rPr>
        <w:t xml:space="preserve">Dit bedrag vloeit voort uit een afspraak tussen het ministerie van Onderwijs Cultuur en Wetenschap en de gemeente Amsterdam met betrekking tot continuering van het beleid van Amsterdam ten aanzien van voortijdig schoolverlaters afkomstig uit het </w:t>
      </w:r>
      <w:proofErr w:type="spellStart"/>
      <w:r>
        <w:rPr>
          <w:rStyle w:val="Kop1Char"/>
          <w:sz w:val="16"/>
          <w:szCs w:val="16"/>
        </w:rPr>
        <w:t>Caribische</w:t>
      </w:r>
      <w:proofErr w:type="spellEnd"/>
      <w:r>
        <w:rPr>
          <w:rStyle w:val="Kop1Char"/>
          <w:sz w:val="16"/>
          <w:szCs w:val="16"/>
        </w:rPr>
        <w:t xml:space="preserve"> deel van het Koninkrijk.</w:t>
      </w:r>
    </w:p>
    <w:p w:rsidR="008321F0" w:rsidRDefault="008321F0" w:rsidP="008321F0">
      <w:pPr>
        <w:spacing w:line="210" w:lineRule="atLeast"/>
        <w:rPr>
          <w:rStyle w:val="Kop1Char"/>
          <w:b w:val="0"/>
          <w:sz w:val="16"/>
          <w:szCs w:val="16"/>
        </w:rPr>
      </w:pPr>
    </w:p>
    <w:p w:rsidR="008321F0" w:rsidRPr="00CA5CE7" w:rsidRDefault="008321F0" w:rsidP="008321F0">
      <w:pPr>
        <w:spacing w:line="210" w:lineRule="atLeast"/>
        <w:rPr>
          <w:rStyle w:val="Kop1Char"/>
          <w:b w:val="0"/>
          <w:i/>
          <w:sz w:val="16"/>
          <w:szCs w:val="16"/>
        </w:rPr>
      </w:pPr>
      <w:r w:rsidRPr="00CA5CE7">
        <w:rPr>
          <w:rStyle w:val="Kop1Char"/>
          <w:i/>
          <w:sz w:val="16"/>
          <w:szCs w:val="16"/>
        </w:rPr>
        <w:t>4) Gezond in de stad (decentralisatie-uitkering)</w:t>
      </w:r>
    </w:p>
    <w:p w:rsidR="008321F0" w:rsidRPr="00C5338C" w:rsidRDefault="008321F0" w:rsidP="008321F0">
      <w:pPr>
        <w:spacing w:line="210" w:lineRule="atLeast"/>
        <w:rPr>
          <w:rStyle w:val="Kop1Char"/>
          <w:b w:val="0"/>
          <w:sz w:val="16"/>
          <w:szCs w:val="16"/>
        </w:rPr>
      </w:pPr>
      <w:r>
        <w:rPr>
          <w:rStyle w:val="Kop1Char"/>
          <w:sz w:val="16"/>
          <w:szCs w:val="16"/>
        </w:rPr>
        <w:lastRenderedPageBreak/>
        <w:t>Dit betreft een toevoeging door het ministerie van Volksgezondheid Welzijn en Sport aan de decentralisatie-uitkering Gezond in de Stad (GIDS-gelden). Dit is e</w:t>
      </w:r>
      <w:r w:rsidRPr="008A5BCD">
        <w:rPr>
          <w:rStyle w:val="Kop1Char"/>
          <w:sz w:val="16"/>
          <w:szCs w:val="16"/>
        </w:rPr>
        <w:t xml:space="preserve">en stimuleringsprogramma </w:t>
      </w:r>
      <w:r>
        <w:rPr>
          <w:rStyle w:val="Kop1Char"/>
          <w:sz w:val="16"/>
          <w:szCs w:val="16"/>
        </w:rPr>
        <w:t>voor</w:t>
      </w:r>
      <w:r w:rsidRPr="008A5BCD">
        <w:rPr>
          <w:rStyle w:val="Kop1Char"/>
          <w:sz w:val="16"/>
          <w:szCs w:val="16"/>
        </w:rPr>
        <w:t xml:space="preserve"> gemeenten met wijk</w:t>
      </w:r>
      <w:r>
        <w:rPr>
          <w:rStyle w:val="Kop1Char"/>
          <w:sz w:val="16"/>
          <w:szCs w:val="16"/>
        </w:rPr>
        <w:t>en en</w:t>
      </w:r>
      <w:r w:rsidRPr="008A5BCD">
        <w:rPr>
          <w:rStyle w:val="Kop1Char"/>
          <w:sz w:val="16"/>
          <w:szCs w:val="16"/>
        </w:rPr>
        <w:t>/</w:t>
      </w:r>
      <w:r>
        <w:rPr>
          <w:rStyle w:val="Kop1Char"/>
          <w:sz w:val="16"/>
          <w:szCs w:val="16"/>
        </w:rPr>
        <w:t xml:space="preserve">of </w:t>
      </w:r>
      <w:r w:rsidRPr="008A5BCD">
        <w:rPr>
          <w:rStyle w:val="Kop1Char"/>
          <w:sz w:val="16"/>
          <w:szCs w:val="16"/>
        </w:rPr>
        <w:t xml:space="preserve">buurten met </w:t>
      </w:r>
      <w:r>
        <w:rPr>
          <w:rStyle w:val="Kop1Char"/>
          <w:sz w:val="16"/>
          <w:szCs w:val="16"/>
        </w:rPr>
        <w:t xml:space="preserve">een </w:t>
      </w:r>
      <w:r w:rsidRPr="008A5BCD">
        <w:rPr>
          <w:rStyle w:val="Kop1Char"/>
          <w:sz w:val="16"/>
          <w:szCs w:val="16"/>
        </w:rPr>
        <w:t>relatief hoge achterstandsproblematiek.</w:t>
      </w:r>
    </w:p>
    <w:p w:rsidR="008321F0" w:rsidRPr="00C5338C" w:rsidRDefault="008321F0" w:rsidP="008321F0">
      <w:pPr>
        <w:spacing w:line="210" w:lineRule="atLeast"/>
        <w:rPr>
          <w:rStyle w:val="Kop1Char"/>
          <w:b w:val="0"/>
          <w:sz w:val="16"/>
          <w:szCs w:val="16"/>
        </w:rPr>
      </w:pPr>
    </w:p>
    <w:p w:rsidR="008321F0" w:rsidRDefault="008321F0" w:rsidP="008321F0">
      <w:pPr>
        <w:spacing w:line="210" w:lineRule="atLeast"/>
        <w:rPr>
          <w:rStyle w:val="Kop1Char"/>
          <w:b w:val="0"/>
          <w:i/>
          <w:sz w:val="16"/>
          <w:szCs w:val="16"/>
        </w:rPr>
      </w:pPr>
      <w:r>
        <w:rPr>
          <w:rStyle w:val="Kop1Char"/>
          <w:i/>
          <w:sz w:val="16"/>
          <w:szCs w:val="16"/>
        </w:rPr>
        <w:t>5) Faciliteitenbesluit opvangcentra (decentralisatie-uitkering)</w:t>
      </w:r>
    </w:p>
    <w:p w:rsidR="008321F0" w:rsidRPr="009A76AB" w:rsidRDefault="008321F0" w:rsidP="008321F0">
      <w:pPr>
        <w:spacing w:line="210" w:lineRule="atLeast"/>
        <w:rPr>
          <w:rStyle w:val="Kop1Char"/>
          <w:b w:val="0"/>
          <w:sz w:val="16"/>
          <w:szCs w:val="16"/>
        </w:rPr>
      </w:pPr>
      <w:r>
        <w:rPr>
          <w:rStyle w:val="Kop1Char"/>
          <w:sz w:val="16"/>
          <w:szCs w:val="16"/>
        </w:rPr>
        <w:t>Het ministerie van Veiligheid en Justitie stelt ieder jaar, op basis van het faciliteitenbesluit opvangcentra, middelen beschikbaar aan gemeenten die opvang bieden aan asielzoekers die nog niet hoeven te worden ingeschreven in de Basisregistratie Personen.</w:t>
      </w:r>
    </w:p>
    <w:p w:rsidR="008321F0" w:rsidRPr="009A76AB" w:rsidRDefault="008321F0" w:rsidP="008321F0">
      <w:pPr>
        <w:spacing w:line="210" w:lineRule="atLeast"/>
        <w:rPr>
          <w:rStyle w:val="Kop1Char"/>
          <w:b w:val="0"/>
          <w:sz w:val="16"/>
          <w:szCs w:val="16"/>
        </w:rPr>
      </w:pPr>
    </w:p>
    <w:p w:rsidR="008321F0" w:rsidRDefault="008321F0" w:rsidP="008321F0">
      <w:pPr>
        <w:spacing w:line="210" w:lineRule="atLeast"/>
        <w:rPr>
          <w:rStyle w:val="Kop1Char"/>
          <w:b w:val="0"/>
          <w:i/>
          <w:sz w:val="16"/>
          <w:szCs w:val="16"/>
        </w:rPr>
      </w:pPr>
      <w:r>
        <w:rPr>
          <w:rStyle w:val="Kop1Char"/>
          <w:i/>
          <w:sz w:val="16"/>
          <w:szCs w:val="16"/>
        </w:rPr>
        <w:t xml:space="preserve">6) </w:t>
      </w:r>
      <w:r w:rsidRPr="00D23C7C">
        <w:rPr>
          <w:rStyle w:val="Kop1Char"/>
          <w:i/>
          <w:sz w:val="16"/>
          <w:szCs w:val="16"/>
        </w:rPr>
        <w:t>Vervolg Informatievoorziening Sociaal Domein</w:t>
      </w:r>
    </w:p>
    <w:p w:rsidR="008321F0" w:rsidRPr="00E765F8" w:rsidRDefault="008321F0" w:rsidP="008321F0">
      <w:pPr>
        <w:spacing w:line="210" w:lineRule="atLeast"/>
        <w:rPr>
          <w:rStyle w:val="Kop1Char"/>
          <w:b w:val="0"/>
          <w:sz w:val="16"/>
          <w:szCs w:val="16"/>
        </w:rPr>
      </w:pPr>
      <w:r>
        <w:rPr>
          <w:rStyle w:val="Kop1Char"/>
          <w:sz w:val="16"/>
          <w:szCs w:val="16"/>
        </w:rPr>
        <w:t xml:space="preserve">Dit betreft </w:t>
      </w:r>
      <w:r w:rsidRPr="009A76AB">
        <w:rPr>
          <w:rStyle w:val="Kop1Char"/>
          <w:sz w:val="16"/>
          <w:szCs w:val="16"/>
        </w:rPr>
        <w:t>een eenmalige</w:t>
      </w:r>
      <w:r>
        <w:rPr>
          <w:rStyle w:val="Kop1Char"/>
          <w:sz w:val="16"/>
          <w:szCs w:val="16"/>
        </w:rPr>
        <w:t xml:space="preserve"> bijdrage</w:t>
      </w:r>
      <w:r w:rsidRPr="009A76AB">
        <w:rPr>
          <w:rStyle w:val="Kop1Char"/>
          <w:sz w:val="16"/>
          <w:szCs w:val="16"/>
        </w:rPr>
        <w:t xml:space="preserve"> van € 8</w:t>
      </w:r>
      <w:r>
        <w:rPr>
          <w:rStyle w:val="Kop1Char"/>
          <w:sz w:val="16"/>
          <w:szCs w:val="16"/>
        </w:rPr>
        <w:t xml:space="preserve"> miljoen</w:t>
      </w:r>
      <w:r w:rsidRPr="009A76AB">
        <w:rPr>
          <w:rStyle w:val="Kop1Char"/>
          <w:sz w:val="16"/>
          <w:szCs w:val="16"/>
        </w:rPr>
        <w:t xml:space="preserve"> uit het</w:t>
      </w:r>
      <w:r>
        <w:rPr>
          <w:rStyle w:val="Kop1Char"/>
          <w:sz w:val="16"/>
          <w:szCs w:val="16"/>
        </w:rPr>
        <w:t xml:space="preserve"> gemeentefonds te behoeve van de  o</w:t>
      </w:r>
      <w:r w:rsidRPr="009A76AB">
        <w:rPr>
          <w:rStyle w:val="Kop1Char"/>
          <w:sz w:val="16"/>
          <w:szCs w:val="16"/>
        </w:rPr>
        <w:t xml:space="preserve">ndersteuning van gemeenten </w:t>
      </w:r>
      <w:r>
        <w:rPr>
          <w:rStyle w:val="Kop1Char"/>
          <w:sz w:val="16"/>
          <w:szCs w:val="16"/>
        </w:rPr>
        <w:t xml:space="preserve">door de Vereniging van Nederlandse Gemeenten </w:t>
      </w:r>
      <w:r w:rsidRPr="009A76AB">
        <w:rPr>
          <w:rStyle w:val="Kop1Char"/>
          <w:sz w:val="16"/>
          <w:szCs w:val="16"/>
        </w:rPr>
        <w:t>bij het inrichten</w:t>
      </w:r>
      <w:r>
        <w:rPr>
          <w:rStyle w:val="Kop1Char"/>
          <w:sz w:val="16"/>
          <w:szCs w:val="16"/>
        </w:rPr>
        <w:t xml:space="preserve"> </w:t>
      </w:r>
      <w:r w:rsidRPr="009A76AB">
        <w:rPr>
          <w:rStyle w:val="Kop1Char"/>
          <w:sz w:val="16"/>
          <w:szCs w:val="16"/>
        </w:rPr>
        <w:t xml:space="preserve">van hun informatievoorziening </w:t>
      </w:r>
      <w:r>
        <w:rPr>
          <w:rStyle w:val="Kop1Char"/>
          <w:sz w:val="16"/>
          <w:szCs w:val="16"/>
        </w:rPr>
        <w:t>i</w:t>
      </w:r>
      <w:r w:rsidRPr="009A76AB">
        <w:rPr>
          <w:rStyle w:val="Kop1Char"/>
          <w:sz w:val="16"/>
          <w:szCs w:val="16"/>
        </w:rPr>
        <w:t>n het sociaal domein.</w:t>
      </w:r>
    </w:p>
    <w:p w:rsidR="008321F0" w:rsidRPr="00E765F8" w:rsidRDefault="008321F0" w:rsidP="008321F0">
      <w:pPr>
        <w:spacing w:line="210" w:lineRule="atLeast"/>
        <w:rPr>
          <w:rStyle w:val="Kop1Char"/>
          <w:b w:val="0"/>
          <w:sz w:val="16"/>
          <w:szCs w:val="16"/>
        </w:rPr>
      </w:pPr>
    </w:p>
    <w:p w:rsidR="008321F0" w:rsidRPr="00D23C7C" w:rsidRDefault="008321F0" w:rsidP="008321F0">
      <w:pPr>
        <w:spacing w:line="210" w:lineRule="atLeast"/>
        <w:rPr>
          <w:rStyle w:val="Kop1Char"/>
          <w:b w:val="0"/>
          <w:i/>
          <w:sz w:val="16"/>
          <w:szCs w:val="16"/>
        </w:rPr>
      </w:pPr>
      <w:r w:rsidRPr="00D23C7C">
        <w:rPr>
          <w:rStyle w:val="Kop1Char"/>
          <w:i/>
          <w:sz w:val="16"/>
          <w:szCs w:val="16"/>
        </w:rPr>
        <w:t>7) Onderzoek Besluit doeluitkering bestrijding van rampen en zware ongevallen</w:t>
      </w:r>
    </w:p>
    <w:p w:rsidR="008321F0" w:rsidRPr="00164CD2" w:rsidRDefault="008321F0" w:rsidP="008321F0">
      <w:pPr>
        <w:spacing w:line="210" w:lineRule="atLeast"/>
        <w:rPr>
          <w:rStyle w:val="Kop1Char"/>
          <w:b w:val="0"/>
          <w:sz w:val="16"/>
          <w:szCs w:val="16"/>
        </w:rPr>
      </w:pPr>
      <w:r>
        <w:rPr>
          <w:rStyle w:val="Kop1Char"/>
          <w:sz w:val="16"/>
          <w:szCs w:val="16"/>
        </w:rPr>
        <w:t>De ministeries van Veiligheid en Justitie</w:t>
      </w:r>
      <w:r w:rsidRPr="009156BF">
        <w:rPr>
          <w:rStyle w:val="Kop1Char"/>
          <w:sz w:val="16"/>
          <w:szCs w:val="16"/>
        </w:rPr>
        <w:t xml:space="preserve"> en B</w:t>
      </w:r>
      <w:r>
        <w:rPr>
          <w:rStyle w:val="Kop1Char"/>
          <w:sz w:val="16"/>
          <w:szCs w:val="16"/>
        </w:rPr>
        <w:t xml:space="preserve">innenlandse </w:t>
      </w:r>
      <w:r w:rsidRPr="009156BF">
        <w:rPr>
          <w:rStyle w:val="Kop1Char"/>
          <w:sz w:val="16"/>
          <w:szCs w:val="16"/>
        </w:rPr>
        <w:t>Z</w:t>
      </w:r>
      <w:r>
        <w:rPr>
          <w:rStyle w:val="Kop1Char"/>
          <w:sz w:val="16"/>
          <w:szCs w:val="16"/>
        </w:rPr>
        <w:t xml:space="preserve">aken en </w:t>
      </w:r>
      <w:r w:rsidRPr="009156BF">
        <w:rPr>
          <w:rStyle w:val="Kop1Char"/>
          <w:sz w:val="16"/>
          <w:szCs w:val="16"/>
        </w:rPr>
        <w:t>K</w:t>
      </w:r>
      <w:r>
        <w:rPr>
          <w:rStyle w:val="Kop1Char"/>
          <w:sz w:val="16"/>
          <w:szCs w:val="16"/>
        </w:rPr>
        <w:t>oninkrijksrelaties</w:t>
      </w:r>
      <w:r w:rsidRPr="009156BF">
        <w:rPr>
          <w:rStyle w:val="Kop1Char"/>
          <w:sz w:val="16"/>
          <w:szCs w:val="16"/>
        </w:rPr>
        <w:t xml:space="preserve"> doen ge</w:t>
      </w:r>
      <w:r>
        <w:rPr>
          <w:rStyle w:val="Kop1Char"/>
          <w:sz w:val="16"/>
          <w:szCs w:val="16"/>
        </w:rPr>
        <w:t>zamenli</w:t>
      </w:r>
      <w:r w:rsidRPr="009156BF">
        <w:rPr>
          <w:rStyle w:val="Kop1Char"/>
          <w:sz w:val="16"/>
          <w:szCs w:val="16"/>
        </w:rPr>
        <w:t xml:space="preserve">jk onderzoek naar </w:t>
      </w:r>
      <w:r>
        <w:rPr>
          <w:rStyle w:val="Kop1Char"/>
          <w:sz w:val="16"/>
          <w:szCs w:val="16"/>
        </w:rPr>
        <w:t xml:space="preserve">het </w:t>
      </w:r>
      <w:r w:rsidRPr="00E765F8">
        <w:rPr>
          <w:rStyle w:val="Kop1Char"/>
          <w:sz w:val="16"/>
          <w:szCs w:val="16"/>
        </w:rPr>
        <w:t xml:space="preserve">Besluit doeluitkering bestrijding van rampen en zware ongevallen </w:t>
      </w:r>
      <w:r>
        <w:rPr>
          <w:rStyle w:val="Kop1Char"/>
          <w:sz w:val="16"/>
          <w:szCs w:val="16"/>
        </w:rPr>
        <w:t>(</w:t>
      </w:r>
      <w:proofErr w:type="spellStart"/>
      <w:r>
        <w:rPr>
          <w:rStyle w:val="Kop1Char"/>
          <w:sz w:val="16"/>
          <w:szCs w:val="16"/>
        </w:rPr>
        <w:t>BD</w:t>
      </w:r>
      <w:r w:rsidRPr="009156BF">
        <w:rPr>
          <w:rStyle w:val="Kop1Char"/>
          <w:sz w:val="16"/>
          <w:szCs w:val="16"/>
        </w:rPr>
        <w:t>uR</w:t>
      </w:r>
      <w:proofErr w:type="spellEnd"/>
      <w:r>
        <w:rPr>
          <w:rStyle w:val="Kop1Char"/>
          <w:sz w:val="16"/>
          <w:szCs w:val="16"/>
        </w:rPr>
        <w:t>)</w:t>
      </w:r>
      <w:r w:rsidRPr="009156BF">
        <w:rPr>
          <w:rStyle w:val="Kop1Char"/>
          <w:sz w:val="16"/>
          <w:szCs w:val="16"/>
        </w:rPr>
        <w:t xml:space="preserve"> en het onderdeel Brandweer en rampenbestrijding in het</w:t>
      </w:r>
      <w:r>
        <w:rPr>
          <w:rStyle w:val="Kop1Char"/>
          <w:sz w:val="16"/>
          <w:szCs w:val="16"/>
        </w:rPr>
        <w:t xml:space="preserve"> </w:t>
      </w:r>
      <w:r w:rsidRPr="009156BF">
        <w:rPr>
          <w:rStyle w:val="Kop1Char"/>
          <w:sz w:val="16"/>
          <w:szCs w:val="16"/>
        </w:rPr>
        <w:t xml:space="preserve">gemeentefonds. </w:t>
      </w:r>
      <w:r>
        <w:rPr>
          <w:rStyle w:val="Kop1Char"/>
          <w:sz w:val="16"/>
          <w:szCs w:val="16"/>
        </w:rPr>
        <w:t xml:space="preserve">Genoemd bedrag (€ 62 duizend) </w:t>
      </w:r>
      <w:r w:rsidRPr="009156BF">
        <w:rPr>
          <w:rStyle w:val="Kop1Char"/>
          <w:sz w:val="16"/>
          <w:szCs w:val="16"/>
        </w:rPr>
        <w:t xml:space="preserve">betreft </w:t>
      </w:r>
      <w:r>
        <w:rPr>
          <w:rStyle w:val="Kop1Char"/>
          <w:sz w:val="16"/>
          <w:szCs w:val="16"/>
        </w:rPr>
        <w:t>een deel van het aandeel van het ministerie van Veiligheid en Justitie</w:t>
      </w:r>
      <w:r w:rsidRPr="009156BF">
        <w:rPr>
          <w:rStyle w:val="Kop1Char"/>
          <w:sz w:val="16"/>
          <w:szCs w:val="16"/>
        </w:rPr>
        <w:t xml:space="preserve"> in de onderzoekskosten.</w:t>
      </w:r>
      <w:r>
        <w:rPr>
          <w:rStyle w:val="Kop1Char"/>
          <w:sz w:val="16"/>
          <w:szCs w:val="16"/>
        </w:rPr>
        <w:t xml:space="preserve"> Het restant wordt in 2015 naar het gemeentefonds overgeheveld.</w:t>
      </w:r>
    </w:p>
    <w:p w:rsidR="008321F0" w:rsidRPr="00164CD2" w:rsidRDefault="008321F0" w:rsidP="008321F0">
      <w:pPr>
        <w:spacing w:line="210" w:lineRule="atLeast"/>
        <w:rPr>
          <w:rStyle w:val="Kop1Char"/>
          <w:b w:val="0"/>
          <w:sz w:val="16"/>
          <w:szCs w:val="16"/>
        </w:rPr>
      </w:pPr>
    </w:p>
    <w:p w:rsidR="008321F0" w:rsidRDefault="008321F0" w:rsidP="008321F0">
      <w:pPr>
        <w:spacing w:line="210" w:lineRule="atLeast"/>
        <w:rPr>
          <w:rStyle w:val="Kop1Char"/>
          <w:b w:val="0"/>
          <w:i/>
          <w:sz w:val="16"/>
          <w:szCs w:val="16"/>
        </w:rPr>
      </w:pPr>
      <w:r>
        <w:rPr>
          <w:rStyle w:val="Kop1Char"/>
          <w:i/>
          <w:sz w:val="16"/>
          <w:szCs w:val="16"/>
        </w:rPr>
        <w:t>8) Erfgoed en Ruimte (decentralisatie-uitkering)</w:t>
      </w:r>
    </w:p>
    <w:p w:rsidR="008321F0" w:rsidRPr="00D545DC" w:rsidRDefault="008321F0" w:rsidP="008321F0">
      <w:pPr>
        <w:spacing w:line="210" w:lineRule="atLeast"/>
        <w:rPr>
          <w:rStyle w:val="Kop1Char"/>
          <w:b w:val="0"/>
          <w:sz w:val="16"/>
          <w:szCs w:val="16"/>
        </w:rPr>
      </w:pPr>
      <w:r>
        <w:rPr>
          <w:rStyle w:val="Kop1Char"/>
          <w:sz w:val="16"/>
          <w:szCs w:val="16"/>
        </w:rPr>
        <w:t>Deze middelen zijn toegekend door het ministerie van Onderwijs Cultuur en Wetenschap uit hoofde van de beleidsnota Visie Erfgoed en Ruimte (Kiezen voor Karakter). Het betreft een eenmalige decentralisatie-uitkering aan drie gemeenten (Amsterdam, Nijmegen en Noordoostpolder).</w:t>
      </w:r>
    </w:p>
    <w:p w:rsidR="008321F0" w:rsidRPr="00D545DC" w:rsidRDefault="008321F0" w:rsidP="008321F0">
      <w:pPr>
        <w:spacing w:line="210" w:lineRule="atLeast"/>
        <w:rPr>
          <w:rStyle w:val="Kop1Char"/>
          <w:b w:val="0"/>
          <w:sz w:val="16"/>
          <w:szCs w:val="16"/>
        </w:rPr>
      </w:pPr>
    </w:p>
    <w:p w:rsidR="008321F0" w:rsidRDefault="008321F0" w:rsidP="008321F0">
      <w:pPr>
        <w:spacing w:line="210" w:lineRule="atLeast"/>
        <w:rPr>
          <w:rStyle w:val="Kop1Char"/>
          <w:b w:val="0"/>
          <w:i/>
          <w:sz w:val="16"/>
          <w:szCs w:val="16"/>
        </w:rPr>
      </w:pPr>
      <w:r>
        <w:rPr>
          <w:rStyle w:val="Kop1Char"/>
          <w:i/>
          <w:sz w:val="16"/>
          <w:szCs w:val="16"/>
        </w:rPr>
        <w:t>9) Beter benutten (decentralisatie-uitkering)</w:t>
      </w:r>
    </w:p>
    <w:p w:rsidR="008321F0" w:rsidRPr="00FB4F13" w:rsidRDefault="008321F0" w:rsidP="008321F0">
      <w:pPr>
        <w:spacing w:line="210" w:lineRule="atLeast"/>
        <w:rPr>
          <w:rStyle w:val="Kop1Char"/>
          <w:b w:val="0"/>
          <w:sz w:val="16"/>
          <w:szCs w:val="16"/>
        </w:rPr>
      </w:pPr>
      <w:r>
        <w:rPr>
          <w:rStyle w:val="Kop1Char"/>
          <w:sz w:val="16"/>
          <w:szCs w:val="16"/>
        </w:rPr>
        <w:t xml:space="preserve">Dit bedrag ad </w:t>
      </w:r>
      <w:r w:rsidRPr="00D545DC">
        <w:rPr>
          <w:rStyle w:val="Kop1Char"/>
          <w:sz w:val="16"/>
          <w:szCs w:val="16"/>
        </w:rPr>
        <w:t>€ 797</w:t>
      </w:r>
      <w:r>
        <w:rPr>
          <w:rStyle w:val="Kop1Char"/>
          <w:sz w:val="16"/>
          <w:szCs w:val="16"/>
        </w:rPr>
        <w:t xml:space="preserve"> duizend i</w:t>
      </w:r>
      <w:r w:rsidRPr="00D545DC">
        <w:rPr>
          <w:rStyle w:val="Kop1Char"/>
          <w:sz w:val="16"/>
          <w:szCs w:val="16"/>
        </w:rPr>
        <w:t>s bestemd voor de uitvoering van de Plannen van aanpak van de programmadirectie</w:t>
      </w:r>
      <w:r>
        <w:rPr>
          <w:rStyle w:val="Kop1Char"/>
          <w:sz w:val="16"/>
          <w:szCs w:val="16"/>
        </w:rPr>
        <w:t xml:space="preserve"> </w:t>
      </w:r>
      <w:r w:rsidRPr="00D545DC">
        <w:rPr>
          <w:rStyle w:val="Kop1Char"/>
          <w:sz w:val="16"/>
          <w:szCs w:val="16"/>
        </w:rPr>
        <w:t>Beter Benutten voor de gemeente Leeuwarden.</w:t>
      </w:r>
    </w:p>
    <w:p w:rsidR="008321F0" w:rsidRPr="00FB4F13" w:rsidRDefault="008321F0" w:rsidP="008321F0">
      <w:pPr>
        <w:spacing w:line="210" w:lineRule="atLeast"/>
        <w:rPr>
          <w:rStyle w:val="Kop1Char"/>
          <w:b w:val="0"/>
          <w:sz w:val="16"/>
          <w:szCs w:val="16"/>
        </w:rPr>
      </w:pPr>
    </w:p>
    <w:p w:rsidR="008321F0" w:rsidRDefault="008321F0" w:rsidP="008321F0">
      <w:pPr>
        <w:spacing w:line="210" w:lineRule="atLeast"/>
        <w:rPr>
          <w:rStyle w:val="Kop1Char"/>
          <w:b w:val="0"/>
          <w:i/>
          <w:sz w:val="16"/>
          <w:szCs w:val="16"/>
        </w:rPr>
      </w:pPr>
      <w:r>
        <w:rPr>
          <w:rStyle w:val="Kop1Char"/>
          <w:i/>
          <w:sz w:val="16"/>
          <w:szCs w:val="16"/>
        </w:rPr>
        <w:t>10) Green deals (decentralisatie-uitkering)</w:t>
      </w:r>
    </w:p>
    <w:p w:rsidR="008321F0" w:rsidRPr="006644C1" w:rsidRDefault="008321F0" w:rsidP="008321F0">
      <w:pPr>
        <w:spacing w:line="210" w:lineRule="atLeast"/>
        <w:rPr>
          <w:rStyle w:val="Kop1Char"/>
          <w:b w:val="0"/>
          <w:sz w:val="16"/>
          <w:szCs w:val="16"/>
        </w:rPr>
      </w:pPr>
      <w:r>
        <w:rPr>
          <w:rStyle w:val="Kop1Char"/>
          <w:sz w:val="16"/>
          <w:szCs w:val="16"/>
        </w:rPr>
        <w:t>Dit betreft green deals die het ministerie van Economische Zaken heeft gesloten met Amsterdam (€ 117 duizend) en Den Helder (€ 325 duizend).</w:t>
      </w:r>
    </w:p>
    <w:p w:rsidR="008321F0" w:rsidRDefault="008321F0" w:rsidP="008321F0">
      <w:pPr>
        <w:spacing w:line="210" w:lineRule="atLeast"/>
        <w:rPr>
          <w:rStyle w:val="Kop1Char"/>
          <w:b w:val="0"/>
          <w:i/>
          <w:sz w:val="16"/>
          <w:szCs w:val="16"/>
        </w:rPr>
      </w:pPr>
    </w:p>
    <w:p w:rsidR="008321F0" w:rsidRDefault="008321F0" w:rsidP="008321F0">
      <w:pPr>
        <w:spacing w:line="210" w:lineRule="atLeast"/>
        <w:rPr>
          <w:rStyle w:val="Kop1Char"/>
          <w:b w:val="0"/>
          <w:i/>
          <w:sz w:val="16"/>
          <w:szCs w:val="16"/>
        </w:rPr>
      </w:pPr>
      <w:r>
        <w:rPr>
          <w:rStyle w:val="Kop1Char"/>
          <w:i/>
          <w:sz w:val="16"/>
          <w:szCs w:val="16"/>
        </w:rPr>
        <w:t>11) Onderzoek verdeelmodellen Wet maatschappelijke opvang</w:t>
      </w:r>
    </w:p>
    <w:p w:rsidR="008321F0" w:rsidRPr="0066565C" w:rsidRDefault="008321F0" w:rsidP="008321F0">
      <w:pPr>
        <w:spacing w:line="210" w:lineRule="atLeast"/>
        <w:rPr>
          <w:rStyle w:val="Kop1Char"/>
          <w:b w:val="0"/>
          <w:sz w:val="16"/>
          <w:szCs w:val="16"/>
        </w:rPr>
      </w:pPr>
      <w:r>
        <w:rPr>
          <w:rStyle w:val="Kop1Char"/>
          <w:sz w:val="16"/>
          <w:szCs w:val="16"/>
        </w:rPr>
        <w:t>De ministeries van Volksgezondheid Welzijn en Sport</w:t>
      </w:r>
      <w:r w:rsidRPr="009156BF">
        <w:rPr>
          <w:rStyle w:val="Kop1Char"/>
          <w:sz w:val="16"/>
          <w:szCs w:val="16"/>
        </w:rPr>
        <w:t xml:space="preserve"> en B</w:t>
      </w:r>
      <w:r>
        <w:rPr>
          <w:rStyle w:val="Kop1Char"/>
          <w:sz w:val="16"/>
          <w:szCs w:val="16"/>
        </w:rPr>
        <w:t xml:space="preserve">innenlandse </w:t>
      </w:r>
      <w:r w:rsidRPr="009156BF">
        <w:rPr>
          <w:rStyle w:val="Kop1Char"/>
          <w:sz w:val="16"/>
          <w:szCs w:val="16"/>
        </w:rPr>
        <w:t>Z</w:t>
      </w:r>
      <w:r>
        <w:rPr>
          <w:rStyle w:val="Kop1Char"/>
          <w:sz w:val="16"/>
          <w:szCs w:val="16"/>
        </w:rPr>
        <w:t xml:space="preserve">aken en </w:t>
      </w:r>
      <w:r w:rsidRPr="009156BF">
        <w:rPr>
          <w:rStyle w:val="Kop1Char"/>
          <w:sz w:val="16"/>
          <w:szCs w:val="16"/>
        </w:rPr>
        <w:t>K</w:t>
      </w:r>
      <w:r>
        <w:rPr>
          <w:rStyle w:val="Kop1Char"/>
          <w:sz w:val="16"/>
          <w:szCs w:val="16"/>
        </w:rPr>
        <w:t>oninkrijksrelaties</w:t>
      </w:r>
      <w:r w:rsidRPr="009156BF">
        <w:rPr>
          <w:rStyle w:val="Kop1Char"/>
          <w:sz w:val="16"/>
          <w:szCs w:val="16"/>
        </w:rPr>
        <w:t xml:space="preserve"> doen ge</w:t>
      </w:r>
      <w:r>
        <w:rPr>
          <w:rStyle w:val="Kop1Char"/>
          <w:sz w:val="16"/>
          <w:szCs w:val="16"/>
        </w:rPr>
        <w:t>zamenli</w:t>
      </w:r>
      <w:r w:rsidRPr="009156BF">
        <w:rPr>
          <w:rStyle w:val="Kop1Char"/>
          <w:sz w:val="16"/>
          <w:szCs w:val="16"/>
        </w:rPr>
        <w:t xml:space="preserve">jk onderzoek naar </w:t>
      </w:r>
      <w:r>
        <w:rPr>
          <w:rStyle w:val="Kop1Char"/>
          <w:sz w:val="16"/>
          <w:szCs w:val="16"/>
        </w:rPr>
        <w:t xml:space="preserve">het verdeelmodel van de </w:t>
      </w:r>
      <w:r w:rsidRPr="00266933">
        <w:rPr>
          <w:rStyle w:val="Kop1Char"/>
          <w:sz w:val="16"/>
          <w:szCs w:val="16"/>
        </w:rPr>
        <w:t>Wet maatschappelijke opvang</w:t>
      </w:r>
      <w:r>
        <w:rPr>
          <w:rStyle w:val="Kop1Char"/>
          <w:sz w:val="16"/>
          <w:szCs w:val="16"/>
        </w:rPr>
        <w:t xml:space="preserve"> 2015. Genoemd bedrag (€ 195 duizend) betreft het aandeel van het ministerie van Volksgezondheid Welzijn en Sport in de onderzoekskosten.</w:t>
      </w:r>
    </w:p>
    <w:p w:rsidR="008321F0" w:rsidRDefault="008321F0" w:rsidP="008321F0">
      <w:pPr>
        <w:spacing w:line="210" w:lineRule="atLeast"/>
        <w:rPr>
          <w:rStyle w:val="Kop1Char"/>
          <w:b w:val="0"/>
          <w:i/>
          <w:sz w:val="16"/>
          <w:szCs w:val="16"/>
        </w:rPr>
      </w:pPr>
    </w:p>
    <w:p w:rsidR="008321F0" w:rsidRDefault="008321F0" w:rsidP="008321F0">
      <w:pPr>
        <w:spacing w:line="210" w:lineRule="atLeast"/>
        <w:rPr>
          <w:rStyle w:val="Kop1Char"/>
          <w:b w:val="0"/>
          <w:i/>
          <w:sz w:val="16"/>
          <w:szCs w:val="16"/>
        </w:rPr>
      </w:pPr>
      <w:r>
        <w:rPr>
          <w:rStyle w:val="Kop1Char"/>
          <w:i/>
          <w:sz w:val="16"/>
          <w:szCs w:val="16"/>
        </w:rPr>
        <w:t>12) Pilot integraal persoonsgebonden budget (decentralisatie-uitkering)</w:t>
      </w:r>
    </w:p>
    <w:p w:rsidR="008321F0" w:rsidRPr="00266933" w:rsidRDefault="008321F0" w:rsidP="008321F0">
      <w:pPr>
        <w:spacing w:line="210" w:lineRule="atLeast"/>
        <w:rPr>
          <w:rStyle w:val="Kop1Char"/>
          <w:b w:val="0"/>
          <w:sz w:val="16"/>
          <w:szCs w:val="16"/>
        </w:rPr>
      </w:pPr>
      <w:r w:rsidRPr="00266933">
        <w:rPr>
          <w:rStyle w:val="Kop1Char"/>
          <w:sz w:val="16"/>
          <w:szCs w:val="16"/>
        </w:rPr>
        <w:t xml:space="preserve">De gemeenten Delft en Woerden gaan een pilot uitvoeren op het gebied van een integraal </w:t>
      </w:r>
      <w:r>
        <w:rPr>
          <w:rStyle w:val="Kop1Char"/>
          <w:sz w:val="16"/>
          <w:szCs w:val="16"/>
        </w:rPr>
        <w:t>p</w:t>
      </w:r>
      <w:r w:rsidRPr="00266933">
        <w:rPr>
          <w:rStyle w:val="Kop1Char"/>
          <w:sz w:val="16"/>
          <w:szCs w:val="16"/>
        </w:rPr>
        <w:t xml:space="preserve">ersoonsgebonden budget. Het invoeren van een integraal </w:t>
      </w:r>
      <w:r>
        <w:rPr>
          <w:rStyle w:val="Kop1Char"/>
          <w:sz w:val="16"/>
          <w:szCs w:val="16"/>
        </w:rPr>
        <w:t>p</w:t>
      </w:r>
      <w:r w:rsidRPr="00266933">
        <w:rPr>
          <w:rStyle w:val="Kop1Char"/>
          <w:sz w:val="16"/>
          <w:szCs w:val="16"/>
        </w:rPr>
        <w:t xml:space="preserve">ersoonsgebonden budget moet leiden tot samenhang tussen verschillende vormen van gemeentelijk beleid in het sociaal domein. Hierbij wordt onderzocht tegen welke knelpunten men aanloopt, wat er dient te worden aangepast en voor welke doelgroep een integraal </w:t>
      </w:r>
      <w:r>
        <w:rPr>
          <w:rStyle w:val="Kop1Char"/>
          <w:sz w:val="16"/>
          <w:szCs w:val="16"/>
        </w:rPr>
        <w:t>p</w:t>
      </w:r>
      <w:r w:rsidRPr="00266933">
        <w:rPr>
          <w:rStyle w:val="Kop1Char"/>
          <w:sz w:val="16"/>
          <w:szCs w:val="16"/>
        </w:rPr>
        <w:t>ersoonsgebonden budget toepasbaar zou zijn. De bijdrage ad € 365 duizend is bedoeld voor het projectteam van de pilot.</w:t>
      </w:r>
    </w:p>
    <w:p w:rsidR="008321F0" w:rsidRPr="004B3AD2" w:rsidRDefault="008321F0" w:rsidP="008321F0">
      <w:pPr>
        <w:spacing w:line="210" w:lineRule="atLeast"/>
        <w:rPr>
          <w:rStyle w:val="Kop1Char"/>
          <w:b w:val="0"/>
          <w:sz w:val="16"/>
          <w:szCs w:val="16"/>
        </w:rPr>
      </w:pPr>
    </w:p>
    <w:p w:rsidR="008321F0" w:rsidRDefault="008321F0" w:rsidP="008321F0">
      <w:pPr>
        <w:spacing w:line="210" w:lineRule="atLeast"/>
        <w:rPr>
          <w:rStyle w:val="Kop1Char"/>
          <w:b w:val="0"/>
          <w:i/>
          <w:sz w:val="16"/>
          <w:szCs w:val="16"/>
        </w:rPr>
      </w:pPr>
      <w:r>
        <w:rPr>
          <w:rStyle w:val="Kop1Char"/>
          <w:i/>
          <w:sz w:val="16"/>
          <w:szCs w:val="16"/>
        </w:rPr>
        <w:t>13) Implementatie Participatiewet (decentralisatie-uitkering)</w:t>
      </w:r>
    </w:p>
    <w:p w:rsidR="008321F0" w:rsidRPr="00695C68" w:rsidRDefault="008321F0" w:rsidP="008321F0">
      <w:pPr>
        <w:spacing w:line="210" w:lineRule="atLeast"/>
        <w:rPr>
          <w:rStyle w:val="Kop1Char"/>
          <w:b w:val="0"/>
          <w:sz w:val="16"/>
          <w:szCs w:val="16"/>
        </w:rPr>
      </w:pPr>
      <w:r w:rsidRPr="004B3AD2">
        <w:rPr>
          <w:rStyle w:val="Kop1Char"/>
          <w:sz w:val="16"/>
          <w:szCs w:val="16"/>
        </w:rPr>
        <w:t>In het kader van de implementatie Participatiewet o</w:t>
      </w:r>
      <w:r>
        <w:rPr>
          <w:rStyle w:val="Kop1Char"/>
          <w:sz w:val="16"/>
          <w:szCs w:val="16"/>
        </w:rPr>
        <w:t xml:space="preserve">ntvangen de 35 centrumgemeenten in 2014 € </w:t>
      </w:r>
      <w:r w:rsidRPr="004B3AD2">
        <w:rPr>
          <w:rStyle w:val="Kop1Char"/>
          <w:sz w:val="16"/>
          <w:szCs w:val="16"/>
        </w:rPr>
        <w:t>3</w:t>
      </w:r>
      <w:r>
        <w:rPr>
          <w:rStyle w:val="Kop1Char"/>
          <w:sz w:val="16"/>
          <w:szCs w:val="16"/>
        </w:rPr>
        <w:t>,</w:t>
      </w:r>
      <w:r w:rsidRPr="004B3AD2">
        <w:rPr>
          <w:rStyle w:val="Kop1Char"/>
          <w:sz w:val="16"/>
          <w:szCs w:val="16"/>
        </w:rPr>
        <w:t xml:space="preserve">5 miljoen. </w:t>
      </w:r>
      <w:r>
        <w:rPr>
          <w:rStyle w:val="Kop1Char"/>
          <w:sz w:val="16"/>
          <w:szCs w:val="16"/>
        </w:rPr>
        <w:t xml:space="preserve">Totaal gaat het om € 35 miljoen voor de periode 2014-2016. </w:t>
      </w:r>
      <w:r w:rsidRPr="004B3AD2">
        <w:rPr>
          <w:rStyle w:val="Kop1Char"/>
          <w:sz w:val="16"/>
          <w:szCs w:val="16"/>
        </w:rPr>
        <w:t>De centrumgemeenten worden op deze manier in staat</w:t>
      </w:r>
      <w:r>
        <w:rPr>
          <w:rStyle w:val="Kop1Char"/>
          <w:sz w:val="16"/>
          <w:szCs w:val="16"/>
        </w:rPr>
        <w:t xml:space="preserve"> </w:t>
      </w:r>
      <w:r w:rsidRPr="004B3AD2">
        <w:rPr>
          <w:rStyle w:val="Kop1Char"/>
          <w:sz w:val="16"/>
          <w:szCs w:val="16"/>
        </w:rPr>
        <w:t xml:space="preserve">gesteld de samenwerking met </w:t>
      </w:r>
      <w:r>
        <w:rPr>
          <w:rStyle w:val="Kop1Char"/>
          <w:sz w:val="16"/>
          <w:szCs w:val="16"/>
        </w:rPr>
        <w:t xml:space="preserve">het </w:t>
      </w:r>
      <w:r w:rsidRPr="00266933">
        <w:rPr>
          <w:rStyle w:val="Kop1Char"/>
          <w:sz w:val="16"/>
          <w:szCs w:val="16"/>
        </w:rPr>
        <w:t>Uitvoeringsinstituut Werknemersverzekeringen</w:t>
      </w:r>
      <w:r w:rsidRPr="004B3AD2">
        <w:rPr>
          <w:rStyle w:val="Kop1Char"/>
          <w:sz w:val="16"/>
          <w:szCs w:val="16"/>
        </w:rPr>
        <w:t xml:space="preserve"> en werkgevers binnen de werkbedrijven nader vorm te geven.</w:t>
      </w:r>
    </w:p>
    <w:p w:rsidR="008321F0" w:rsidRPr="004B3AD2" w:rsidRDefault="008321F0" w:rsidP="008321F0">
      <w:pPr>
        <w:spacing w:line="210" w:lineRule="atLeast"/>
        <w:rPr>
          <w:rStyle w:val="Kop1Char"/>
          <w:b w:val="0"/>
          <w:sz w:val="16"/>
          <w:szCs w:val="16"/>
        </w:rPr>
      </w:pPr>
    </w:p>
    <w:p w:rsidR="008321F0" w:rsidRPr="004D3EAE" w:rsidRDefault="008321F0" w:rsidP="008321F0">
      <w:pPr>
        <w:spacing w:line="210" w:lineRule="atLeast"/>
        <w:rPr>
          <w:rStyle w:val="Kop1Char"/>
          <w:b w:val="0"/>
          <w:i/>
          <w:sz w:val="16"/>
          <w:szCs w:val="16"/>
        </w:rPr>
      </w:pPr>
      <w:r w:rsidRPr="004D3EAE">
        <w:rPr>
          <w:rStyle w:val="Kop1Char"/>
          <w:i/>
          <w:sz w:val="16"/>
          <w:szCs w:val="16"/>
        </w:rPr>
        <w:t>1</w:t>
      </w:r>
      <w:r>
        <w:rPr>
          <w:rStyle w:val="Kop1Char"/>
          <w:i/>
          <w:sz w:val="16"/>
          <w:szCs w:val="16"/>
        </w:rPr>
        <w:t>4</w:t>
      </w:r>
      <w:r w:rsidRPr="004D3EAE">
        <w:rPr>
          <w:rStyle w:val="Kop1Char"/>
          <w:i/>
          <w:sz w:val="16"/>
          <w:szCs w:val="16"/>
        </w:rPr>
        <w:t>) Eigen kracht (decentralisatie-uitkering)</w:t>
      </w:r>
    </w:p>
    <w:p w:rsidR="008321F0" w:rsidRDefault="008321F0" w:rsidP="008321F0">
      <w:pPr>
        <w:spacing w:line="210" w:lineRule="atLeast"/>
        <w:rPr>
          <w:rStyle w:val="Kop1Char"/>
          <w:b w:val="0"/>
          <w:sz w:val="16"/>
          <w:szCs w:val="16"/>
        </w:rPr>
      </w:pPr>
      <w:r w:rsidRPr="002D3AEC">
        <w:rPr>
          <w:rStyle w:val="Kop1Char"/>
          <w:sz w:val="16"/>
          <w:szCs w:val="16"/>
        </w:rPr>
        <w:t xml:space="preserve">Het programma Eigen Kracht heeft betrekking op het activeren van vrouwen met een afstand tot de arbeidsmarkt richting werk. De decentralisatie-uitkering voor dit beleid bedraagt </w:t>
      </w:r>
      <w:r>
        <w:rPr>
          <w:rStyle w:val="Kop1Char"/>
          <w:sz w:val="16"/>
          <w:szCs w:val="16"/>
        </w:rPr>
        <w:t xml:space="preserve">in 2014 </w:t>
      </w:r>
      <w:r w:rsidRPr="002D3AEC">
        <w:rPr>
          <w:rStyle w:val="Kop1Char"/>
          <w:sz w:val="16"/>
          <w:szCs w:val="16"/>
        </w:rPr>
        <w:t>€ 3</w:t>
      </w:r>
      <w:r>
        <w:rPr>
          <w:rStyle w:val="Kop1Char"/>
          <w:sz w:val="16"/>
          <w:szCs w:val="16"/>
        </w:rPr>
        <w:t>3</w:t>
      </w:r>
      <w:r w:rsidRPr="002D3AEC">
        <w:rPr>
          <w:rStyle w:val="Kop1Char"/>
          <w:sz w:val="16"/>
          <w:szCs w:val="16"/>
        </w:rPr>
        <w:t xml:space="preserve">0.000 </w:t>
      </w:r>
      <w:r>
        <w:rPr>
          <w:rStyle w:val="Kop1Char"/>
          <w:sz w:val="16"/>
          <w:szCs w:val="16"/>
        </w:rPr>
        <w:t xml:space="preserve">voor 11 </w:t>
      </w:r>
      <w:r w:rsidRPr="002D3AEC">
        <w:rPr>
          <w:rStyle w:val="Kop1Char"/>
          <w:sz w:val="16"/>
          <w:szCs w:val="16"/>
        </w:rPr>
        <w:t>gemeente</w:t>
      </w:r>
      <w:r>
        <w:rPr>
          <w:rStyle w:val="Kop1Char"/>
          <w:sz w:val="16"/>
          <w:szCs w:val="16"/>
        </w:rPr>
        <w:t>n.</w:t>
      </w:r>
    </w:p>
    <w:p w:rsidR="008321F0" w:rsidRDefault="008321F0" w:rsidP="008321F0">
      <w:pPr>
        <w:spacing w:line="210" w:lineRule="atLeast"/>
        <w:rPr>
          <w:rStyle w:val="Kop1Char"/>
          <w:b w:val="0"/>
          <w:sz w:val="16"/>
          <w:szCs w:val="16"/>
        </w:rPr>
      </w:pPr>
    </w:p>
    <w:p w:rsidR="008321F0" w:rsidRPr="004D3EAE" w:rsidRDefault="008321F0" w:rsidP="008321F0">
      <w:pPr>
        <w:spacing w:line="210" w:lineRule="atLeast"/>
        <w:rPr>
          <w:rStyle w:val="Kop1Char"/>
          <w:b w:val="0"/>
          <w:i/>
          <w:sz w:val="16"/>
          <w:szCs w:val="16"/>
        </w:rPr>
      </w:pPr>
      <w:r w:rsidRPr="004D3EAE">
        <w:rPr>
          <w:rStyle w:val="Kop1Char"/>
          <w:i/>
          <w:sz w:val="16"/>
          <w:szCs w:val="16"/>
        </w:rPr>
        <w:t>1</w:t>
      </w:r>
      <w:r>
        <w:rPr>
          <w:rStyle w:val="Kop1Char"/>
          <w:i/>
          <w:sz w:val="16"/>
          <w:szCs w:val="16"/>
        </w:rPr>
        <w:t>5</w:t>
      </w:r>
      <w:r w:rsidRPr="004D3EAE">
        <w:rPr>
          <w:rStyle w:val="Kop1Char"/>
          <w:i/>
          <w:sz w:val="16"/>
          <w:szCs w:val="16"/>
        </w:rPr>
        <w:t xml:space="preserve">) </w:t>
      </w:r>
      <w:r w:rsidRPr="00266933">
        <w:rPr>
          <w:rStyle w:val="Kop1Char"/>
          <w:i/>
          <w:sz w:val="16"/>
          <w:szCs w:val="16"/>
        </w:rPr>
        <w:t>Lesbische vrouwen, homoseksuele mannen, biseksuelen en transgenders</w:t>
      </w:r>
      <w:r>
        <w:rPr>
          <w:rStyle w:val="Kop1Char"/>
          <w:i/>
          <w:sz w:val="16"/>
          <w:szCs w:val="16"/>
        </w:rPr>
        <w:t>-emancipatiebeleid</w:t>
      </w:r>
      <w:r w:rsidRPr="004D3EAE">
        <w:rPr>
          <w:rStyle w:val="Kop1Char"/>
          <w:i/>
          <w:sz w:val="16"/>
          <w:szCs w:val="16"/>
        </w:rPr>
        <w:t xml:space="preserve"> (decentralisatie-uitkering)</w:t>
      </w:r>
    </w:p>
    <w:p w:rsidR="008321F0" w:rsidRDefault="008321F0" w:rsidP="008321F0">
      <w:pPr>
        <w:spacing w:line="210" w:lineRule="atLeast"/>
        <w:rPr>
          <w:rStyle w:val="Kop1Char"/>
          <w:b w:val="0"/>
          <w:sz w:val="16"/>
          <w:szCs w:val="16"/>
        </w:rPr>
      </w:pPr>
      <w:r w:rsidRPr="002D3AEC">
        <w:rPr>
          <w:rStyle w:val="Kop1Char"/>
          <w:sz w:val="16"/>
          <w:szCs w:val="16"/>
        </w:rPr>
        <w:t xml:space="preserve">Via </w:t>
      </w:r>
      <w:r>
        <w:rPr>
          <w:rStyle w:val="Kop1Char"/>
          <w:sz w:val="16"/>
          <w:szCs w:val="16"/>
        </w:rPr>
        <w:t xml:space="preserve">de </w:t>
      </w:r>
      <w:r w:rsidRPr="002D3AEC">
        <w:rPr>
          <w:rStyle w:val="Kop1Char"/>
          <w:sz w:val="16"/>
          <w:szCs w:val="16"/>
        </w:rPr>
        <w:t xml:space="preserve">decentralisatie-uitkering LHBT </w:t>
      </w:r>
      <w:r>
        <w:rPr>
          <w:rStyle w:val="Kop1Char"/>
          <w:sz w:val="16"/>
          <w:szCs w:val="16"/>
        </w:rPr>
        <w:t>(</w:t>
      </w:r>
      <w:r w:rsidRPr="00B86DC1">
        <w:rPr>
          <w:rStyle w:val="Kop1Char"/>
          <w:sz w:val="16"/>
          <w:szCs w:val="16"/>
        </w:rPr>
        <w:t>Lesbische vrouwen, homoseksuele mannen, biseksuelen en transgender personen</w:t>
      </w:r>
      <w:r>
        <w:rPr>
          <w:rStyle w:val="Kop1Char"/>
          <w:sz w:val="16"/>
          <w:szCs w:val="16"/>
        </w:rPr>
        <w:t xml:space="preserve">) </w:t>
      </w:r>
      <w:r w:rsidRPr="002D3AEC">
        <w:rPr>
          <w:rStyle w:val="Kop1Char"/>
          <w:sz w:val="16"/>
          <w:szCs w:val="16"/>
        </w:rPr>
        <w:t xml:space="preserve">ontvangen 29 gemeenten in 2014 elk € 10.000. Deze gemeenten zetten </w:t>
      </w:r>
      <w:r>
        <w:rPr>
          <w:rStyle w:val="Kop1Char"/>
          <w:sz w:val="16"/>
          <w:szCs w:val="16"/>
        </w:rPr>
        <w:t xml:space="preserve">zich in </w:t>
      </w:r>
      <w:r w:rsidRPr="002D3AEC">
        <w:rPr>
          <w:rStyle w:val="Kop1Char"/>
          <w:sz w:val="16"/>
          <w:szCs w:val="16"/>
        </w:rPr>
        <w:t xml:space="preserve">voor de </w:t>
      </w:r>
      <w:r w:rsidRPr="00266933">
        <w:rPr>
          <w:rStyle w:val="Kop1Char"/>
          <w:sz w:val="16"/>
          <w:szCs w:val="16"/>
        </w:rPr>
        <w:t xml:space="preserve">doelstelling de ‘veiligheid, weerbaarheid en sociale acceptatie van </w:t>
      </w:r>
      <w:r>
        <w:rPr>
          <w:rStyle w:val="Kop1Char"/>
          <w:sz w:val="16"/>
          <w:szCs w:val="16"/>
        </w:rPr>
        <w:lastRenderedPageBreak/>
        <w:t>l</w:t>
      </w:r>
      <w:r w:rsidRPr="00266933">
        <w:rPr>
          <w:rStyle w:val="Kop1Char"/>
          <w:sz w:val="16"/>
          <w:szCs w:val="16"/>
        </w:rPr>
        <w:t>esbische vrouwen, homoseksuele man</w:t>
      </w:r>
      <w:r>
        <w:rPr>
          <w:rStyle w:val="Kop1Char"/>
          <w:sz w:val="16"/>
          <w:szCs w:val="16"/>
        </w:rPr>
        <w:t>nen, biseksuelen en transgenders v</w:t>
      </w:r>
      <w:r w:rsidRPr="00266933">
        <w:rPr>
          <w:rStyle w:val="Kop1Char"/>
          <w:sz w:val="16"/>
          <w:szCs w:val="16"/>
        </w:rPr>
        <w:t>erder te bevorderen in Nederland en waar mogelijk ook internationaal’.</w:t>
      </w:r>
    </w:p>
    <w:p w:rsidR="008321F0" w:rsidRPr="00605FC0" w:rsidRDefault="008321F0" w:rsidP="008321F0">
      <w:pPr>
        <w:spacing w:line="210" w:lineRule="atLeast"/>
        <w:rPr>
          <w:rFonts w:ascii="Arial" w:hAnsi="Arial" w:cs="Arial"/>
          <w:sz w:val="16"/>
          <w:szCs w:val="16"/>
        </w:rPr>
      </w:pPr>
      <w:r w:rsidRPr="00605FC0">
        <w:rPr>
          <w:rStyle w:val="Kop1Char"/>
          <w:sz w:val="16"/>
          <w:szCs w:val="16"/>
        </w:rPr>
        <w:t>3.3.</w:t>
      </w:r>
      <w:r w:rsidRPr="00605FC0">
        <w:rPr>
          <w:rFonts w:ascii="Arial" w:eastAsia="MS Mincho" w:hAnsi="Arial" w:cs="Arial"/>
          <w:sz w:val="16"/>
          <w:szCs w:val="16"/>
        </w:rPr>
        <w:t> </w:t>
      </w:r>
      <w:r w:rsidRPr="00605FC0">
        <w:rPr>
          <w:rStyle w:val="Kop1Char"/>
          <w:sz w:val="16"/>
          <w:szCs w:val="16"/>
        </w:rPr>
        <w:t>Integratie-uitkeringen</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Als een toevoeging aan de algemene uitkering van het gemeentefonds in één keer bezwaarlijk is vanwege de omvang van de herverdeeleffecten wordt normaliter gesproken een integratie-uitkering toegepast. De integratie-uitkering voorziet dan in een geleidelijke overgang van specifieke uitkering of eigen inkomsten naar de algemene uitkering. In tabel B4 wordt een overzicht gegeven van d</w:t>
      </w:r>
      <w:r>
        <w:rPr>
          <w:rFonts w:ascii="Arial" w:hAnsi="Arial" w:cs="Arial"/>
          <w:sz w:val="16"/>
          <w:szCs w:val="16"/>
        </w:rPr>
        <w:t>e integratie-uitkeringen in 2014</w:t>
      </w:r>
      <w:r w:rsidRPr="00605FC0">
        <w:rPr>
          <w:rFonts w:ascii="Arial" w:hAnsi="Arial" w:cs="Arial"/>
          <w:sz w:val="16"/>
          <w:szCs w:val="16"/>
        </w:rPr>
        <w:t>.</w:t>
      </w:r>
    </w:p>
    <w:p w:rsidR="008321F0" w:rsidRPr="00605FC0" w:rsidRDefault="008321F0" w:rsidP="008321F0">
      <w:pPr>
        <w:spacing w:line="210" w:lineRule="atLeast"/>
        <w:rPr>
          <w:rFonts w:ascii="Arial" w:hAnsi="Arial" w:cs="Arial"/>
          <w:sz w:val="16"/>
          <w:szCs w:val="16"/>
        </w:rPr>
      </w:pPr>
    </w:p>
    <w:p w:rsidR="008321F0" w:rsidRPr="00605FC0" w:rsidRDefault="008321F0" w:rsidP="008321F0">
      <w:pPr>
        <w:spacing w:line="210" w:lineRule="atLeast"/>
        <w:rPr>
          <w:rFonts w:ascii="Arial" w:hAnsi="Arial" w:cs="Arial"/>
          <w:b/>
          <w:sz w:val="16"/>
          <w:szCs w:val="16"/>
        </w:rPr>
      </w:pPr>
      <w:r>
        <w:rPr>
          <w:rFonts w:ascii="Arial" w:hAnsi="Arial" w:cs="Arial"/>
          <w:b/>
          <w:noProof/>
          <w:sz w:val="16"/>
          <w:szCs w:val="16"/>
        </w:rPr>
        <w:drawing>
          <wp:inline distT="0" distB="0" distL="0" distR="0">
            <wp:extent cx="4486275" cy="35337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3533775"/>
                    </a:xfrm>
                    <a:prstGeom prst="rect">
                      <a:avLst/>
                    </a:prstGeom>
                    <a:noFill/>
                    <a:ln>
                      <a:noFill/>
                    </a:ln>
                  </pic:spPr>
                </pic:pic>
              </a:graphicData>
            </a:graphic>
          </wp:inline>
        </w:drawing>
      </w:r>
    </w:p>
    <w:p w:rsidR="008321F0" w:rsidRDefault="008321F0" w:rsidP="008321F0">
      <w:pPr>
        <w:spacing w:line="210" w:lineRule="atLeast"/>
        <w:rPr>
          <w:rFonts w:ascii="Arial" w:hAnsi="Arial" w:cs="Arial"/>
          <w:b/>
          <w:sz w:val="16"/>
          <w:szCs w:val="16"/>
        </w:rPr>
      </w:pPr>
    </w:p>
    <w:p w:rsidR="008321F0" w:rsidRPr="00605FC0" w:rsidRDefault="008321F0" w:rsidP="008321F0">
      <w:pPr>
        <w:spacing w:line="210" w:lineRule="atLeast"/>
        <w:rPr>
          <w:rFonts w:ascii="Arial" w:hAnsi="Arial" w:cs="Arial"/>
          <w:b/>
          <w:sz w:val="16"/>
          <w:szCs w:val="16"/>
        </w:rPr>
      </w:pPr>
      <w:r w:rsidRPr="00605FC0">
        <w:rPr>
          <w:rFonts w:ascii="Arial" w:hAnsi="Arial" w:cs="Arial"/>
          <w:b/>
          <w:sz w:val="16"/>
          <w:szCs w:val="16"/>
        </w:rPr>
        <w:t>3.4. Decentralisatie-uitkeringen</w:t>
      </w:r>
    </w:p>
    <w:p w:rsidR="008321F0" w:rsidRPr="00605FC0" w:rsidRDefault="008321F0" w:rsidP="008321F0">
      <w:pPr>
        <w:spacing w:line="210" w:lineRule="atLeast"/>
        <w:rPr>
          <w:rFonts w:ascii="Arial" w:hAnsi="Arial" w:cs="Arial"/>
          <w:b/>
          <w:sz w:val="16"/>
          <w:szCs w:val="16"/>
        </w:rPr>
      </w:pPr>
    </w:p>
    <w:p w:rsidR="008321F0" w:rsidRPr="00605FC0" w:rsidRDefault="008321F0" w:rsidP="008321F0">
      <w:pPr>
        <w:spacing w:line="210" w:lineRule="atLeast"/>
        <w:rPr>
          <w:rFonts w:ascii="Arial" w:hAnsi="Arial" w:cs="Arial"/>
          <w:sz w:val="16"/>
          <w:szCs w:val="16"/>
        </w:rPr>
      </w:pPr>
      <w:r w:rsidRPr="00605FC0">
        <w:rPr>
          <w:rFonts w:ascii="Arial" w:hAnsi="Arial" w:cs="Arial"/>
          <w:sz w:val="16"/>
          <w:szCs w:val="16"/>
        </w:rPr>
        <w:t>Binnen het gemeentefonds bestaat naast de algemene uitkering en de integratie-uitkering ook de decentralisatie-uitkering. De verdeling van de decentralisatie-uitkering volgt evenmin als de integratie-uitkering de regels van de verdeling van de algemene uitkering van het gemeentefonds. Anders dan bij de integratie-uitkering, waar de termijn van overheveling naar de algemene uitkering van tevoren vaststaat, ontbreekt bij de decentralisatie-uitkering een dergelijke termijn. Dat maakt de uitkering geschikt voor de overheveling van specifieke uitkeringen, ook als die termijn nog niet bekend is. Ook maakt het de uitkering geschikt voor middelen die slechts tijdelijk beschikbaar zijn. In tabel B5 is een overzicht opgenomen van de decentralisatie-uit</w:t>
      </w:r>
      <w:r>
        <w:rPr>
          <w:rFonts w:ascii="Arial" w:hAnsi="Arial" w:cs="Arial"/>
          <w:sz w:val="16"/>
          <w:szCs w:val="16"/>
        </w:rPr>
        <w:t>keringen in 2014</w:t>
      </w:r>
      <w:r w:rsidRPr="00605FC0">
        <w:rPr>
          <w:rFonts w:ascii="Arial" w:hAnsi="Arial" w:cs="Arial"/>
          <w:sz w:val="16"/>
          <w:szCs w:val="16"/>
        </w:rPr>
        <w:t>.</w:t>
      </w:r>
    </w:p>
    <w:p w:rsidR="008321F0" w:rsidRPr="00A9246C" w:rsidRDefault="008321F0" w:rsidP="008321F0">
      <w:pPr>
        <w:spacing w:line="210" w:lineRule="atLeast"/>
        <w:rPr>
          <w:rFonts w:ascii="Arial" w:hAnsi="Arial" w:cs="Arial"/>
          <w:sz w:val="16"/>
          <w:szCs w:val="16"/>
        </w:rPr>
      </w:pPr>
    </w:p>
    <w:p w:rsidR="008321F0" w:rsidRPr="00A9246C" w:rsidRDefault="008321F0" w:rsidP="008321F0">
      <w:pPr>
        <w:spacing w:line="210" w:lineRule="atLeast"/>
        <w:rPr>
          <w:rFonts w:ascii="Arial" w:hAnsi="Arial" w:cs="Arial"/>
          <w:sz w:val="16"/>
          <w:szCs w:val="16"/>
        </w:rPr>
      </w:pPr>
      <w:r>
        <w:rPr>
          <w:rFonts w:ascii="Arial" w:hAnsi="Arial" w:cs="Arial"/>
          <w:noProof/>
          <w:sz w:val="16"/>
          <w:szCs w:val="16"/>
        </w:rPr>
        <w:lastRenderedPageBreak/>
        <w:drawing>
          <wp:inline distT="0" distB="0" distL="0" distR="0">
            <wp:extent cx="4095750" cy="9010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9010650"/>
                    </a:xfrm>
                    <a:prstGeom prst="rect">
                      <a:avLst/>
                    </a:prstGeom>
                    <a:noFill/>
                    <a:ln>
                      <a:noFill/>
                    </a:ln>
                  </pic:spPr>
                </pic:pic>
              </a:graphicData>
            </a:graphic>
          </wp:inline>
        </w:drawing>
      </w:r>
    </w:p>
    <w:p w:rsidR="009E7070" w:rsidRDefault="009E7070">
      <w:bookmarkStart w:id="0" w:name="_GoBack"/>
      <w:bookmarkEnd w:id="0"/>
    </w:p>
    <w:sectPr w:rsidR="009E7070" w:rsidSect="00207F79">
      <w:pgSz w:w="11906" w:h="16838" w:code="9"/>
      <w:pgMar w:top="1418" w:right="1418" w:bottom="1418" w:left="2892" w:header="709" w:footer="709" w:gutter="284"/>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F0"/>
    <w:rsid w:val="00485333"/>
    <w:rsid w:val="004F79F1"/>
    <w:rsid w:val="008321F0"/>
    <w:rsid w:val="009E7070"/>
    <w:rsid w:val="00A5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21F0"/>
  </w:style>
  <w:style w:type="paragraph" w:styleId="Kop1">
    <w:name w:val="heading 1"/>
    <w:basedOn w:val="Standaard"/>
    <w:next w:val="Standaard"/>
    <w:link w:val="Kop1Char"/>
    <w:qFormat/>
    <w:rsid w:val="008321F0"/>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21F0"/>
    <w:rPr>
      <w:rFonts w:ascii="Arial" w:hAnsi="Arial" w:cs="Arial"/>
      <w:b/>
      <w:bCs/>
      <w:kern w:val="32"/>
      <w:sz w:val="32"/>
      <w:szCs w:val="32"/>
    </w:rPr>
  </w:style>
  <w:style w:type="paragraph" w:styleId="Plattetekst">
    <w:name w:val="Body Text"/>
    <w:basedOn w:val="Standaard"/>
    <w:link w:val="PlattetekstChar"/>
    <w:rsid w:val="008321F0"/>
    <w:pPr>
      <w:spacing w:line="360" w:lineRule="auto"/>
    </w:pPr>
    <w:rPr>
      <w:rFonts w:ascii="Arial" w:hAnsi="Arial"/>
      <w:b/>
      <w:sz w:val="22"/>
    </w:rPr>
  </w:style>
  <w:style w:type="character" w:customStyle="1" w:styleId="PlattetekstChar">
    <w:name w:val="Platte tekst Char"/>
    <w:basedOn w:val="Standaardalinea-lettertype"/>
    <w:link w:val="Plattetekst"/>
    <w:rsid w:val="008321F0"/>
    <w:rPr>
      <w:rFonts w:ascii="Arial" w:hAnsi="Arial"/>
      <w:b/>
      <w:sz w:val="22"/>
    </w:rPr>
  </w:style>
  <w:style w:type="paragraph" w:customStyle="1" w:styleId="Plattetekst21">
    <w:name w:val="Platte tekst 21"/>
    <w:basedOn w:val="Standaard"/>
    <w:rsid w:val="008321F0"/>
    <w:pPr>
      <w:overflowPunct w:val="0"/>
      <w:autoSpaceDE w:val="0"/>
      <w:autoSpaceDN w:val="0"/>
      <w:adjustRightInd w:val="0"/>
      <w:ind w:left="1701"/>
      <w:textAlignment w:val="baseline"/>
    </w:pPr>
    <w:rPr>
      <w:rFonts w:ascii="Arial" w:hAnsi="Arial"/>
    </w:rPr>
  </w:style>
  <w:style w:type="paragraph" w:styleId="Ballontekst">
    <w:name w:val="Balloon Text"/>
    <w:basedOn w:val="Standaard"/>
    <w:link w:val="BallontekstChar"/>
    <w:rsid w:val="008321F0"/>
    <w:rPr>
      <w:rFonts w:ascii="Tahoma" w:hAnsi="Tahoma" w:cs="Tahoma"/>
      <w:sz w:val="16"/>
      <w:szCs w:val="16"/>
    </w:rPr>
  </w:style>
  <w:style w:type="character" w:customStyle="1" w:styleId="BallontekstChar">
    <w:name w:val="Ballontekst Char"/>
    <w:basedOn w:val="Standaardalinea-lettertype"/>
    <w:link w:val="Ballontekst"/>
    <w:rsid w:val="00832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21F0"/>
  </w:style>
  <w:style w:type="paragraph" w:styleId="Kop1">
    <w:name w:val="heading 1"/>
    <w:basedOn w:val="Standaard"/>
    <w:next w:val="Standaard"/>
    <w:link w:val="Kop1Char"/>
    <w:qFormat/>
    <w:rsid w:val="008321F0"/>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21F0"/>
    <w:rPr>
      <w:rFonts w:ascii="Arial" w:hAnsi="Arial" w:cs="Arial"/>
      <w:b/>
      <w:bCs/>
      <w:kern w:val="32"/>
      <w:sz w:val="32"/>
      <w:szCs w:val="32"/>
    </w:rPr>
  </w:style>
  <w:style w:type="paragraph" w:styleId="Plattetekst">
    <w:name w:val="Body Text"/>
    <w:basedOn w:val="Standaard"/>
    <w:link w:val="PlattetekstChar"/>
    <w:rsid w:val="008321F0"/>
    <w:pPr>
      <w:spacing w:line="360" w:lineRule="auto"/>
    </w:pPr>
    <w:rPr>
      <w:rFonts w:ascii="Arial" w:hAnsi="Arial"/>
      <w:b/>
      <w:sz w:val="22"/>
    </w:rPr>
  </w:style>
  <w:style w:type="character" w:customStyle="1" w:styleId="PlattetekstChar">
    <w:name w:val="Platte tekst Char"/>
    <w:basedOn w:val="Standaardalinea-lettertype"/>
    <w:link w:val="Plattetekst"/>
    <w:rsid w:val="008321F0"/>
    <w:rPr>
      <w:rFonts w:ascii="Arial" w:hAnsi="Arial"/>
      <w:b/>
      <w:sz w:val="22"/>
    </w:rPr>
  </w:style>
  <w:style w:type="paragraph" w:customStyle="1" w:styleId="Plattetekst21">
    <w:name w:val="Platte tekst 21"/>
    <w:basedOn w:val="Standaard"/>
    <w:rsid w:val="008321F0"/>
    <w:pPr>
      <w:overflowPunct w:val="0"/>
      <w:autoSpaceDE w:val="0"/>
      <w:autoSpaceDN w:val="0"/>
      <w:adjustRightInd w:val="0"/>
      <w:ind w:left="1701"/>
      <w:textAlignment w:val="baseline"/>
    </w:pPr>
    <w:rPr>
      <w:rFonts w:ascii="Arial" w:hAnsi="Arial"/>
    </w:rPr>
  </w:style>
  <w:style w:type="paragraph" w:styleId="Ballontekst">
    <w:name w:val="Balloon Text"/>
    <w:basedOn w:val="Standaard"/>
    <w:link w:val="BallontekstChar"/>
    <w:rsid w:val="008321F0"/>
    <w:rPr>
      <w:rFonts w:ascii="Tahoma" w:hAnsi="Tahoma" w:cs="Tahoma"/>
      <w:sz w:val="16"/>
      <w:szCs w:val="16"/>
    </w:rPr>
  </w:style>
  <w:style w:type="character" w:customStyle="1" w:styleId="BallontekstChar">
    <w:name w:val="Ballontekst Char"/>
    <w:basedOn w:val="Standaardalinea-lettertype"/>
    <w:link w:val="Ballontekst"/>
    <w:rsid w:val="00832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customXml" Target="../customXml/item2.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BEF0E-37E4-4C3F-BA73-755A710513E9}"/>
</file>

<file path=customXml/itemProps2.xml><?xml version="1.0" encoding="utf-8"?>
<ds:datastoreItem xmlns:ds="http://schemas.openxmlformats.org/officeDocument/2006/customXml" ds:itemID="{49B91D71-EAE9-4A85-B2DC-40B1BED12AE9}"/>
</file>

<file path=customXml/itemProps3.xml><?xml version="1.0" encoding="utf-8"?>
<ds:datastoreItem xmlns:ds="http://schemas.openxmlformats.org/officeDocument/2006/customXml" ds:itemID="{9EA04D8E-FC4F-48B9-B497-B14D545AC017}"/>
</file>

<file path=docProps/app.xml><?xml version="1.0" encoding="utf-8"?>
<Properties xmlns="http://schemas.openxmlformats.org/officeDocument/2006/extended-properties" xmlns:vt="http://schemas.openxmlformats.org/officeDocument/2006/docPropsVTypes">
  <Template>985CC5C3.dotm</Template>
  <TotalTime>0</TotalTime>
  <Pages>11</Pages>
  <Words>1700</Words>
  <Characters>9350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2014-11-28T14:03:00Z</dcterms:created>
  <dcterms:modified xsi:type="dcterms:W3CDTF">2014-11-28T14:03:00Z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