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925" w:rsidRPr="00BC1BB1" w:rsidRDefault="00B20925" w:rsidP="00B20925">
      <w:pPr>
        <w:widowControl w:val="0"/>
        <w:autoSpaceDE w:val="0"/>
        <w:autoSpaceDN w:val="0"/>
        <w:adjustRightInd w:val="0"/>
        <w:rPr>
          <w:rFonts w:ascii="Verdana" w:hAnsi="Verdana" w:cs="Arial"/>
          <w:b/>
          <w:bCs/>
        </w:rPr>
      </w:pPr>
      <w:r w:rsidRPr="00BC1BB1">
        <w:rPr>
          <w:rFonts w:ascii="Verdana" w:hAnsi="Verdana" w:cs="Arial"/>
          <w:b/>
          <w:bCs/>
        </w:rPr>
        <w:t>MEMORIE VAN TOELICHTING</w:t>
      </w:r>
      <w:bookmarkStart w:id="0" w:name="_GoBack"/>
      <w:bookmarkEnd w:id="0"/>
    </w:p>
    <w:p w:rsidR="00B20925" w:rsidRPr="00BC1BB1"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b/>
          <w:bCs/>
        </w:rPr>
        <w:t>A. ARTIKELSGEWIJZE TOELICHTING BIJ HET WETSVOORSTEL</w:t>
      </w:r>
    </w:p>
    <w:p w:rsidR="00B20925" w:rsidRPr="00BC1BB1"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b/>
          <w:bCs/>
        </w:rPr>
        <w:t>Wetsartikel 1</w:t>
      </w: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rPr>
        <w:t>De begrotingsstaten, die onderdeel zijn van de Rijksbegroting, worden op grond van artikel 1, derde lid, van de Comptabiliteitswet 2001 elk afzonderlijk bij de wet vastgesteld en derhalve ook gewijzigd. Het onderhavige wetsvoorstel strekt ertoe om voor het jaar 201</w:t>
      </w:r>
      <w:r>
        <w:rPr>
          <w:rFonts w:ascii="Verdana" w:hAnsi="Verdana" w:cs="Arial"/>
        </w:rPr>
        <w:t>4</w:t>
      </w:r>
      <w:r w:rsidRPr="00BC1BB1">
        <w:rPr>
          <w:rFonts w:ascii="Verdana" w:hAnsi="Verdana" w:cs="Arial"/>
        </w:rPr>
        <w:t xml:space="preserve"> wijzigingen aan te brengen in de departementale begrotingsstaat van het Ministerie van Veiligheid en Justitie.</w:t>
      </w:r>
    </w:p>
    <w:p w:rsidR="00B20925" w:rsidRPr="00BC1BB1"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rPr>
        <w:t xml:space="preserve">De in de begrotingsstaten opgenomen begrotingsartikelen worden in onderdeel B van deze memorie van toelichting toegelicht (de zgn. begrotingstoelichting). </w:t>
      </w:r>
    </w:p>
    <w:p w:rsidR="00B20925" w:rsidRPr="00BC1BB1"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rPr>
        <w:t>De Minister van Veiligheid en Justitie,</w:t>
      </w:r>
    </w:p>
    <w:p w:rsidR="00B20925" w:rsidRPr="00BC1BB1"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Default="00B20925" w:rsidP="00B20925">
      <w:pPr>
        <w:widowControl w:val="0"/>
        <w:autoSpaceDE w:val="0"/>
        <w:autoSpaceDN w:val="0"/>
        <w:adjustRightInd w:val="0"/>
        <w:rPr>
          <w:rFonts w:ascii="Verdana" w:hAnsi="Verdana" w:cs="Arial"/>
        </w:rPr>
      </w:pPr>
    </w:p>
    <w:p w:rsidR="00B20925" w:rsidRPr="00BC1BB1" w:rsidRDefault="00B20925" w:rsidP="00B20925">
      <w:pPr>
        <w:widowControl w:val="0"/>
        <w:autoSpaceDE w:val="0"/>
        <w:autoSpaceDN w:val="0"/>
        <w:adjustRightInd w:val="0"/>
        <w:rPr>
          <w:rFonts w:ascii="Verdana" w:hAnsi="Verdana" w:cs="Arial"/>
        </w:rPr>
      </w:pPr>
      <w:r w:rsidRPr="00BC1BB1">
        <w:rPr>
          <w:rFonts w:ascii="Verdana" w:hAnsi="Verdana" w:cs="Arial"/>
        </w:rPr>
        <w:t xml:space="preserve">I.W. </w:t>
      </w:r>
      <w:proofErr w:type="spellStart"/>
      <w:r w:rsidRPr="00BC1BB1">
        <w:rPr>
          <w:rFonts w:ascii="Verdana" w:hAnsi="Verdana" w:cs="Arial"/>
        </w:rPr>
        <w:t>Opstelten</w:t>
      </w:r>
      <w:proofErr w:type="spellEnd"/>
    </w:p>
    <w:p w:rsidR="00B20925" w:rsidRPr="00BC1BB1" w:rsidRDefault="00B20925" w:rsidP="00B20925">
      <w:pPr>
        <w:widowControl w:val="0"/>
        <w:autoSpaceDE w:val="0"/>
        <w:autoSpaceDN w:val="0"/>
        <w:adjustRightInd w:val="0"/>
        <w:spacing w:line="360" w:lineRule="auto"/>
        <w:ind w:left="1134"/>
        <w:rPr>
          <w:rFonts w:ascii="Verdana" w:hAnsi="Verdana" w:cs="Arial"/>
        </w:rPr>
      </w:pPr>
    </w:p>
    <w:p w:rsidR="00B20925" w:rsidRPr="00BC1BB1" w:rsidRDefault="00B20925" w:rsidP="00B20925">
      <w:pPr>
        <w:widowControl w:val="0"/>
        <w:autoSpaceDE w:val="0"/>
        <w:autoSpaceDN w:val="0"/>
        <w:adjustRightInd w:val="0"/>
        <w:spacing w:line="360" w:lineRule="auto"/>
        <w:ind w:left="1134"/>
        <w:rPr>
          <w:rFonts w:ascii="Verdana" w:hAnsi="Verdana" w:cs="Arial"/>
        </w:rPr>
      </w:pPr>
    </w:p>
    <w:p w:rsidR="00B20925" w:rsidRPr="00BC1BB1" w:rsidRDefault="00B20925" w:rsidP="00B20925">
      <w:pPr>
        <w:widowControl w:val="0"/>
        <w:autoSpaceDE w:val="0"/>
        <w:autoSpaceDN w:val="0"/>
        <w:adjustRightInd w:val="0"/>
        <w:spacing w:line="360" w:lineRule="auto"/>
        <w:ind w:left="1134"/>
        <w:rPr>
          <w:rFonts w:ascii="Verdana" w:hAnsi="Verdana" w:cs="Arial"/>
        </w:rPr>
      </w:pPr>
    </w:p>
    <w:p w:rsidR="00B20925" w:rsidRPr="00BC1BB1" w:rsidRDefault="00B20925" w:rsidP="00B20925">
      <w:pPr>
        <w:widowControl w:val="0"/>
        <w:autoSpaceDE w:val="0"/>
        <w:autoSpaceDN w:val="0"/>
        <w:adjustRightInd w:val="0"/>
        <w:spacing w:line="360" w:lineRule="auto"/>
        <w:ind w:left="1134"/>
        <w:rPr>
          <w:rFonts w:ascii="Verdana" w:hAnsi="Verdana" w:cs="Arial"/>
        </w:rPr>
      </w:pPr>
    </w:p>
    <w:p w:rsidR="00B20925" w:rsidRPr="00BC1BB1" w:rsidRDefault="00B20925" w:rsidP="00B20925">
      <w:pPr>
        <w:rPr>
          <w:rFonts w:ascii="Verdana" w:hAnsi="Verdana" w:cs="Arial"/>
        </w:rPr>
      </w:pPr>
      <w:r w:rsidRPr="00BC1BB1">
        <w:rPr>
          <w:rFonts w:ascii="Verdana" w:hAnsi="Verdana" w:cs="Arial"/>
        </w:rPr>
        <w:br w:type="page"/>
      </w:r>
    </w:p>
    <w:p w:rsidR="00B20925" w:rsidRPr="00BC1BB1" w:rsidRDefault="00B20925" w:rsidP="00B20925">
      <w:pPr>
        <w:spacing w:after="200" w:line="276" w:lineRule="auto"/>
        <w:rPr>
          <w:rFonts w:ascii="Verdana" w:eastAsia="Calibri" w:hAnsi="Verdana"/>
          <w:b/>
          <w:lang w:eastAsia="en-US"/>
        </w:rPr>
      </w:pPr>
      <w:r w:rsidRPr="00BC1BB1">
        <w:rPr>
          <w:rFonts w:ascii="Verdana" w:eastAsia="Calibri" w:hAnsi="Verdana"/>
          <w:b/>
          <w:lang w:eastAsia="en-US"/>
        </w:rPr>
        <w:lastRenderedPageBreak/>
        <w:t>B. BEGROTINGSTOELICHTING</w:t>
      </w:r>
    </w:p>
    <w:p w:rsidR="00B20925" w:rsidRPr="00BC1BB1" w:rsidRDefault="00B20925" w:rsidP="00B20925">
      <w:pPr>
        <w:spacing w:after="200" w:line="276" w:lineRule="auto"/>
        <w:rPr>
          <w:rFonts w:ascii="Verdana" w:eastAsia="Calibri" w:hAnsi="Verdana"/>
          <w:b/>
          <w:lang w:eastAsia="en-US"/>
        </w:rPr>
      </w:pPr>
      <w:r w:rsidRPr="00BC1BB1">
        <w:rPr>
          <w:rFonts w:ascii="Verdana" w:eastAsia="Calibri" w:hAnsi="Verdana"/>
          <w:b/>
          <w:lang w:eastAsia="en-US"/>
        </w:rPr>
        <w:t>1.  Leeswijzer</w:t>
      </w:r>
    </w:p>
    <w:p w:rsidR="00B20925" w:rsidRPr="00BC1BB1" w:rsidRDefault="00B20925" w:rsidP="00B20925">
      <w:pPr>
        <w:spacing w:after="200" w:line="276" w:lineRule="auto"/>
        <w:rPr>
          <w:rFonts w:ascii="Verdana" w:eastAsia="Calibri" w:hAnsi="Verdana"/>
          <w:b/>
          <w:lang w:eastAsia="en-US"/>
        </w:rPr>
      </w:pPr>
      <w:r w:rsidRPr="00BC1BB1">
        <w:rPr>
          <w:rFonts w:ascii="Verdana" w:eastAsia="Calibri" w:hAnsi="Verdana"/>
          <w:b/>
          <w:lang w:eastAsia="en-US"/>
        </w:rPr>
        <w:t>2.  Het beleid</w:t>
      </w:r>
    </w:p>
    <w:p w:rsidR="00B20925" w:rsidRPr="00BC1BB1" w:rsidRDefault="00B20925" w:rsidP="00B20925">
      <w:pPr>
        <w:spacing w:after="200" w:line="276" w:lineRule="auto"/>
        <w:rPr>
          <w:rFonts w:ascii="Verdana" w:eastAsia="Calibri" w:hAnsi="Verdana"/>
          <w:b/>
          <w:lang w:eastAsia="en-US"/>
        </w:rPr>
      </w:pPr>
      <w:r w:rsidRPr="00BC1BB1">
        <w:rPr>
          <w:rFonts w:ascii="Verdana" w:eastAsia="Calibri" w:hAnsi="Verdana"/>
          <w:b/>
          <w:lang w:eastAsia="en-US"/>
        </w:rPr>
        <w:t>2.1 Overzicht belangrijkste uitgaven- en ontvangstenmutaties</w:t>
      </w:r>
    </w:p>
    <w:p w:rsidR="00B20925" w:rsidRPr="00BC1BB1" w:rsidRDefault="00B20925" w:rsidP="00B20925">
      <w:pPr>
        <w:spacing w:after="200"/>
        <w:rPr>
          <w:rFonts w:ascii="Verdana" w:eastAsia="Calibri" w:hAnsi="Verdana"/>
          <w:b/>
          <w:lang w:eastAsia="en-US"/>
        </w:rPr>
      </w:pPr>
      <w:r w:rsidRPr="00BC1BB1">
        <w:rPr>
          <w:rFonts w:ascii="Verdana" w:eastAsia="Calibri" w:hAnsi="Verdana"/>
          <w:b/>
          <w:lang w:eastAsia="en-US"/>
        </w:rPr>
        <w:t>2.2 De Beleidsartikelen</w:t>
      </w:r>
    </w:p>
    <w:p w:rsidR="00B20925" w:rsidRPr="00BC1BB1" w:rsidRDefault="00B20925" w:rsidP="00B20925">
      <w:pPr>
        <w:spacing w:after="200"/>
        <w:ind w:left="708"/>
        <w:rPr>
          <w:rFonts w:ascii="Verdana" w:eastAsia="Calibri" w:hAnsi="Verdana"/>
          <w:lang w:eastAsia="en-US"/>
        </w:rPr>
      </w:pPr>
      <w:r w:rsidRPr="00BC1BB1">
        <w:rPr>
          <w:rFonts w:ascii="Verdana" w:eastAsia="Calibri" w:hAnsi="Verdana"/>
          <w:lang w:eastAsia="en-US"/>
        </w:rPr>
        <w:t>31 Nationale politie</w:t>
      </w:r>
      <w:r w:rsidRPr="00BC1BB1">
        <w:rPr>
          <w:rFonts w:ascii="Verdana" w:eastAsia="Calibri" w:hAnsi="Verdana"/>
          <w:lang w:eastAsia="en-US"/>
        </w:rPr>
        <w:br/>
        <w:t>32 Rechtspleging en rechtsbijstand</w:t>
      </w:r>
      <w:r w:rsidRPr="00BC1BB1">
        <w:rPr>
          <w:rFonts w:ascii="Verdana" w:eastAsia="Calibri" w:hAnsi="Verdana"/>
          <w:lang w:eastAsia="en-US"/>
        </w:rPr>
        <w:br/>
        <w:t>33 Veiligheid en criminaliteitsbestrijding</w:t>
      </w:r>
      <w:r w:rsidRPr="00BC1BB1">
        <w:rPr>
          <w:rFonts w:ascii="Verdana" w:eastAsia="Calibri" w:hAnsi="Verdana"/>
          <w:lang w:eastAsia="en-US"/>
        </w:rPr>
        <w:br/>
        <w:t>34 Sanctietoepassing</w:t>
      </w:r>
      <w:r w:rsidRPr="00BC1BB1">
        <w:rPr>
          <w:rFonts w:ascii="Verdana" w:eastAsia="Calibri" w:hAnsi="Verdana"/>
          <w:lang w:eastAsia="en-US"/>
        </w:rPr>
        <w:br/>
        <w:t>35 Jeugd</w:t>
      </w:r>
      <w:r w:rsidRPr="00BC1BB1">
        <w:rPr>
          <w:rFonts w:ascii="Verdana" w:eastAsia="Calibri" w:hAnsi="Verdana"/>
          <w:lang w:eastAsia="en-US"/>
        </w:rPr>
        <w:br/>
        <w:t>36 Contraterrorisme en Nationaal Veiligheidsbeleid</w:t>
      </w:r>
      <w:r w:rsidRPr="00BC1BB1">
        <w:rPr>
          <w:rFonts w:ascii="Verdana" w:eastAsia="Calibri" w:hAnsi="Verdana"/>
          <w:lang w:eastAsia="en-US"/>
        </w:rPr>
        <w:br/>
        <w:t>37 Vreemdelingen</w:t>
      </w:r>
    </w:p>
    <w:p w:rsidR="00B20925" w:rsidRPr="00BC1BB1" w:rsidRDefault="00B20925" w:rsidP="00B20925">
      <w:pPr>
        <w:spacing w:after="200"/>
        <w:rPr>
          <w:rFonts w:ascii="Verdana" w:eastAsia="Calibri" w:hAnsi="Verdana"/>
          <w:b/>
          <w:lang w:eastAsia="en-US"/>
        </w:rPr>
      </w:pPr>
      <w:r w:rsidRPr="00BC1BB1">
        <w:rPr>
          <w:rFonts w:ascii="Verdana" w:eastAsia="Calibri" w:hAnsi="Verdana"/>
          <w:b/>
          <w:lang w:eastAsia="en-US"/>
        </w:rPr>
        <w:t>2.3 De niet-beleidsartikelen</w:t>
      </w:r>
    </w:p>
    <w:p w:rsidR="00B20925" w:rsidRPr="00BC1BB1" w:rsidRDefault="00B20925" w:rsidP="00B20925">
      <w:pPr>
        <w:spacing w:after="200"/>
        <w:ind w:left="708"/>
        <w:rPr>
          <w:rFonts w:ascii="Verdana" w:eastAsia="Calibri" w:hAnsi="Verdana"/>
          <w:lang w:eastAsia="en-US"/>
        </w:rPr>
      </w:pPr>
      <w:r w:rsidRPr="00BC1BB1">
        <w:rPr>
          <w:rFonts w:ascii="Verdana" w:eastAsia="Calibri" w:hAnsi="Verdana"/>
          <w:lang w:eastAsia="en-US"/>
        </w:rPr>
        <w:t>91 Apparaatsuitgaven kerndepartement</w:t>
      </w:r>
      <w:r w:rsidRPr="00BC1BB1">
        <w:rPr>
          <w:rFonts w:ascii="Verdana" w:eastAsia="Calibri" w:hAnsi="Verdana"/>
          <w:lang w:eastAsia="en-US"/>
        </w:rPr>
        <w:br/>
        <w:t>92 Nominaal en Onvoorzien</w:t>
      </w:r>
      <w:r w:rsidRPr="00BC1BB1">
        <w:rPr>
          <w:rFonts w:ascii="Verdana" w:eastAsia="Calibri" w:hAnsi="Verdana"/>
          <w:lang w:eastAsia="en-US"/>
        </w:rPr>
        <w:br/>
        <w:t>93 Geheim</w:t>
      </w:r>
    </w:p>
    <w:p w:rsidR="00B20925" w:rsidRPr="00BC1BB1" w:rsidRDefault="00B20925" w:rsidP="00B20925">
      <w:pPr>
        <w:ind w:left="1418" w:hanging="851"/>
        <w:rPr>
          <w:rFonts w:ascii="Verdana" w:hAnsi="Verdana" w:cs="Arial"/>
        </w:rPr>
      </w:pPr>
    </w:p>
    <w:p w:rsidR="00B20925" w:rsidRPr="00BC1BB1" w:rsidRDefault="00B20925" w:rsidP="00B20925">
      <w:pPr>
        <w:rPr>
          <w:rFonts w:ascii="Verdana" w:hAnsi="Verdana" w:cs="Arial"/>
        </w:rPr>
      </w:pPr>
    </w:p>
    <w:p w:rsidR="00B20925" w:rsidRPr="00BC1BB1" w:rsidRDefault="00B20925" w:rsidP="00B20925">
      <w:pPr>
        <w:rPr>
          <w:rFonts w:ascii="Verdana" w:hAnsi="Verdana" w:cs="Arial"/>
        </w:rPr>
      </w:pPr>
    </w:p>
    <w:p w:rsidR="00B20925" w:rsidRPr="00BC1BB1" w:rsidRDefault="00B20925" w:rsidP="00B20925">
      <w:pPr>
        <w:pStyle w:val="Kop1"/>
        <w:tabs>
          <w:tab w:val="left" w:pos="709"/>
          <w:tab w:val="left" w:pos="851"/>
          <w:tab w:val="left" w:pos="8789"/>
        </w:tabs>
        <w:ind w:right="567"/>
        <w:rPr>
          <w:rFonts w:ascii="Verdana" w:hAnsi="Verdana" w:cs="Arial"/>
          <w:sz w:val="20"/>
          <w:lang w:val="nl-NL"/>
        </w:rPr>
      </w:pPr>
    </w:p>
    <w:p w:rsidR="00B20925" w:rsidRPr="00B81A0B" w:rsidRDefault="00B20925" w:rsidP="00B20925">
      <w:pPr>
        <w:rPr>
          <w:rFonts w:ascii="Verdana" w:hAnsi="Verdana" w:cs="Arial"/>
          <w:sz w:val="22"/>
          <w:szCs w:val="22"/>
        </w:rPr>
      </w:pPr>
    </w:p>
    <w:p w:rsidR="00B20925" w:rsidRPr="00BC1BB1" w:rsidRDefault="00B20925" w:rsidP="00B20925">
      <w:pPr>
        <w:pStyle w:val="Kop1"/>
        <w:tabs>
          <w:tab w:val="left" w:pos="8789"/>
        </w:tabs>
        <w:ind w:right="567"/>
        <w:rPr>
          <w:rFonts w:ascii="Verdana" w:hAnsi="Verdana" w:cs="Arial"/>
          <w:sz w:val="20"/>
          <w:lang w:val="nl-NL"/>
        </w:rPr>
      </w:pPr>
      <w:r w:rsidRPr="00B81A0B">
        <w:rPr>
          <w:rFonts w:ascii="Verdana" w:hAnsi="Verdana" w:cs="Arial"/>
          <w:szCs w:val="22"/>
          <w:lang w:val="nl-NL"/>
        </w:rPr>
        <w:br w:type="page"/>
      </w:r>
      <w:r w:rsidRPr="00BC1BB1">
        <w:rPr>
          <w:rFonts w:ascii="Verdana" w:hAnsi="Verdana" w:cs="Arial"/>
          <w:sz w:val="20"/>
          <w:lang w:val="nl-NL"/>
        </w:rPr>
        <w:lastRenderedPageBreak/>
        <w:t>1. leeswijzer</w:t>
      </w:r>
    </w:p>
    <w:p w:rsidR="00B20925" w:rsidRPr="00BC1BB1" w:rsidRDefault="00B20925" w:rsidP="00B20925">
      <w:pPr>
        <w:pStyle w:val="Kop1"/>
        <w:rPr>
          <w:rFonts w:ascii="Verdana" w:hAnsi="Verdana" w:cs="Arial"/>
          <w:b w:val="0"/>
          <w:caps w:val="0"/>
          <w:sz w:val="20"/>
          <w:lang w:val="nl-NL"/>
        </w:rPr>
      </w:pPr>
    </w:p>
    <w:p w:rsidR="00B20925" w:rsidRPr="00BC1BB1" w:rsidRDefault="00B20925" w:rsidP="00B20925">
      <w:pPr>
        <w:pStyle w:val="Kop1"/>
        <w:rPr>
          <w:rFonts w:ascii="Verdana" w:hAnsi="Verdana" w:cs="Arial"/>
          <w:b w:val="0"/>
          <w:caps w:val="0"/>
          <w:sz w:val="20"/>
          <w:lang w:val="nl-NL"/>
        </w:rPr>
      </w:pPr>
      <w:r w:rsidRPr="00BC1BB1">
        <w:rPr>
          <w:rFonts w:ascii="Verdana" w:hAnsi="Verdana" w:cs="Arial"/>
          <w:b w:val="0"/>
          <w:caps w:val="0"/>
          <w:sz w:val="20"/>
          <w:lang w:val="nl-NL"/>
        </w:rPr>
        <w:t>Dit is de tweede</w:t>
      </w:r>
      <w:r w:rsidRPr="00BC1BB1">
        <w:rPr>
          <w:rFonts w:ascii="Verdana" w:hAnsi="Verdana" w:cs="Arial"/>
          <w:b w:val="0"/>
          <w:caps w:val="0"/>
          <w:sz w:val="20"/>
          <w:vertAlign w:val="superscript"/>
          <w:lang w:val="nl-NL"/>
        </w:rPr>
        <w:t xml:space="preserve"> </w:t>
      </w:r>
      <w:r w:rsidRPr="00BC1BB1">
        <w:rPr>
          <w:rFonts w:ascii="Verdana" w:hAnsi="Verdana" w:cs="Arial"/>
          <w:b w:val="0"/>
          <w:caps w:val="0"/>
          <w:sz w:val="20"/>
          <w:lang w:val="nl-NL"/>
        </w:rPr>
        <w:t>suppletoire begroting 201</w:t>
      </w:r>
      <w:r>
        <w:rPr>
          <w:rFonts w:ascii="Verdana" w:hAnsi="Verdana" w:cs="Arial"/>
          <w:b w:val="0"/>
          <w:caps w:val="0"/>
          <w:sz w:val="20"/>
          <w:lang w:val="nl-NL"/>
        </w:rPr>
        <w:t>4</w:t>
      </w:r>
      <w:r w:rsidRPr="00BC1BB1">
        <w:rPr>
          <w:rFonts w:ascii="Verdana" w:hAnsi="Verdana" w:cs="Arial"/>
          <w:b w:val="0"/>
          <w:caps w:val="0"/>
          <w:sz w:val="20"/>
          <w:lang w:val="nl-NL"/>
        </w:rPr>
        <w:t xml:space="preserve"> van het Ministerie van Veiligheid en Justitie. Deze suppletoire begroting hangt samen met de Najaarsnota 201</w:t>
      </w:r>
      <w:r>
        <w:rPr>
          <w:rFonts w:ascii="Verdana" w:hAnsi="Verdana" w:cs="Arial"/>
          <w:b w:val="0"/>
          <w:caps w:val="0"/>
          <w:sz w:val="20"/>
          <w:lang w:val="nl-NL"/>
        </w:rPr>
        <w:t>4</w:t>
      </w:r>
      <w:r w:rsidRPr="00BC1BB1">
        <w:rPr>
          <w:rFonts w:ascii="Verdana" w:hAnsi="Verdana" w:cs="Arial"/>
          <w:b w:val="0"/>
          <w:caps w:val="0"/>
          <w:sz w:val="20"/>
          <w:lang w:val="nl-NL"/>
        </w:rPr>
        <w:t>.</w:t>
      </w:r>
    </w:p>
    <w:p w:rsidR="00B20925" w:rsidRPr="00BC1BB1" w:rsidRDefault="00B20925" w:rsidP="00B20925">
      <w:pPr>
        <w:rPr>
          <w:rFonts w:ascii="Verdana" w:hAnsi="Verdana" w:cs="Arial"/>
          <w:i/>
        </w:rPr>
      </w:pPr>
    </w:p>
    <w:p w:rsidR="00B20925" w:rsidRPr="00BC1BB1" w:rsidRDefault="00B20925" w:rsidP="00B20925">
      <w:pPr>
        <w:pStyle w:val="Kop1"/>
        <w:rPr>
          <w:rFonts w:ascii="Verdana" w:hAnsi="Verdana" w:cs="Arial"/>
          <w:b w:val="0"/>
          <w:caps w:val="0"/>
          <w:sz w:val="20"/>
          <w:lang w:val="nl-NL"/>
        </w:rPr>
      </w:pPr>
      <w:r w:rsidRPr="00BC1BB1">
        <w:rPr>
          <w:rFonts w:ascii="Verdana" w:hAnsi="Verdana" w:cs="Arial"/>
          <w:b w:val="0"/>
          <w:caps w:val="0"/>
          <w:sz w:val="20"/>
          <w:lang w:val="nl-NL"/>
        </w:rPr>
        <w:t>In hoofdstuk 2 is een overzicht opgenomen van de belangrijkste uitgaven- en ontvangstenmutaties per beleidsartikel (paragraaf 2.1). Het betreft mutaties die groter zijn dan € 10,0 mln.</w:t>
      </w:r>
      <w:r w:rsidRPr="00BC1BB1">
        <w:rPr>
          <w:rFonts w:ascii="Verdana" w:hAnsi="Verdana" w:cs="Arial"/>
          <w:b w:val="0"/>
          <w:caps w:val="0"/>
          <w:sz w:val="20"/>
          <w:lang w:val="nl-NL"/>
        </w:rPr>
        <w:br/>
      </w:r>
    </w:p>
    <w:p w:rsidR="00B20925" w:rsidRPr="00BC1BB1" w:rsidRDefault="00B20925" w:rsidP="00B20925">
      <w:pPr>
        <w:spacing w:after="200"/>
        <w:rPr>
          <w:rFonts w:ascii="Verdana" w:hAnsi="Verdana" w:cs="Arial"/>
        </w:rPr>
      </w:pPr>
      <w:r w:rsidRPr="00BC1BB1">
        <w:rPr>
          <w:rFonts w:ascii="Verdana" w:eastAsia="Calibri" w:hAnsi="Verdana"/>
          <w:lang w:eastAsia="en-US"/>
        </w:rPr>
        <w:t>In paragraaf 2.2 is per beleidsartikel de tabel ‘budgettaire gevolgen van beleid’ opgenomen. In paragraaf 2.3 gebeurt dit voor de niet-beleidsartikelen.</w:t>
      </w:r>
      <w:r w:rsidRPr="00BC1BB1">
        <w:rPr>
          <w:rFonts w:ascii="Verdana" w:eastAsia="Calibri" w:hAnsi="Verdana"/>
          <w:b/>
          <w:lang w:eastAsia="en-US"/>
        </w:rPr>
        <w:t xml:space="preserve"> </w:t>
      </w:r>
      <w:r w:rsidRPr="00BC1BB1">
        <w:rPr>
          <w:rFonts w:ascii="Verdana" w:eastAsia="Calibri" w:hAnsi="Verdana"/>
          <w:lang w:eastAsia="en-US"/>
        </w:rPr>
        <w:t xml:space="preserve">Hierin staan per artikel </w:t>
      </w:r>
      <w:proofErr w:type="spellStart"/>
      <w:r w:rsidRPr="00BC1BB1">
        <w:rPr>
          <w:rFonts w:ascii="Verdana" w:eastAsia="Calibri" w:hAnsi="Verdana"/>
          <w:lang w:eastAsia="en-US"/>
        </w:rPr>
        <w:t>kolomsgewijs</w:t>
      </w:r>
      <w:proofErr w:type="spellEnd"/>
      <w:r w:rsidRPr="00BC1BB1">
        <w:rPr>
          <w:rFonts w:ascii="Verdana" w:eastAsia="Calibri" w:hAnsi="Verdana"/>
          <w:lang w:eastAsia="en-US"/>
        </w:rPr>
        <w:t>:</w:t>
      </w:r>
      <w:r w:rsidRPr="00BC1BB1">
        <w:rPr>
          <w:rFonts w:ascii="Verdana" w:hAnsi="Verdana" w:cs="Arial"/>
          <w:b/>
          <w:caps/>
        </w:rPr>
        <w:t xml:space="preserve"> </w:t>
      </w:r>
    </w:p>
    <w:p w:rsidR="00B20925" w:rsidRPr="00BC1BB1" w:rsidRDefault="00B20925" w:rsidP="00B20925">
      <w:pPr>
        <w:pStyle w:val="Kop1"/>
        <w:numPr>
          <w:ilvl w:val="0"/>
          <w:numId w:val="6"/>
        </w:numPr>
        <w:rPr>
          <w:rFonts w:ascii="Verdana" w:hAnsi="Verdana" w:cs="Arial"/>
          <w:b w:val="0"/>
          <w:caps w:val="0"/>
          <w:sz w:val="20"/>
          <w:lang w:val="nl-NL"/>
        </w:rPr>
      </w:pPr>
      <w:r w:rsidRPr="00BC1BB1">
        <w:rPr>
          <w:rFonts w:ascii="Verdana" w:hAnsi="Verdana" w:cs="Arial"/>
          <w:b w:val="0"/>
          <w:caps w:val="0"/>
          <w:sz w:val="20"/>
          <w:lang w:val="nl-NL"/>
        </w:rPr>
        <w:t>stand vastgestelde begroting 201</w:t>
      </w:r>
      <w:r>
        <w:rPr>
          <w:rFonts w:ascii="Verdana" w:hAnsi="Verdana" w:cs="Arial"/>
          <w:b w:val="0"/>
          <w:caps w:val="0"/>
          <w:sz w:val="20"/>
          <w:lang w:val="nl-NL"/>
        </w:rPr>
        <w:t>4</w:t>
      </w:r>
      <w:r w:rsidRPr="00BC1BB1">
        <w:rPr>
          <w:rFonts w:ascii="Verdana" w:hAnsi="Verdana" w:cs="Arial"/>
          <w:b w:val="0"/>
          <w:caps w:val="0"/>
          <w:sz w:val="20"/>
          <w:lang w:val="nl-NL"/>
        </w:rPr>
        <w:t xml:space="preserve">; </w:t>
      </w:r>
    </w:p>
    <w:p w:rsidR="00B20925" w:rsidRPr="00BC1BB1" w:rsidRDefault="00B20925" w:rsidP="00B20925">
      <w:pPr>
        <w:pStyle w:val="Kop1"/>
        <w:numPr>
          <w:ilvl w:val="0"/>
          <w:numId w:val="6"/>
        </w:numPr>
        <w:rPr>
          <w:rFonts w:ascii="Verdana" w:hAnsi="Verdana" w:cs="Arial"/>
          <w:b w:val="0"/>
          <w:caps w:val="0"/>
          <w:sz w:val="20"/>
          <w:lang w:val="nl-NL"/>
        </w:rPr>
      </w:pPr>
      <w:r w:rsidRPr="00BC1BB1">
        <w:rPr>
          <w:rFonts w:ascii="Verdana" w:hAnsi="Verdana" w:cs="Arial"/>
          <w:b w:val="0"/>
          <w:caps w:val="0"/>
          <w:sz w:val="20"/>
          <w:lang w:val="nl-NL"/>
        </w:rPr>
        <w:t>stand eerste suppletoire begroting 201</w:t>
      </w:r>
      <w:r>
        <w:rPr>
          <w:rFonts w:ascii="Verdana" w:hAnsi="Verdana" w:cs="Arial"/>
          <w:b w:val="0"/>
          <w:caps w:val="0"/>
          <w:sz w:val="20"/>
          <w:lang w:val="nl-NL"/>
        </w:rPr>
        <w:t>4</w:t>
      </w:r>
      <w:r w:rsidRPr="00BC1BB1">
        <w:rPr>
          <w:rFonts w:ascii="Verdana" w:hAnsi="Verdana" w:cs="Arial"/>
          <w:b w:val="0"/>
          <w:caps w:val="0"/>
          <w:sz w:val="20"/>
          <w:lang w:val="nl-NL"/>
        </w:rPr>
        <w:t>;</w:t>
      </w:r>
    </w:p>
    <w:p w:rsidR="00B20925" w:rsidRPr="00BC1BB1" w:rsidRDefault="00B20925" w:rsidP="00B20925">
      <w:pPr>
        <w:pStyle w:val="Kop1"/>
        <w:numPr>
          <w:ilvl w:val="0"/>
          <w:numId w:val="6"/>
        </w:numPr>
        <w:rPr>
          <w:rFonts w:ascii="Verdana" w:hAnsi="Verdana" w:cs="Arial"/>
          <w:b w:val="0"/>
          <w:caps w:val="0"/>
          <w:sz w:val="20"/>
          <w:lang w:val="nl-NL"/>
        </w:rPr>
      </w:pPr>
      <w:r w:rsidRPr="00BC1BB1">
        <w:rPr>
          <w:rFonts w:ascii="Verdana" w:hAnsi="Verdana" w:cs="Arial"/>
          <w:b w:val="0"/>
          <w:caps w:val="0"/>
          <w:sz w:val="20"/>
          <w:lang w:val="nl-NL"/>
        </w:rPr>
        <w:t>mutaties tweede suppletoire begroting 201</w:t>
      </w:r>
      <w:r>
        <w:rPr>
          <w:rFonts w:ascii="Verdana" w:hAnsi="Verdana" w:cs="Arial"/>
          <w:b w:val="0"/>
          <w:caps w:val="0"/>
          <w:sz w:val="20"/>
          <w:lang w:val="nl-NL"/>
        </w:rPr>
        <w:t>4</w:t>
      </w:r>
      <w:r w:rsidRPr="00BC1BB1">
        <w:rPr>
          <w:rFonts w:ascii="Verdana" w:hAnsi="Verdana" w:cs="Arial"/>
          <w:b w:val="0"/>
          <w:caps w:val="0"/>
          <w:sz w:val="20"/>
          <w:lang w:val="nl-NL"/>
        </w:rPr>
        <w:t>;</w:t>
      </w:r>
    </w:p>
    <w:p w:rsidR="00B20925" w:rsidRPr="00BC1BB1" w:rsidRDefault="00B20925" w:rsidP="00B20925">
      <w:pPr>
        <w:pStyle w:val="Kop1"/>
        <w:numPr>
          <w:ilvl w:val="0"/>
          <w:numId w:val="6"/>
        </w:numPr>
        <w:rPr>
          <w:rFonts w:ascii="Verdana" w:hAnsi="Verdana" w:cs="Arial"/>
          <w:b w:val="0"/>
          <w:caps w:val="0"/>
          <w:sz w:val="20"/>
          <w:lang w:val="nl-NL"/>
        </w:rPr>
      </w:pPr>
      <w:r w:rsidRPr="00BC1BB1">
        <w:rPr>
          <w:rFonts w:ascii="Verdana" w:hAnsi="Verdana" w:cs="Arial"/>
          <w:b w:val="0"/>
          <w:caps w:val="0"/>
          <w:sz w:val="20"/>
          <w:lang w:val="nl-NL"/>
        </w:rPr>
        <w:t>stand tweede suppletoire begroting 201</w:t>
      </w:r>
      <w:r>
        <w:rPr>
          <w:rFonts w:ascii="Verdana" w:hAnsi="Verdana" w:cs="Arial"/>
          <w:b w:val="0"/>
          <w:caps w:val="0"/>
          <w:sz w:val="20"/>
          <w:lang w:val="nl-NL"/>
        </w:rPr>
        <w:t>4</w:t>
      </w:r>
      <w:r w:rsidRPr="00BC1BB1">
        <w:rPr>
          <w:rFonts w:ascii="Verdana" w:hAnsi="Verdana" w:cs="Arial"/>
          <w:b w:val="0"/>
          <w:caps w:val="0"/>
          <w:sz w:val="20"/>
          <w:lang w:val="nl-NL"/>
        </w:rPr>
        <w:t xml:space="preserve"> met daarbij de budgetflexibiliteit. </w:t>
      </w:r>
    </w:p>
    <w:p w:rsidR="00B20925" w:rsidRPr="00BC1BB1" w:rsidRDefault="00B20925" w:rsidP="00B20925">
      <w:pPr>
        <w:pStyle w:val="Kop1"/>
        <w:rPr>
          <w:rFonts w:ascii="Verdana" w:hAnsi="Verdana" w:cs="Arial"/>
          <w:b w:val="0"/>
          <w:caps w:val="0"/>
          <w:sz w:val="20"/>
          <w:lang w:val="nl-NL"/>
        </w:rPr>
      </w:pPr>
    </w:p>
    <w:p w:rsidR="00B20925" w:rsidRPr="00BC1BB1" w:rsidRDefault="00B20925" w:rsidP="00B20925">
      <w:pPr>
        <w:spacing w:after="200" w:line="276" w:lineRule="auto"/>
        <w:rPr>
          <w:rFonts w:ascii="Verdana" w:hAnsi="Verdana"/>
        </w:rPr>
      </w:pPr>
      <w:r w:rsidRPr="00BC1BB1">
        <w:rPr>
          <w:rFonts w:ascii="Verdana" w:eastAsia="Calibri" w:hAnsi="Verdana"/>
          <w:lang w:eastAsia="en-US"/>
        </w:rPr>
        <w:t>Na de tabel budgettaire gevolgen van beleid wordt een toelichting op de cijfers uit de kolom “mutaties 2</w:t>
      </w:r>
      <w:r w:rsidRPr="00BC1BB1">
        <w:rPr>
          <w:rFonts w:ascii="Verdana" w:eastAsia="Calibri" w:hAnsi="Verdana"/>
          <w:vertAlign w:val="superscript"/>
          <w:lang w:eastAsia="en-US"/>
        </w:rPr>
        <w:t xml:space="preserve">e </w:t>
      </w:r>
      <w:r w:rsidRPr="00BC1BB1">
        <w:rPr>
          <w:rFonts w:ascii="Verdana" w:eastAsia="Calibri" w:hAnsi="Verdana"/>
          <w:lang w:eastAsia="en-US"/>
        </w:rPr>
        <w:t>suppletoire begroting 201</w:t>
      </w:r>
      <w:r>
        <w:rPr>
          <w:rFonts w:ascii="Verdana" w:eastAsia="Calibri" w:hAnsi="Verdana"/>
          <w:lang w:eastAsia="en-US"/>
        </w:rPr>
        <w:t>4</w:t>
      </w:r>
      <w:r w:rsidRPr="00BC1BB1">
        <w:rPr>
          <w:rFonts w:ascii="Verdana" w:eastAsia="Calibri" w:hAnsi="Verdana"/>
          <w:lang w:eastAsia="en-US"/>
        </w:rPr>
        <w:t>” gegeven voor zover deze groter zijn dan € 5,0 mln. De mutaties kunnen zowel beleidsmatig als financieel technisch van aard zijn. Financieel technische mutaties worden conform de Rijksbegrotingsvoorschriften niet nader toegelicht.</w:t>
      </w:r>
      <w:r w:rsidRPr="00BC1BB1">
        <w:rPr>
          <w:rFonts w:ascii="Verdana" w:hAnsi="Verdana"/>
        </w:rPr>
        <w:t xml:space="preserve"> In de regel geldt dat uitgavenmutaties en verplichtingen mutaties aan elkaar gelijk zijn. De toelichtingen</w:t>
      </w:r>
      <w:r>
        <w:rPr>
          <w:rFonts w:ascii="Verdana" w:hAnsi="Verdana"/>
        </w:rPr>
        <w:t xml:space="preserve"> </w:t>
      </w:r>
      <w:r w:rsidRPr="00BC1BB1">
        <w:rPr>
          <w:rFonts w:ascii="Verdana" w:hAnsi="Verdana"/>
        </w:rPr>
        <w:t>gelden daarom voor zowel de uitgaven- als de verplichtingenmutaties.</w:t>
      </w:r>
      <w:r>
        <w:rPr>
          <w:rFonts w:ascii="Verdana" w:hAnsi="Verdana"/>
        </w:rPr>
        <w:t xml:space="preserve"> </w:t>
      </w:r>
      <w:r w:rsidRPr="00BC1BB1">
        <w:rPr>
          <w:rFonts w:ascii="Verdana" w:hAnsi="Verdana"/>
        </w:rPr>
        <w:t>Wanneer dit niet het geval is, wordt</w:t>
      </w:r>
      <w:r>
        <w:rPr>
          <w:rFonts w:ascii="Verdana" w:hAnsi="Verdana"/>
        </w:rPr>
        <w:t xml:space="preserve"> voor</w:t>
      </w:r>
      <w:r w:rsidRPr="00BC1BB1">
        <w:rPr>
          <w:rFonts w:ascii="Verdana" w:hAnsi="Verdana"/>
        </w:rPr>
        <w:t xml:space="preserve"> de verplichtingmutaties </w:t>
      </w:r>
      <w:r>
        <w:rPr>
          <w:rFonts w:ascii="Verdana" w:hAnsi="Verdana"/>
        </w:rPr>
        <w:t xml:space="preserve">een </w:t>
      </w:r>
      <w:r w:rsidRPr="00BC1BB1">
        <w:rPr>
          <w:rFonts w:ascii="Verdana" w:hAnsi="Verdana"/>
        </w:rPr>
        <w:t>apart</w:t>
      </w:r>
      <w:r>
        <w:rPr>
          <w:rFonts w:ascii="Verdana" w:hAnsi="Verdana"/>
        </w:rPr>
        <w:t>e</w:t>
      </w:r>
      <w:r w:rsidRPr="00BC1BB1">
        <w:rPr>
          <w:rFonts w:ascii="Verdana" w:hAnsi="Verdana"/>
        </w:rPr>
        <w:t xml:space="preserve"> toelicht</w:t>
      </w:r>
      <w:r>
        <w:rPr>
          <w:rFonts w:ascii="Verdana" w:hAnsi="Verdana"/>
        </w:rPr>
        <w:t>ing opgenomen als er sprake is van een opmerkelijk verschil met de uitgavenmutaties</w:t>
      </w:r>
      <w:r w:rsidRPr="00BC1BB1">
        <w:rPr>
          <w:rFonts w:ascii="Verdana" w:hAnsi="Verdana"/>
        </w:rPr>
        <w:t>.</w:t>
      </w:r>
    </w:p>
    <w:p w:rsidR="00B20925" w:rsidRPr="00BC1BB1" w:rsidRDefault="00B20925" w:rsidP="00B20925"/>
    <w:p w:rsidR="00B20925" w:rsidRPr="00BC1BB1" w:rsidRDefault="00B20925" w:rsidP="00B20925">
      <w:pPr>
        <w:tabs>
          <w:tab w:val="left" w:pos="851"/>
        </w:tabs>
        <w:rPr>
          <w:rFonts w:ascii="Verdana" w:hAnsi="Verdana" w:cs="Arial"/>
          <w:b/>
        </w:rPr>
      </w:pPr>
      <w:r w:rsidRPr="00BC1BB1">
        <w:rPr>
          <w:rFonts w:ascii="Verdana" w:hAnsi="Verdana" w:cs="Arial"/>
        </w:rPr>
        <w:br w:type="page"/>
      </w:r>
      <w:r w:rsidRPr="00BC1BB1">
        <w:rPr>
          <w:rFonts w:ascii="Verdana" w:hAnsi="Verdana" w:cs="Arial"/>
          <w:b/>
        </w:rPr>
        <w:lastRenderedPageBreak/>
        <w:t>2. HET BELEID</w:t>
      </w:r>
    </w:p>
    <w:p w:rsidR="00B20925" w:rsidRPr="00BC1BB1" w:rsidRDefault="00B20925" w:rsidP="00B20925">
      <w:pPr>
        <w:tabs>
          <w:tab w:val="left" w:pos="851"/>
        </w:tabs>
        <w:rPr>
          <w:rFonts w:ascii="Verdana" w:hAnsi="Verdana" w:cs="Arial"/>
          <w:b/>
        </w:rPr>
      </w:pPr>
    </w:p>
    <w:p w:rsidR="00B20925" w:rsidRPr="00CC4F95" w:rsidRDefault="00B20925" w:rsidP="00B20925">
      <w:pPr>
        <w:tabs>
          <w:tab w:val="left" w:pos="851"/>
        </w:tabs>
        <w:rPr>
          <w:rFonts w:ascii="Verdana" w:hAnsi="Verdana" w:cs="Arial"/>
          <w:sz w:val="18"/>
          <w:szCs w:val="18"/>
        </w:rPr>
      </w:pPr>
      <w:r w:rsidRPr="00CC4F95">
        <w:rPr>
          <w:rFonts w:ascii="Verdana" w:hAnsi="Verdana" w:cs="Arial"/>
          <w:sz w:val="18"/>
          <w:szCs w:val="18"/>
        </w:rPr>
        <w:t>In dit hoofdstuk komen achtereenvolgens de belangrijkste uitgaven- en ontvangstenmutaties (2.1), de mutaties op de beleidsartikelen (2.2) en de mutaties op de niet-beleidsartikelen (2.3) aan de orde.</w:t>
      </w:r>
    </w:p>
    <w:p w:rsidR="00B20925" w:rsidRPr="00BC1BB1" w:rsidRDefault="00B20925" w:rsidP="00B20925">
      <w:pPr>
        <w:rPr>
          <w:rFonts w:ascii="Verdana" w:hAnsi="Verdana"/>
        </w:rPr>
      </w:pPr>
    </w:p>
    <w:p w:rsidR="00B20925" w:rsidRPr="00BC1BB1" w:rsidRDefault="00B20925" w:rsidP="00B20925">
      <w:pPr>
        <w:tabs>
          <w:tab w:val="left" w:pos="851"/>
        </w:tabs>
        <w:rPr>
          <w:rFonts w:ascii="Verdana" w:hAnsi="Verdana" w:cs="Arial"/>
          <w:b/>
        </w:rPr>
      </w:pPr>
      <w:r w:rsidRPr="00BC1BB1">
        <w:rPr>
          <w:rFonts w:ascii="Verdana" w:hAnsi="Verdana" w:cs="Arial"/>
          <w:b/>
        </w:rPr>
        <w:t>2.1 OVERZICHT BELANGRIJKSTE UITGAVEN- EN ONTVANGSTENMUTATIES</w:t>
      </w:r>
    </w:p>
    <w:p w:rsidR="00B20925" w:rsidRPr="00BC1BB1" w:rsidRDefault="00B20925" w:rsidP="00B20925">
      <w:pPr>
        <w:tabs>
          <w:tab w:val="left" w:pos="851"/>
        </w:tabs>
        <w:rPr>
          <w:rFonts w:ascii="Verdana" w:hAnsi="Verdana" w:cs="Arial"/>
          <w:b/>
        </w:rPr>
      </w:pPr>
    </w:p>
    <w:p w:rsidR="00B20925" w:rsidRPr="00BC1BB1" w:rsidRDefault="00B20925" w:rsidP="00B20925">
      <w:pPr>
        <w:tabs>
          <w:tab w:val="left" w:pos="851"/>
        </w:tabs>
        <w:rPr>
          <w:rFonts w:ascii="Verdana" w:hAnsi="Verdana" w:cs="Arial"/>
          <w:b/>
        </w:rPr>
      </w:pPr>
      <w:r w:rsidRPr="00BC1BB1">
        <w:rPr>
          <w:rFonts w:ascii="Verdana" w:hAnsi="Verdana" w:cs="Arial"/>
          <w:b/>
        </w:rPr>
        <w:t>Overzicht belangrijkste suppletoire uitgavenmutaties 201</w:t>
      </w:r>
      <w:r>
        <w:rPr>
          <w:rFonts w:ascii="Verdana" w:hAnsi="Verdana" w:cs="Arial"/>
          <w:b/>
        </w:rPr>
        <w:t>4</w:t>
      </w:r>
      <w:r w:rsidRPr="00BC1BB1">
        <w:rPr>
          <w:rFonts w:ascii="Verdana" w:hAnsi="Verdana" w:cs="Arial"/>
          <w:b/>
        </w:rPr>
        <w:t xml:space="preserve"> (Najaarsnota)</w:t>
      </w:r>
    </w:p>
    <w:p w:rsidR="00B20925" w:rsidRPr="00B81A0B" w:rsidRDefault="00B20925" w:rsidP="00B20925">
      <w:pPr>
        <w:tabs>
          <w:tab w:val="left" w:pos="851"/>
        </w:tabs>
        <w:rPr>
          <w:rFonts w:ascii="Verdana" w:hAnsi="Verdana" w:cs="Arial"/>
          <w:b/>
          <w:sz w:val="22"/>
          <w:szCs w:val="22"/>
        </w:rPr>
      </w:pPr>
      <w:r w:rsidRPr="00B81A0B">
        <w:rPr>
          <w:rFonts w:ascii="Verdana" w:hAnsi="Verdana" w:cs="Arial"/>
          <w:b/>
          <w:sz w:val="22"/>
          <w:szCs w:val="22"/>
        </w:rPr>
        <w:tab/>
      </w:r>
    </w:p>
    <w:tbl>
      <w:tblPr>
        <w:tblW w:w="5000" w:type="pct"/>
        <w:tblCellMar>
          <w:left w:w="70" w:type="dxa"/>
          <w:right w:w="70" w:type="dxa"/>
        </w:tblCellMar>
        <w:tblLook w:val="04A0" w:firstRow="1" w:lastRow="0" w:firstColumn="1" w:lastColumn="0" w:noHBand="0" w:noVBand="1"/>
      </w:tblPr>
      <w:tblGrid>
        <w:gridCol w:w="6550"/>
        <w:gridCol w:w="954"/>
        <w:gridCol w:w="952"/>
      </w:tblGrid>
      <w:tr w:rsidR="00B20925" w:rsidRPr="00B61B2D" w:rsidTr="00250DD1">
        <w:trPr>
          <w:trHeight w:val="25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b/>
                <w:bCs/>
              </w:rPr>
            </w:pPr>
          </w:p>
        </w:tc>
        <w:tc>
          <w:tcPr>
            <w:tcW w:w="1127" w:type="pct"/>
            <w:gridSpan w:val="2"/>
            <w:tcBorders>
              <w:top w:val="nil"/>
              <w:left w:val="nil"/>
              <w:bottom w:val="nil"/>
              <w:right w:val="nil"/>
            </w:tcBorders>
            <w:shd w:val="clear" w:color="auto" w:fill="auto"/>
            <w:noWrap/>
            <w:vAlign w:val="bottom"/>
            <w:hideMark/>
          </w:tcPr>
          <w:p w:rsidR="00B20925" w:rsidRPr="00B61B2D" w:rsidRDefault="00B20925" w:rsidP="00250DD1">
            <w:pPr>
              <w:jc w:val="right"/>
              <w:rPr>
                <w:rFonts w:cs="Arial"/>
                <w:b/>
                <w:bCs/>
                <w:sz w:val="16"/>
                <w:szCs w:val="16"/>
              </w:rPr>
            </w:pPr>
            <w:r w:rsidRPr="00B61B2D">
              <w:rPr>
                <w:rFonts w:cs="Arial"/>
                <w:b/>
                <w:bCs/>
                <w:sz w:val="16"/>
                <w:szCs w:val="16"/>
              </w:rPr>
              <w:t>x € 1.000</w:t>
            </w:r>
          </w:p>
        </w:tc>
      </w:tr>
      <w:tr w:rsidR="00B20925" w:rsidRPr="00B61B2D" w:rsidTr="00250DD1">
        <w:trPr>
          <w:trHeight w:val="225"/>
        </w:trPr>
        <w:tc>
          <w:tcPr>
            <w:tcW w:w="3873" w:type="pct"/>
            <w:tcBorders>
              <w:top w:val="single" w:sz="4" w:space="0" w:color="auto"/>
              <w:left w:val="nil"/>
              <w:bottom w:val="single" w:sz="4" w:space="0" w:color="auto"/>
              <w:right w:val="nil"/>
            </w:tcBorders>
            <w:shd w:val="clear" w:color="000000" w:fill="FFFFCC"/>
            <w:noWrap/>
            <w:vAlign w:val="center"/>
            <w:hideMark/>
          </w:tcPr>
          <w:p w:rsidR="00B20925" w:rsidRPr="00B61B2D" w:rsidRDefault="00B20925" w:rsidP="00250DD1">
            <w:pPr>
              <w:jc w:val="right"/>
              <w:rPr>
                <w:rFonts w:cs="Arial"/>
                <w:sz w:val="16"/>
                <w:szCs w:val="16"/>
              </w:rPr>
            </w:pPr>
            <w:r w:rsidRPr="00B61B2D">
              <w:rPr>
                <w:rFonts w:cs="Arial"/>
                <w:sz w:val="16"/>
                <w:szCs w:val="16"/>
              </w:rPr>
              <w:t> </w:t>
            </w:r>
          </w:p>
        </w:tc>
        <w:tc>
          <w:tcPr>
            <w:tcW w:w="564" w:type="pct"/>
            <w:tcBorders>
              <w:top w:val="single" w:sz="4" w:space="0" w:color="auto"/>
              <w:left w:val="nil"/>
              <w:bottom w:val="single" w:sz="4" w:space="0" w:color="auto"/>
              <w:right w:val="nil"/>
            </w:tcBorders>
            <w:shd w:val="clear" w:color="000000" w:fill="FFFFCC"/>
            <w:vAlign w:val="center"/>
            <w:hideMark/>
          </w:tcPr>
          <w:p w:rsidR="00B20925" w:rsidRPr="00B61B2D" w:rsidRDefault="00B20925" w:rsidP="00250DD1">
            <w:pPr>
              <w:jc w:val="right"/>
              <w:rPr>
                <w:rFonts w:cs="Arial"/>
                <w:sz w:val="16"/>
                <w:szCs w:val="16"/>
              </w:rPr>
            </w:pPr>
            <w:r w:rsidRPr="00B61B2D">
              <w:rPr>
                <w:rFonts w:cs="Arial"/>
                <w:sz w:val="16"/>
                <w:szCs w:val="16"/>
              </w:rPr>
              <w:t>Beleidsartikel</w:t>
            </w:r>
          </w:p>
        </w:tc>
        <w:tc>
          <w:tcPr>
            <w:tcW w:w="564" w:type="pct"/>
            <w:tcBorders>
              <w:top w:val="single" w:sz="4" w:space="0" w:color="auto"/>
              <w:left w:val="nil"/>
              <w:bottom w:val="single" w:sz="4" w:space="0" w:color="auto"/>
              <w:right w:val="nil"/>
            </w:tcBorders>
            <w:shd w:val="clear" w:color="000000" w:fill="FFFFCC"/>
            <w:vAlign w:val="center"/>
            <w:hideMark/>
          </w:tcPr>
          <w:p w:rsidR="00B20925" w:rsidRPr="00B61B2D" w:rsidRDefault="00B20925" w:rsidP="00250DD1">
            <w:pPr>
              <w:jc w:val="right"/>
              <w:rPr>
                <w:rFonts w:cs="Arial"/>
                <w:sz w:val="16"/>
                <w:szCs w:val="16"/>
              </w:rPr>
            </w:pPr>
            <w:r w:rsidRPr="00B61B2D">
              <w:rPr>
                <w:rFonts w:cs="Arial"/>
                <w:sz w:val="16"/>
                <w:szCs w:val="16"/>
              </w:rPr>
              <w:t>Uitgaven</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r>
      <w:tr w:rsidR="00B20925" w:rsidRPr="00B61B2D" w:rsidTr="00250DD1">
        <w:trPr>
          <w:trHeight w:val="25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Belangrijkste suppletoire mutaties:</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ascii="Arial" w:hAnsi="Arial" w:cs="Arial"/>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ascii="Arial" w:hAnsi="Arial" w:cs="Arial"/>
              </w:rPr>
            </w:pP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1</w:t>
            </w:r>
            <w:r>
              <w:rPr>
                <w:rFonts w:cs="Arial"/>
                <w:sz w:val="16"/>
                <w:szCs w:val="16"/>
              </w:rPr>
              <w:t>.</w:t>
            </w:r>
            <w:r w:rsidRPr="00B61B2D">
              <w:rPr>
                <w:rFonts w:cs="Arial"/>
                <w:sz w:val="16"/>
                <w:szCs w:val="16"/>
              </w:rPr>
              <w:t xml:space="preserve"> Schikking NORMA</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33</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10.000</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2. Administratiekostenvergoedingen Centraal Justitieel Incassobureau</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34</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70.244</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 xml:space="preserve">3. </w:t>
            </w:r>
            <w:r>
              <w:rPr>
                <w:rFonts w:cs="Arial"/>
                <w:sz w:val="16"/>
                <w:szCs w:val="16"/>
              </w:rPr>
              <w:t>Verhoging instroom asiel eerstejaarsopvang</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37</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375.000</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4. Bijdrage agentschap IND</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37</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22.100</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 xml:space="preserve">5. </w:t>
            </w:r>
            <w:r>
              <w:rPr>
                <w:rFonts w:cs="Arial"/>
                <w:sz w:val="16"/>
                <w:szCs w:val="16"/>
              </w:rPr>
              <w:t xml:space="preserve">Terugdraaien </w:t>
            </w:r>
            <w:r w:rsidRPr="00B61B2D">
              <w:rPr>
                <w:rFonts w:cs="Arial"/>
                <w:sz w:val="16"/>
                <w:szCs w:val="16"/>
              </w:rPr>
              <w:t xml:space="preserve"> inzet asielreserve</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37</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-10.800</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 xml:space="preserve">6. Desaldering </w:t>
            </w:r>
            <w:proofErr w:type="spellStart"/>
            <w:r w:rsidRPr="00B61B2D">
              <w:rPr>
                <w:rFonts w:cs="Arial"/>
                <w:sz w:val="16"/>
                <w:szCs w:val="16"/>
              </w:rPr>
              <w:t>JustID</w:t>
            </w:r>
            <w:proofErr w:type="spellEnd"/>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91</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12.000</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r w:rsidRPr="00B61B2D">
              <w:rPr>
                <w:rFonts w:cs="Arial"/>
                <w:sz w:val="16"/>
                <w:szCs w:val="16"/>
              </w:rPr>
              <w:t>7. Loonbijstelling</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alle artikelen</w:t>
            </w:r>
          </w:p>
        </w:tc>
        <w:tc>
          <w:tcPr>
            <w:tcW w:w="564" w:type="pct"/>
            <w:tcBorders>
              <w:top w:val="nil"/>
              <w:left w:val="nil"/>
              <w:bottom w:val="nil"/>
              <w:right w:val="nil"/>
            </w:tcBorders>
            <w:shd w:val="clear" w:color="auto" w:fill="auto"/>
            <w:noWrap/>
            <w:vAlign w:val="bottom"/>
            <w:hideMark/>
          </w:tcPr>
          <w:p w:rsidR="00B20925" w:rsidRPr="00B61B2D" w:rsidRDefault="00B20925" w:rsidP="00250DD1">
            <w:pPr>
              <w:jc w:val="right"/>
              <w:rPr>
                <w:rFonts w:cs="Arial"/>
                <w:sz w:val="16"/>
                <w:szCs w:val="16"/>
              </w:rPr>
            </w:pPr>
            <w:r w:rsidRPr="00B61B2D">
              <w:rPr>
                <w:rFonts w:cs="Arial"/>
                <w:sz w:val="16"/>
                <w:szCs w:val="16"/>
              </w:rPr>
              <w:t>20.588</w:t>
            </w:r>
          </w:p>
        </w:tc>
      </w:tr>
      <w:tr w:rsidR="00B20925" w:rsidRPr="00B61B2D" w:rsidTr="00250DD1">
        <w:trPr>
          <w:trHeight w:val="225"/>
        </w:trPr>
        <w:tc>
          <w:tcPr>
            <w:tcW w:w="3873"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c>
          <w:tcPr>
            <w:tcW w:w="564" w:type="pct"/>
            <w:tcBorders>
              <w:top w:val="nil"/>
              <w:left w:val="nil"/>
              <w:bottom w:val="nil"/>
              <w:right w:val="nil"/>
            </w:tcBorders>
            <w:shd w:val="clear" w:color="auto" w:fill="auto"/>
            <w:noWrap/>
            <w:vAlign w:val="bottom"/>
            <w:hideMark/>
          </w:tcPr>
          <w:p w:rsidR="00B20925" w:rsidRPr="00B61B2D" w:rsidRDefault="00B20925" w:rsidP="00250DD1">
            <w:pPr>
              <w:rPr>
                <w:rFonts w:cs="Arial"/>
                <w:sz w:val="16"/>
                <w:szCs w:val="16"/>
              </w:rPr>
            </w:pPr>
          </w:p>
        </w:tc>
      </w:tr>
      <w:tr w:rsidR="00B20925" w:rsidRPr="00B61B2D" w:rsidTr="00250DD1">
        <w:trPr>
          <w:trHeight w:val="225"/>
        </w:trPr>
        <w:tc>
          <w:tcPr>
            <w:tcW w:w="3873" w:type="pct"/>
            <w:tcBorders>
              <w:top w:val="single" w:sz="4" w:space="0" w:color="auto"/>
              <w:left w:val="nil"/>
              <w:bottom w:val="single" w:sz="4" w:space="0" w:color="auto"/>
              <w:right w:val="nil"/>
            </w:tcBorders>
            <w:shd w:val="clear" w:color="000000" w:fill="FFFFCC"/>
            <w:noWrap/>
            <w:vAlign w:val="center"/>
            <w:hideMark/>
          </w:tcPr>
          <w:p w:rsidR="00B20925" w:rsidRPr="00B61B2D" w:rsidRDefault="00B20925" w:rsidP="00250DD1">
            <w:pPr>
              <w:rPr>
                <w:rFonts w:cs="Arial"/>
                <w:b/>
                <w:bCs/>
                <w:sz w:val="16"/>
                <w:szCs w:val="16"/>
              </w:rPr>
            </w:pPr>
            <w:r w:rsidRPr="00B61B2D">
              <w:rPr>
                <w:rFonts w:cs="Arial"/>
                <w:b/>
                <w:bCs/>
                <w:sz w:val="16"/>
                <w:szCs w:val="16"/>
              </w:rPr>
              <w:t> </w:t>
            </w:r>
          </w:p>
        </w:tc>
        <w:tc>
          <w:tcPr>
            <w:tcW w:w="564" w:type="pct"/>
            <w:tcBorders>
              <w:top w:val="single" w:sz="4" w:space="0" w:color="auto"/>
              <w:left w:val="nil"/>
              <w:bottom w:val="single" w:sz="4" w:space="0" w:color="auto"/>
              <w:right w:val="nil"/>
            </w:tcBorders>
            <w:shd w:val="clear" w:color="000000" w:fill="FFFFCC"/>
            <w:vAlign w:val="center"/>
            <w:hideMark/>
          </w:tcPr>
          <w:p w:rsidR="00B20925" w:rsidRPr="00B61B2D" w:rsidRDefault="00B20925" w:rsidP="00250DD1">
            <w:pPr>
              <w:rPr>
                <w:rFonts w:cs="Arial"/>
                <w:b/>
                <w:bCs/>
                <w:sz w:val="16"/>
                <w:szCs w:val="16"/>
              </w:rPr>
            </w:pPr>
            <w:r w:rsidRPr="00B61B2D">
              <w:rPr>
                <w:rFonts w:cs="Arial"/>
                <w:b/>
                <w:bCs/>
                <w:sz w:val="16"/>
                <w:szCs w:val="16"/>
              </w:rPr>
              <w:t> </w:t>
            </w:r>
          </w:p>
        </w:tc>
        <w:tc>
          <w:tcPr>
            <w:tcW w:w="564" w:type="pct"/>
            <w:tcBorders>
              <w:top w:val="single" w:sz="4" w:space="0" w:color="auto"/>
              <w:left w:val="nil"/>
              <w:bottom w:val="single" w:sz="4" w:space="0" w:color="auto"/>
              <w:right w:val="nil"/>
            </w:tcBorders>
            <w:shd w:val="clear" w:color="000000" w:fill="FFFFCC"/>
            <w:vAlign w:val="center"/>
            <w:hideMark/>
          </w:tcPr>
          <w:p w:rsidR="00B20925" w:rsidRPr="00B61B2D" w:rsidRDefault="00B20925" w:rsidP="00250DD1">
            <w:pPr>
              <w:rPr>
                <w:rFonts w:cs="Arial"/>
                <w:b/>
                <w:bCs/>
                <w:sz w:val="16"/>
                <w:szCs w:val="16"/>
              </w:rPr>
            </w:pPr>
            <w:r w:rsidRPr="00B61B2D">
              <w:rPr>
                <w:rFonts w:cs="Arial"/>
                <w:b/>
                <w:bCs/>
                <w:sz w:val="16"/>
                <w:szCs w:val="16"/>
              </w:rPr>
              <w:t> </w:t>
            </w:r>
          </w:p>
        </w:tc>
      </w:tr>
    </w:tbl>
    <w:p w:rsidR="00B20925" w:rsidRDefault="00B20925" w:rsidP="00B20925">
      <w:pPr>
        <w:tabs>
          <w:tab w:val="left" w:pos="851"/>
        </w:tabs>
        <w:rPr>
          <w:rFonts w:ascii="Verdana" w:hAnsi="Verdana" w:cs="Arial"/>
          <w:sz w:val="22"/>
          <w:szCs w:val="22"/>
        </w:rPr>
      </w:pPr>
    </w:p>
    <w:p w:rsidR="00B20925" w:rsidRDefault="00B20925" w:rsidP="00B20925">
      <w:pPr>
        <w:tabs>
          <w:tab w:val="left" w:pos="851"/>
        </w:tabs>
        <w:rPr>
          <w:rFonts w:ascii="Verdana" w:hAnsi="Verdana" w:cs="Arial"/>
          <w:sz w:val="22"/>
          <w:szCs w:val="22"/>
        </w:rPr>
      </w:pPr>
    </w:p>
    <w:p w:rsidR="00B20925" w:rsidRPr="00BC1BB1" w:rsidRDefault="00B20925" w:rsidP="00B20925">
      <w:pPr>
        <w:tabs>
          <w:tab w:val="left" w:pos="851"/>
        </w:tabs>
        <w:rPr>
          <w:rFonts w:ascii="Verdana" w:hAnsi="Verdana" w:cs="Arial"/>
          <w:b/>
        </w:rPr>
      </w:pPr>
      <w:r w:rsidRPr="00BC1BB1">
        <w:rPr>
          <w:rFonts w:ascii="Verdana" w:hAnsi="Verdana" w:cs="Arial"/>
          <w:b/>
        </w:rPr>
        <w:t>Toelichting op de belangrijkste uitgavenmutaties</w:t>
      </w:r>
    </w:p>
    <w:p w:rsidR="00B20925" w:rsidRPr="00BC1BB1" w:rsidRDefault="00B20925" w:rsidP="00B20925">
      <w:pPr>
        <w:tabs>
          <w:tab w:val="left" w:pos="851"/>
        </w:tabs>
        <w:rPr>
          <w:rFonts w:ascii="Verdana" w:hAnsi="Verdana" w:cs="Arial"/>
        </w:rPr>
      </w:pPr>
    </w:p>
    <w:p w:rsidR="00B20925" w:rsidRPr="00CE250F" w:rsidRDefault="00B20925" w:rsidP="00B20925">
      <w:pPr>
        <w:rPr>
          <w:rFonts w:ascii="Verdana" w:hAnsi="Verdana" w:cs="Arial"/>
          <w:sz w:val="18"/>
          <w:szCs w:val="18"/>
        </w:rPr>
      </w:pPr>
      <w:r w:rsidRPr="00CE250F">
        <w:rPr>
          <w:rFonts w:ascii="Verdana" w:hAnsi="Verdana" w:cs="Arial"/>
          <w:i/>
          <w:sz w:val="18"/>
          <w:szCs w:val="18"/>
        </w:rPr>
        <w:t>1. Schikking NORMA</w:t>
      </w:r>
      <w:r w:rsidRPr="00CE250F">
        <w:rPr>
          <w:rFonts w:ascii="Verdana" w:hAnsi="Verdana" w:cs="Arial"/>
          <w:i/>
          <w:sz w:val="18"/>
          <w:szCs w:val="18"/>
        </w:rPr>
        <w:br/>
      </w:r>
      <w:r>
        <w:rPr>
          <w:rFonts w:ascii="Verdana" w:hAnsi="Verdana" w:cs="Arial"/>
          <w:sz w:val="18"/>
          <w:szCs w:val="18"/>
        </w:rPr>
        <w:t xml:space="preserve">Het Rijk </w:t>
      </w:r>
      <w:r w:rsidRPr="00CE250F">
        <w:rPr>
          <w:rFonts w:ascii="Verdana" w:hAnsi="Verdana" w:cs="Arial"/>
          <w:sz w:val="18"/>
          <w:szCs w:val="18"/>
        </w:rPr>
        <w:t>heeft een schikking van € 10 mln. getroffen met de Stichting NORMA (Naburige Rechtenorganisatie voor Musici en Auteurs) naar aanleiding van een rechterlijke uitspraak over thuiskopievergoedingen.</w:t>
      </w:r>
    </w:p>
    <w:p w:rsidR="00B20925" w:rsidRPr="00CE250F" w:rsidRDefault="00B20925" w:rsidP="00B20925">
      <w:pPr>
        <w:rPr>
          <w:rFonts w:ascii="Verdana" w:hAnsi="Verdana" w:cs="Arial"/>
          <w:sz w:val="18"/>
          <w:szCs w:val="18"/>
        </w:rPr>
      </w:pPr>
    </w:p>
    <w:p w:rsidR="00B20925" w:rsidRPr="00CE250F" w:rsidRDefault="00B20925" w:rsidP="00B20925">
      <w:pPr>
        <w:rPr>
          <w:rFonts w:ascii="Verdana" w:hAnsi="Verdana" w:cs="Arial"/>
          <w:i/>
          <w:sz w:val="18"/>
          <w:szCs w:val="18"/>
        </w:rPr>
      </w:pPr>
      <w:r w:rsidRPr="00CE250F">
        <w:rPr>
          <w:rFonts w:ascii="Verdana" w:hAnsi="Verdana" w:cs="Arial"/>
          <w:i/>
          <w:sz w:val="18"/>
          <w:szCs w:val="18"/>
        </w:rPr>
        <w:t>2. Administratiekostenvergoedingen Centraal Justitieel Incassobureau</w:t>
      </w:r>
    </w:p>
    <w:p w:rsidR="00B20925" w:rsidRPr="00CE250F" w:rsidRDefault="00B20925" w:rsidP="00B20925">
      <w:pPr>
        <w:rPr>
          <w:rFonts w:ascii="Times New Roman" w:hAnsi="Times New Roman"/>
          <w:b/>
          <w:sz w:val="18"/>
          <w:szCs w:val="18"/>
          <w:u w:val="single"/>
        </w:rPr>
      </w:pPr>
      <w:r>
        <w:rPr>
          <w:rFonts w:ascii="Verdana" w:hAnsi="Verdana"/>
          <w:sz w:val="18"/>
          <w:szCs w:val="18"/>
        </w:rPr>
        <w:t xml:space="preserve">Bij het jaarverslag 2013 is de administratiekostenvergoeding geboekt via de </w:t>
      </w:r>
      <w:proofErr w:type="spellStart"/>
      <w:r>
        <w:rPr>
          <w:rFonts w:ascii="Verdana" w:hAnsi="Verdana"/>
          <w:sz w:val="18"/>
          <w:szCs w:val="18"/>
        </w:rPr>
        <w:t>VenJ</w:t>
      </w:r>
      <w:proofErr w:type="spellEnd"/>
      <w:r>
        <w:rPr>
          <w:rFonts w:ascii="Verdana" w:hAnsi="Verdana"/>
          <w:sz w:val="18"/>
          <w:szCs w:val="18"/>
        </w:rPr>
        <w:t xml:space="preserve">-begroting. Deze wijze van budgettaire verwerking wordt nu ook gehanteerd voor 2014 en verder. </w:t>
      </w:r>
      <w:r w:rsidRPr="00CE250F">
        <w:rPr>
          <w:rFonts w:ascii="Verdana" w:hAnsi="Verdana"/>
          <w:sz w:val="18"/>
          <w:szCs w:val="18"/>
        </w:rPr>
        <w:t xml:space="preserve">Het uitgaven, verplichtingen en ontvangstenkader zijn </w:t>
      </w:r>
      <w:r>
        <w:rPr>
          <w:rFonts w:ascii="Verdana" w:hAnsi="Verdana"/>
          <w:sz w:val="18"/>
          <w:szCs w:val="18"/>
        </w:rPr>
        <w:t xml:space="preserve">hiervoor </w:t>
      </w:r>
      <w:r w:rsidRPr="00CE250F">
        <w:rPr>
          <w:rFonts w:ascii="Verdana" w:hAnsi="Verdana"/>
          <w:sz w:val="18"/>
          <w:szCs w:val="18"/>
        </w:rPr>
        <w:t xml:space="preserve">meerjarig verhoogd met € 70,2 mln. Het betreft de ontvangen vergoeding voor administratiekosten bij boeten en transacties. Deze ontvangsten zijn </w:t>
      </w:r>
      <w:r>
        <w:rPr>
          <w:rFonts w:ascii="Verdana" w:hAnsi="Verdana"/>
          <w:sz w:val="18"/>
          <w:szCs w:val="18"/>
        </w:rPr>
        <w:t xml:space="preserve">door het departement </w:t>
      </w:r>
      <w:r w:rsidRPr="00CE250F">
        <w:rPr>
          <w:rFonts w:ascii="Verdana" w:hAnsi="Verdana"/>
          <w:sz w:val="18"/>
          <w:szCs w:val="18"/>
        </w:rPr>
        <w:t xml:space="preserve">beschikbaar gesteld aan het Centraal Justitieel Incassobureau ter dekking van de gemaakte kosten bij WAHV-zaken, </w:t>
      </w:r>
      <w:proofErr w:type="spellStart"/>
      <w:r w:rsidRPr="00CE250F">
        <w:rPr>
          <w:rFonts w:ascii="Verdana" w:hAnsi="Verdana"/>
          <w:sz w:val="18"/>
          <w:szCs w:val="18"/>
        </w:rPr>
        <w:t>boetevonissen</w:t>
      </w:r>
      <w:proofErr w:type="spellEnd"/>
      <w:r w:rsidRPr="00CE250F">
        <w:rPr>
          <w:rFonts w:ascii="Verdana" w:hAnsi="Verdana"/>
          <w:sz w:val="18"/>
          <w:szCs w:val="18"/>
        </w:rPr>
        <w:t xml:space="preserve"> en OM-afdoeningen.</w:t>
      </w:r>
    </w:p>
    <w:p w:rsidR="00B20925" w:rsidRPr="00CE250F" w:rsidRDefault="00B20925" w:rsidP="00B20925">
      <w:pPr>
        <w:rPr>
          <w:rFonts w:ascii="Verdana" w:hAnsi="Verdana"/>
          <w:sz w:val="18"/>
          <w:szCs w:val="18"/>
        </w:rPr>
      </w:pPr>
    </w:p>
    <w:p w:rsidR="00B20925" w:rsidRPr="00CE250F" w:rsidRDefault="00B20925" w:rsidP="00B20925">
      <w:pPr>
        <w:tabs>
          <w:tab w:val="left" w:pos="851"/>
        </w:tabs>
        <w:rPr>
          <w:rFonts w:ascii="Verdana" w:hAnsi="Verdana" w:cs="Arial"/>
          <w:i/>
          <w:sz w:val="18"/>
          <w:szCs w:val="18"/>
        </w:rPr>
      </w:pPr>
      <w:r w:rsidRPr="00CE250F">
        <w:rPr>
          <w:rFonts w:ascii="Verdana" w:hAnsi="Verdana" w:cs="Arial"/>
          <w:i/>
          <w:sz w:val="18"/>
          <w:szCs w:val="18"/>
        </w:rPr>
        <w:t>3. Verhoging instroom asiel eerstejaarsopvang</w:t>
      </w:r>
    </w:p>
    <w:p w:rsidR="00B20925" w:rsidRDefault="00B20925" w:rsidP="00B20925">
      <w:pPr>
        <w:tabs>
          <w:tab w:val="left" w:pos="851"/>
        </w:tabs>
        <w:rPr>
          <w:rFonts w:ascii="Verdana" w:hAnsi="Verdana" w:cs="Arial"/>
          <w:sz w:val="18"/>
          <w:szCs w:val="18"/>
        </w:rPr>
      </w:pPr>
      <w:r w:rsidRPr="00CE250F">
        <w:rPr>
          <w:rFonts w:ascii="Verdana" w:hAnsi="Verdana" w:cs="Arial"/>
          <w:sz w:val="18"/>
          <w:szCs w:val="18"/>
        </w:rPr>
        <w:t>De instroom van asielzoekers uit ontwikkelingslanden loopt in 2014 op. Om aan de kosten die gepaard gaan met de hoge toestroom tegemoet te komen heeft het kabinet in 2014 € 375 mln. extra beschikbaar gesteld voor de eerstejaarsopvang van asielzoekers. Dit bedrag is bij miljoenennota 201</w:t>
      </w:r>
      <w:r>
        <w:rPr>
          <w:rFonts w:ascii="Verdana" w:hAnsi="Verdana" w:cs="Arial"/>
          <w:sz w:val="18"/>
          <w:szCs w:val="18"/>
        </w:rPr>
        <w:t>5</w:t>
      </w:r>
      <w:r w:rsidRPr="00CE250F">
        <w:rPr>
          <w:rFonts w:ascii="Verdana" w:hAnsi="Verdana" w:cs="Arial"/>
          <w:sz w:val="18"/>
          <w:szCs w:val="18"/>
        </w:rPr>
        <w:t xml:space="preserve"> aan</w:t>
      </w:r>
      <w:r>
        <w:rPr>
          <w:rFonts w:ascii="Verdana" w:hAnsi="Verdana" w:cs="Arial"/>
          <w:sz w:val="18"/>
          <w:szCs w:val="18"/>
        </w:rPr>
        <w:t xml:space="preserve"> het budget in</w:t>
      </w:r>
      <w:r w:rsidRPr="00CE250F">
        <w:rPr>
          <w:rFonts w:ascii="Verdana" w:hAnsi="Verdana" w:cs="Arial"/>
          <w:sz w:val="18"/>
          <w:szCs w:val="18"/>
        </w:rPr>
        <w:t xml:space="preserve"> de begroting </w:t>
      </w:r>
      <w:r>
        <w:rPr>
          <w:rFonts w:ascii="Verdana" w:hAnsi="Verdana" w:cs="Arial"/>
          <w:sz w:val="18"/>
          <w:szCs w:val="18"/>
        </w:rPr>
        <w:t xml:space="preserve">2014 </w:t>
      </w:r>
      <w:r w:rsidRPr="00CE250F">
        <w:rPr>
          <w:rFonts w:ascii="Verdana" w:hAnsi="Verdana" w:cs="Arial"/>
          <w:sz w:val="18"/>
          <w:szCs w:val="18"/>
        </w:rPr>
        <w:t xml:space="preserve">van </w:t>
      </w:r>
      <w:proofErr w:type="spellStart"/>
      <w:r w:rsidRPr="00CE250F">
        <w:rPr>
          <w:rFonts w:ascii="Verdana" w:hAnsi="Verdana" w:cs="Arial"/>
          <w:sz w:val="18"/>
          <w:szCs w:val="18"/>
        </w:rPr>
        <w:t>VenJ</w:t>
      </w:r>
      <w:proofErr w:type="spellEnd"/>
      <w:r w:rsidRPr="00CE250F">
        <w:rPr>
          <w:rFonts w:ascii="Verdana" w:hAnsi="Verdana" w:cs="Arial"/>
          <w:sz w:val="18"/>
          <w:szCs w:val="18"/>
        </w:rPr>
        <w:t xml:space="preserve"> toegevoegd.</w:t>
      </w:r>
    </w:p>
    <w:p w:rsidR="00B20925" w:rsidRDefault="00B20925" w:rsidP="00B20925">
      <w:pPr>
        <w:tabs>
          <w:tab w:val="left" w:pos="851"/>
        </w:tabs>
        <w:rPr>
          <w:rFonts w:ascii="Verdana" w:hAnsi="Verdana" w:cs="Arial"/>
          <w:sz w:val="18"/>
          <w:szCs w:val="18"/>
        </w:rPr>
      </w:pPr>
    </w:p>
    <w:p w:rsidR="00B20925" w:rsidRPr="007835EE" w:rsidRDefault="00B20925" w:rsidP="00B20925">
      <w:pPr>
        <w:tabs>
          <w:tab w:val="left" w:pos="851"/>
        </w:tabs>
        <w:rPr>
          <w:rFonts w:ascii="Verdana" w:eastAsia="Calibri" w:hAnsi="Verdana"/>
          <w:i/>
          <w:sz w:val="18"/>
          <w:szCs w:val="18"/>
          <w:lang w:eastAsia="en-US"/>
        </w:rPr>
      </w:pPr>
      <w:r>
        <w:rPr>
          <w:rFonts w:ascii="Verdana" w:eastAsia="Calibri" w:hAnsi="Verdana"/>
          <w:i/>
          <w:sz w:val="18"/>
          <w:szCs w:val="18"/>
          <w:lang w:eastAsia="en-US"/>
        </w:rPr>
        <w:t>4. Bijdrage agentschap Immigratie- en Naturalisatiedienst (</w:t>
      </w:r>
      <w:r w:rsidRPr="007835EE">
        <w:rPr>
          <w:rFonts w:ascii="Verdana" w:eastAsia="Calibri" w:hAnsi="Verdana"/>
          <w:i/>
          <w:sz w:val="18"/>
          <w:szCs w:val="18"/>
          <w:lang w:eastAsia="en-US"/>
        </w:rPr>
        <w:t>IND</w:t>
      </w:r>
      <w:r>
        <w:rPr>
          <w:rFonts w:ascii="Verdana" w:eastAsia="Calibri" w:hAnsi="Verdana"/>
          <w:i/>
          <w:sz w:val="18"/>
          <w:szCs w:val="18"/>
          <w:lang w:eastAsia="en-US"/>
        </w:rPr>
        <w:t>)</w:t>
      </w:r>
    </w:p>
    <w:p w:rsidR="00B20925" w:rsidRPr="00FC6914" w:rsidRDefault="00B20925" w:rsidP="00B20925">
      <w:pPr>
        <w:tabs>
          <w:tab w:val="left" w:pos="851"/>
        </w:tabs>
        <w:rPr>
          <w:rFonts w:ascii="Verdana" w:hAnsi="Verdana" w:cs="Arial"/>
          <w:sz w:val="18"/>
          <w:szCs w:val="18"/>
        </w:rPr>
      </w:pPr>
      <w:r>
        <w:rPr>
          <w:rFonts w:ascii="Verdana" w:eastAsia="Calibri" w:hAnsi="Verdana"/>
          <w:sz w:val="18"/>
          <w:szCs w:val="18"/>
          <w:lang w:eastAsia="en-US"/>
        </w:rPr>
        <w:t>D</w:t>
      </w:r>
      <w:r w:rsidRPr="00FC6914">
        <w:rPr>
          <w:rFonts w:ascii="Verdana" w:eastAsia="Calibri" w:hAnsi="Verdana"/>
          <w:sz w:val="18"/>
          <w:szCs w:val="18"/>
          <w:lang w:eastAsia="en-US"/>
        </w:rPr>
        <w:t xml:space="preserve">oor de sterk verhoogde asielinstroom in 2014 moet de IND meer productie maken wat leidt tot meerkosten. De IND wordt hiervoor </w:t>
      </w:r>
      <w:proofErr w:type="spellStart"/>
      <w:r w:rsidRPr="00FC6914">
        <w:rPr>
          <w:rFonts w:ascii="Verdana" w:eastAsia="Calibri" w:hAnsi="Verdana"/>
          <w:sz w:val="18"/>
          <w:szCs w:val="18"/>
          <w:lang w:eastAsia="en-US"/>
        </w:rPr>
        <w:t>pxq</w:t>
      </w:r>
      <w:proofErr w:type="spellEnd"/>
      <w:r w:rsidRPr="00FC6914">
        <w:rPr>
          <w:rFonts w:ascii="Verdana" w:eastAsia="Calibri" w:hAnsi="Verdana"/>
          <w:sz w:val="18"/>
          <w:szCs w:val="18"/>
          <w:lang w:eastAsia="en-US"/>
        </w:rPr>
        <w:t xml:space="preserve"> gefinancierd door </w:t>
      </w:r>
      <w:proofErr w:type="spellStart"/>
      <w:r w:rsidRPr="00FC6914">
        <w:rPr>
          <w:rFonts w:ascii="Verdana" w:eastAsia="Calibri" w:hAnsi="Verdana"/>
          <w:sz w:val="18"/>
          <w:szCs w:val="18"/>
          <w:lang w:eastAsia="en-US"/>
        </w:rPr>
        <w:t>VenJ</w:t>
      </w:r>
      <w:proofErr w:type="spellEnd"/>
      <w:r w:rsidRPr="00FC6914">
        <w:rPr>
          <w:rFonts w:ascii="Verdana" w:eastAsia="Calibri" w:hAnsi="Verdana"/>
          <w:sz w:val="18"/>
          <w:szCs w:val="18"/>
          <w:lang w:eastAsia="en-US"/>
        </w:rPr>
        <w:t>. Deze extra financiering bedraagt € 22,1 mln.</w:t>
      </w:r>
    </w:p>
    <w:p w:rsidR="00B20925" w:rsidRPr="00CE250F" w:rsidRDefault="00B20925" w:rsidP="00B20925">
      <w:pPr>
        <w:tabs>
          <w:tab w:val="left" w:pos="851"/>
        </w:tabs>
        <w:rPr>
          <w:rFonts w:ascii="Verdana" w:hAnsi="Verdana" w:cs="Arial"/>
          <w:sz w:val="18"/>
          <w:szCs w:val="18"/>
        </w:rPr>
      </w:pPr>
    </w:p>
    <w:p w:rsidR="00B20925" w:rsidRPr="00CE250F" w:rsidRDefault="00B20925" w:rsidP="00B20925">
      <w:pPr>
        <w:tabs>
          <w:tab w:val="left" w:pos="851"/>
        </w:tabs>
        <w:rPr>
          <w:rFonts w:ascii="Verdana" w:hAnsi="Verdana" w:cs="Arial"/>
          <w:i/>
          <w:sz w:val="18"/>
          <w:szCs w:val="18"/>
        </w:rPr>
      </w:pPr>
      <w:r>
        <w:rPr>
          <w:rFonts w:ascii="Verdana" w:hAnsi="Verdana" w:cs="Arial"/>
          <w:i/>
          <w:sz w:val="18"/>
          <w:szCs w:val="18"/>
        </w:rPr>
        <w:t>5</w:t>
      </w:r>
      <w:r w:rsidRPr="00CE250F">
        <w:rPr>
          <w:rFonts w:ascii="Verdana" w:hAnsi="Verdana" w:cs="Arial"/>
          <w:i/>
          <w:sz w:val="18"/>
          <w:szCs w:val="18"/>
        </w:rPr>
        <w:t>. Terugdraaien inzet asielreserve</w:t>
      </w:r>
    </w:p>
    <w:p w:rsidR="00B20925" w:rsidRPr="00CE250F" w:rsidRDefault="00B20925" w:rsidP="00B20925">
      <w:pPr>
        <w:tabs>
          <w:tab w:val="left" w:pos="851"/>
        </w:tabs>
        <w:rPr>
          <w:rFonts w:ascii="Verdana" w:hAnsi="Verdana" w:cs="Arial"/>
          <w:sz w:val="18"/>
          <w:szCs w:val="18"/>
        </w:rPr>
      </w:pPr>
      <w:r w:rsidRPr="00CE250F">
        <w:rPr>
          <w:rFonts w:ascii="Verdana" w:hAnsi="Verdana" w:cs="Arial"/>
          <w:sz w:val="18"/>
          <w:szCs w:val="18"/>
        </w:rPr>
        <w:t>Bij voorjaarsnota is vanuit de asielreserve</w:t>
      </w:r>
      <w:r>
        <w:rPr>
          <w:rFonts w:ascii="Verdana" w:hAnsi="Verdana" w:cs="Arial"/>
          <w:sz w:val="18"/>
          <w:szCs w:val="18"/>
        </w:rPr>
        <w:t xml:space="preserve"> </w:t>
      </w:r>
      <w:r w:rsidRPr="00CE250F">
        <w:rPr>
          <w:rFonts w:ascii="Verdana" w:hAnsi="Verdana" w:cs="Arial"/>
          <w:sz w:val="18"/>
          <w:szCs w:val="18"/>
        </w:rPr>
        <w:t xml:space="preserve">€ 10,8 mln. ingezet om de extra kosten bij de IND te dekken die zijn veroorzaakt door stijging van de asielinstroom. Bij de augustusbrief besluitvorming is € 375 mln. door het kabinet beschikbaar gesteld om deze kosten op te vangen. De inzet vanuit de asielreserve is hierdoor niet meer noodzakelijk. </w:t>
      </w:r>
    </w:p>
    <w:p w:rsidR="00B20925" w:rsidRPr="00CE250F" w:rsidRDefault="00B20925" w:rsidP="00B20925">
      <w:pPr>
        <w:tabs>
          <w:tab w:val="left" w:pos="851"/>
        </w:tabs>
        <w:rPr>
          <w:rFonts w:ascii="Verdana" w:hAnsi="Verdana" w:cs="Arial"/>
          <w:sz w:val="18"/>
          <w:szCs w:val="18"/>
        </w:rPr>
      </w:pPr>
    </w:p>
    <w:p w:rsidR="00B20925" w:rsidRDefault="00B20925" w:rsidP="00B20925">
      <w:pPr>
        <w:tabs>
          <w:tab w:val="left" w:pos="851"/>
        </w:tabs>
        <w:rPr>
          <w:rFonts w:ascii="Verdana" w:hAnsi="Verdana" w:cs="Arial"/>
          <w:i/>
          <w:sz w:val="18"/>
          <w:szCs w:val="18"/>
        </w:rPr>
      </w:pPr>
    </w:p>
    <w:p w:rsidR="00B20925" w:rsidRPr="00CE250F" w:rsidRDefault="00B20925" w:rsidP="00B20925">
      <w:pPr>
        <w:tabs>
          <w:tab w:val="left" w:pos="851"/>
        </w:tabs>
        <w:rPr>
          <w:rFonts w:ascii="Verdana" w:hAnsi="Verdana" w:cs="Arial"/>
          <w:i/>
          <w:sz w:val="18"/>
          <w:szCs w:val="18"/>
        </w:rPr>
      </w:pPr>
      <w:r>
        <w:rPr>
          <w:rFonts w:ascii="Verdana" w:hAnsi="Verdana" w:cs="Arial"/>
          <w:i/>
          <w:sz w:val="18"/>
          <w:szCs w:val="18"/>
        </w:rPr>
        <w:lastRenderedPageBreak/>
        <w:t>6</w:t>
      </w:r>
      <w:r w:rsidRPr="00CE250F">
        <w:rPr>
          <w:rFonts w:ascii="Verdana" w:hAnsi="Verdana" w:cs="Arial"/>
          <w:i/>
          <w:sz w:val="18"/>
          <w:szCs w:val="18"/>
        </w:rPr>
        <w:t>. Desaldering Justitiële Informatiedienst</w:t>
      </w:r>
      <w:r>
        <w:rPr>
          <w:rFonts w:ascii="Verdana" w:hAnsi="Verdana" w:cs="Arial"/>
          <w:i/>
          <w:sz w:val="18"/>
          <w:szCs w:val="18"/>
        </w:rPr>
        <w:t xml:space="preserve"> (</w:t>
      </w:r>
      <w:proofErr w:type="spellStart"/>
      <w:r>
        <w:rPr>
          <w:rFonts w:ascii="Verdana" w:hAnsi="Verdana" w:cs="Arial"/>
          <w:i/>
          <w:sz w:val="18"/>
          <w:szCs w:val="18"/>
        </w:rPr>
        <w:t>JustID</w:t>
      </w:r>
      <w:proofErr w:type="spellEnd"/>
      <w:r>
        <w:rPr>
          <w:rFonts w:ascii="Verdana" w:hAnsi="Verdana" w:cs="Arial"/>
          <w:i/>
          <w:sz w:val="18"/>
          <w:szCs w:val="18"/>
        </w:rPr>
        <w:t>)</w:t>
      </w:r>
    </w:p>
    <w:p w:rsidR="00B20925" w:rsidRDefault="00B20925" w:rsidP="00B20925">
      <w:pPr>
        <w:tabs>
          <w:tab w:val="left" w:pos="851"/>
        </w:tabs>
        <w:rPr>
          <w:rFonts w:ascii="Verdana" w:hAnsi="Verdana"/>
          <w:sz w:val="18"/>
          <w:szCs w:val="18"/>
        </w:rPr>
      </w:pPr>
      <w:proofErr w:type="spellStart"/>
      <w:r w:rsidRPr="00CE250F">
        <w:rPr>
          <w:rFonts w:ascii="Verdana" w:hAnsi="Verdana"/>
          <w:sz w:val="18"/>
          <w:szCs w:val="18"/>
        </w:rPr>
        <w:t>JustID</w:t>
      </w:r>
      <w:proofErr w:type="spellEnd"/>
      <w:r w:rsidRPr="00CE250F">
        <w:rPr>
          <w:rFonts w:ascii="Verdana" w:hAnsi="Verdana"/>
          <w:sz w:val="18"/>
          <w:szCs w:val="18"/>
        </w:rPr>
        <w:t xml:space="preserve"> voert naast een aantal reguliere taken ook opdrachten uit voor derden, zoals het beheer van systemen. De vergoedingen voor deze opdrachten worden door middel van een desaldering toegevoegd aan het budgettaire kader. Hierbij wordt het uitgaven, verplichtingen en ontvangstenkader verhoogd.</w:t>
      </w:r>
      <w:r>
        <w:rPr>
          <w:rFonts w:ascii="Verdana" w:hAnsi="Verdana"/>
          <w:sz w:val="18"/>
          <w:szCs w:val="18"/>
        </w:rPr>
        <w:br/>
      </w:r>
    </w:p>
    <w:p w:rsidR="00B20925" w:rsidRPr="00CE250F" w:rsidRDefault="00B20925" w:rsidP="00B20925">
      <w:pPr>
        <w:tabs>
          <w:tab w:val="left" w:pos="851"/>
        </w:tabs>
        <w:rPr>
          <w:rFonts w:ascii="Verdana" w:hAnsi="Verdana" w:cs="Arial"/>
          <w:i/>
          <w:sz w:val="18"/>
          <w:szCs w:val="18"/>
        </w:rPr>
      </w:pPr>
      <w:r>
        <w:rPr>
          <w:rFonts w:ascii="Verdana" w:hAnsi="Verdana" w:cs="Arial"/>
          <w:i/>
          <w:sz w:val="18"/>
          <w:szCs w:val="18"/>
        </w:rPr>
        <w:t>7</w:t>
      </w:r>
      <w:r w:rsidRPr="00CE250F">
        <w:rPr>
          <w:rFonts w:ascii="Verdana" w:hAnsi="Verdana" w:cs="Arial"/>
          <w:i/>
          <w:sz w:val="18"/>
          <w:szCs w:val="18"/>
        </w:rPr>
        <w:t xml:space="preserve">. Loonbijstelling </w:t>
      </w:r>
    </w:p>
    <w:p w:rsidR="00B20925" w:rsidRPr="00CE250F" w:rsidRDefault="00B20925" w:rsidP="00B20925">
      <w:pPr>
        <w:tabs>
          <w:tab w:val="left" w:pos="851"/>
        </w:tabs>
        <w:rPr>
          <w:rFonts w:ascii="Verdana" w:hAnsi="Verdana" w:cs="Arial"/>
          <w:sz w:val="18"/>
          <w:szCs w:val="18"/>
        </w:rPr>
      </w:pPr>
      <w:r w:rsidRPr="00CE250F">
        <w:rPr>
          <w:rFonts w:ascii="Verdana" w:hAnsi="Verdana" w:cs="Arial"/>
          <w:sz w:val="18"/>
          <w:szCs w:val="18"/>
        </w:rPr>
        <w:t>De</w:t>
      </w:r>
      <w:r w:rsidRPr="00691E95">
        <w:rPr>
          <w:rFonts w:ascii="Verdana" w:hAnsi="Verdana" w:cs="Arial"/>
          <w:sz w:val="18"/>
          <w:szCs w:val="18"/>
        </w:rPr>
        <w:t xml:space="preserve"> </w:t>
      </w:r>
      <w:r w:rsidRPr="00CE250F">
        <w:rPr>
          <w:rFonts w:ascii="Verdana" w:hAnsi="Verdana" w:cs="Arial"/>
          <w:sz w:val="18"/>
          <w:szCs w:val="18"/>
        </w:rPr>
        <w:t>tranche 2014 loonbijstelling voor de sociale lastenontwikkeling is bij miljoenennota 201</w:t>
      </w:r>
      <w:r>
        <w:rPr>
          <w:rFonts w:ascii="Verdana" w:hAnsi="Verdana" w:cs="Arial"/>
          <w:sz w:val="18"/>
          <w:szCs w:val="18"/>
        </w:rPr>
        <w:t>5</w:t>
      </w:r>
      <w:r w:rsidRPr="00CE250F">
        <w:rPr>
          <w:rFonts w:ascii="Verdana" w:hAnsi="Verdana" w:cs="Arial"/>
          <w:sz w:val="18"/>
          <w:szCs w:val="18"/>
        </w:rPr>
        <w:t xml:space="preserve"> aan de begroting</w:t>
      </w:r>
      <w:r>
        <w:rPr>
          <w:rFonts w:ascii="Verdana" w:hAnsi="Verdana" w:cs="Arial"/>
          <w:sz w:val="18"/>
          <w:szCs w:val="18"/>
        </w:rPr>
        <w:t xml:space="preserve"> 2014</w:t>
      </w:r>
      <w:r w:rsidRPr="00CE250F">
        <w:rPr>
          <w:rFonts w:ascii="Verdana" w:hAnsi="Verdana" w:cs="Arial"/>
          <w:sz w:val="18"/>
          <w:szCs w:val="18"/>
        </w:rPr>
        <w:t xml:space="preserve"> van </w:t>
      </w:r>
      <w:proofErr w:type="spellStart"/>
      <w:r w:rsidRPr="00CE250F">
        <w:rPr>
          <w:rFonts w:ascii="Verdana" w:hAnsi="Verdana" w:cs="Arial"/>
          <w:sz w:val="18"/>
          <w:szCs w:val="18"/>
        </w:rPr>
        <w:t>VenJ</w:t>
      </w:r>
      <w:proofErr w:type="spellEnd"/>
      <w:r w:rsidRPr="00CE250F">
        <w:rPr>
          <w:rFonts w:ascii="Verdana" w:hAnsi="Verdana" w:cs="Arial"/>
          <w:sz w:val="18"/>
          <w:szCs w:val="18"/>
        </w:rPr>
        <w:t xml:space="preserve"> toegevoegd en </w:t>
      </w:r>
      <w:r>
        <w:rPr>
          <w:rFonts w:ascii="Verdana" w:hAnsi="Verdana" w:cs="Arial"/>
          <w:sz w:val="18"/>
          <w:szCs w:val="18"/>
        </w:rPr>
        <w:t xml:space="preserve">wordt </w:t>
      </w:r>
      <w:r w:rsidRPr="00CE250F">
        <w:rPr>
          <w:rFonts w:ascii="Verdana" w:hAnsi="Verdana" w:cs="Arial"/>
          <w:sz w:val="18"/>
          <w:szCs w:val="18"/>
        </w:rPr>
        <w:t>bij de tweede suppletoire begroting verdeeld over de desbetreffende artikelen.</w:t>
      </w:r>
    </w:p>
    <w:p w:rsidR="00B20925" w:rsidRPr="00BC1BB1" w:rsidRDefault="00B20925" w:rsidP="00B20925">
      <w:pPr>
        <w:rPr>
          <w:rFonts w:ascii="Verdana" w:hAnsi="Verdana" w:cs="Arial"/>
          <w:b/>
        </w:rPr>
      </w:pPr>
      <w:r w:rsidRPr="00CE250F">
        <w:rPr>
          <w:sz w:val="18"/>
          <w:szCs w:val="18"/>
        </w:rPr>
        <w:br w:type="page"/>
      </w:r>
      <w:r w:rsidRPr="00BC1BB1">
        <w:rPr>
          <w:rFonts w:ascii="Verdana" w:hAnsi="Verdana" w:cs="Arial"/>
          <w:b/>
        </w:rPr>
        <w:lastRenderedPageBreak/>
        <w:t xml:space="preserve">Overzicht belangrijkste suppletoire </w:t>
      </w:r>
      <w:r>
        <w:rPr>
          <w:rFonts w:ascii="Verdana" w:hAnsi="Verdana" w:cs="Arial"/>
          <w:b/>
        </w:rPr>
        <w:t>ontvangsten</w:t>
      </w:r>
      <w:r w:rsidRPr="00BC1BB1">
        <w:rPr>
          <w:rFonts w:ascii="Verdana" w:hAnsi="Verdana" w:cs="Arial"/>
          <w:b/>
        </w:rPr>
        <w:t>mutaties 201</w:t>
      </w:r>
      <w:r>
        <w:rPr>
          <w:rFonts w:ascii="Verdana" w:hAnsi="Verdana" w:cs="Arial"/>
          <w:b/>
        </w:rPr>
        <w:t>4</w:t>
      </w:r>
      <w:r w:rsidRPr="00BC1BB1">
        <w:rPr>
          <w:rFonts w:ascii="Verdana" w:hAnsi="Verdana" w:cs="Arial"/>
          <w:b/>
        </w:rPr>
        <w:t xml:space="preserve"> (Najaarsnota)</w:t>
      </w:r>
    </w:p>
    <w:tbl>
      <w:tblPr>
        <w:tblW w:w="5000" w:type="pct"/>
        <w:tblCellMar>
          <w:left w:w="70" w:type="dxa"/>
          <w:right w:w="70" w:type="dxa"/>
        </w:tblCellMar>
        <w:tblLook w:val="04A0" w:firstRow="1" w:lastRow="0" w:firstColumn="1" w:lastColumn="0" w:noHBand="0" w:noVBand="1"/>
      </w:tblPr>
      <w:tblGrid>
        <w:gridCol w:w="6623"/>
        <w:gridCol w:w="921"/>
        <w:gridCol w:w="912"/>
      </w:tblGrid>
      <w:tr w:rsidR="00B20925" w:rsidRPr="00AA1D2A" w:rsidTr="00250DD1">
        <w:trPr>
          <w:trHeight w:val="25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b/>
                <w:bCs/>
              </w:rPr>
            </w:pPr>
          </w:p>
        </w:tc>
        <w:tc>
          <w:tcPr>
            <w:tcW w:w="1082" w:type="pct"/>
            <w:gridSpan w:val="2"/>
            <w:tcBorders>
              <w:top w:val="nil"/>
              <w:left w:val="nil"/>
              <w:bottom w:val="nil"/>
              <w:right w:val="nil"/>
            </w:tcBorders>
            <w:shd w:val="clear" w:color="auto" w:fill="auto"/>
            <w:noWrap/>
            <w:vAlign w:val="bottom"/>
            <w:hideMark/>
          </w:tcPr>
          <w:p w:rsidR="00B20925" w:rsidRPr="00AA1D2A" w:rsidRDefault="00B20925" w:rsidP="00250DD1">
            <w:pPr>
              <w:jc w:val="right"/>
              <w:rPr>
                <w:rFonts w:cs="Arial"/>
                <w:b/>
                <w:bCs/>
                <w:sz w:val="16"/>
                <w:szCs w:val="16"/>
              </w:rPr>
            </w:pPr>
            <w:r w:rsidRPr="00AA1D2A">
              <w:rPr>
                <w:rFonts w:cs="Arial"/>
                <w:b/>
                <w:bCs/>
                <w:sz w:val="16"/>
                <w:szCs w:val="16"/>
              </w:rPr>
              <w:t>x € 1.000</w:t>
            </w:r>
          </w:p>
        </w:tc>
      </w:tr>
      <w:tr w:rsidR="00B20925" w:rsidRPr="00AA1D2A" w:rsidTr="00250DD1">
        <w:trPr>
          <w:trHeight w:val="225"/>
        </w:trPr>
        <w:tc>
          <w:tcPr>
            <w:tcW w:w="3918" w:type="pct"/>
            <w:tcBorders>
              <w:top w:val="single" w:sz="4" w:space="0" w:color="auto"/>
              <w:left w:val="nil"/>
              <w:bottom w:val="single" w:sz="4" w:space="0" w:color="auto"/>
              <w:right w:val="nil"/>
            </w:tcBorders>
            <w:shd w:val="clear" w:color="000000" w:fill="FFFFCC"/>
            <w:noWrap/>
            <w:vAlign w:val="center"/>
            <w:hideMark/>
          </w:tcPr>
          <w:p w:rsidR="00B20925" w:rsidRPr="00AA1D2A" w:rsidRDefault="00B20925" w:rsidP="00250DD1">
            <w:pPr>
              <w:jc w:val="right"/>
              <w:rPr>
                <w:rFonts w:cs="Arial"/>
                <w:sz w:val="16"/>
                <w:szCs w:val="16"/>
              </w:rPr>
            </w:pPr>
            <w:r w:rsidRPr="00AA1D2A">
              <w:rPr>
                <w:rFonts w:cs="Arial"/>
                <w:sz w:val="16"/>
                <w:szCs w:val="16"/>
              </w:rPr>
              <w:t> </w:t>
            </w:r>
          </w:p>
        </w:tc>
        <w:tc>
          <w:tcPr>
            <w:tcW w:w="541" w:type="pct"/>
            <w:tcBorders>
              <w:top w:val="single" w:sz="4" w:space="0" w:color="auto"/>
              <w:left w:val="nil"/>
              <w:bottom w:val="single" w:sz="4" w:space="0" w:color="auto"/>
              <w:right w:val="nil"/>
            </w:tcBorders>
            <w:shd w:val="clear" w:color="000000" w:fill="FFFFCC"/>
            <w:vAlign w:val="center"/>
            <w:hideMark/>
          </w:tcPr>
          <w:p w:rsidR="00B20925" w:rsidRPr="00AA1D2A" w:rsidRDefault="00B20925" w:rsidP="00250DD1">
            <w:pPr>
              <w:jc w:val="right"/>
              <w:rPr>
                <w:rFonts w:cs="Arial"/>
                <w:sz w:val="16"/>
                <w:szCs w:val="16"/>
              </w:rPr>
            </w:pPr>
            <w:r w:rsidRPr="00AA1D2A">
              <w:rPr>
                <w:rFonts w:cs="Arial"/>
                <w:sz w:val="16"/>
                <w:szCs w:val="16"/>
              </w:rPr>
              <w:t>Beleidsartikel</w:t>
            </w:r>
          </w:p>
        </w:tc>
        <w:tc>
          <w:tcPr>
            <w:tcW w:w="541" w:type="pct"/>
            <w:tcBorders>
              <w:top w:val="single" w:sz="4" w:space="0" w:color="auto"/>
              <w:left w:val="nil"/>
              <w:bottom w:val="single" w:sz="4" w:space="0" w:color="auto"/>
              <w:right w:val="nil"/>
            </w:tcBorders>
            <w:shd w:val="clear" w:color="000000" w:fill="FFFFCC"/>
            <w:vAlign w:val="center"/>
            <w:hideMark/>
          </w:tcPr>
          <w:p w:rsidR="00B20925" w:rsidRPr="00AA1D2A" w:rsidRDefault="00B20925" w:rsidP="00250DD1">
            <w:pPr>
              <w:jc w:val="right"/>
              <w:rPr>
                <w:rFonts w:cs="Arial"/>
                <w:sz w:val="16"/>
                <w:szCs w:val="16"/>
              </w:rPr>
            </w:pPr>
            <w:r w:rsidRPr="00AA1D2A">
              <w:rPr>
                <w:rFonts w:cs="Arial"/>
                <w:sz w:val="16"/>
                <w:szCs w:val="16"/>
              </w:rPr>
              <w:t>Ontvangsten</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Belangrijkste suppletoire mutaties:</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1</w:t>
            </w:r>
            <w:r>
              <w:rPr>
                <w:rFonts w:cs="Arial"/>
                <w:sz w:val="16"/>
                <w:szCs w:val="16"/>
              </w:rPr>
              <w:t>.</w:t>
            </w:r>
            <w:r w:rsidRPr="00AA1D2A">
              <w:rPr>
                <w:rFonts w:cs="Arial"/>
                <w:sz w:val="16"/>
                <w:szCs w:val="16"/>
              </w:rPr>
              <w:t xml:space="preserve"> </w:t>
            </w:r>
            <w:r>
              <w:rPr>
                <w:rFonts w:cs="Arial"/>
                <w:sz w:val="16"/>
                <w:szCs w:val="16"/>
              </w:rPr>
              <w:t>Vertraging verhoging g</w:t>
            </w:r>
            <w:r w:rsidRPr="00AA1D2A">
              <w:rPr>
                <w:rFonts w:cs="Arial"/>
                <w:sz w:val="16"/>
                <w:szCs w:val="16"/>
              </w:rPr>
              <w:t>riffierechten</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32</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-19.000</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2. Kasschuif Boeten en transacties</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33</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-70.000</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3. Administratiekostenvergoedingen Centraal Justitieel Incassobureau</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34</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70.244</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 xml:space="preserve">4. </w:t>
            </w:r>
            <w:r>
              <w:rPr>
                <w:rFonts w:cs="Arial"/>
                <w:sz w:val="16"/>
                <w:szCs w:val="16"/>
              </w:rPr>
              <w:t xml:space="preserve">Terugdraaien </w:t>
            </w:r>
            <w:r w:rsidRPr="00AA1D2A">
              <w:rPr>
                <w:rFonts w:cs="Arial"/>
                <w:sz w:val="16"/>
                <w:szCs w:val="16"/>
              </w:rPr>
              <w:t xml:space="preserve"> inzet asielreserve</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37</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-10.800</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r w:rsidRPr="00AA1D2A">
              <w:rPr>
                <w:rFonts w:cs="Arial"/>
                <w:sz w:val="16"/>
                <w:szCs w:val="16"/>
              </w:rPr>
              <w:t xml:space="preserve">5. Desaldering </w:t>
            </w:r>
            <w:proofErr w:type="spellStart"/>
            <w:r w:rsidRPr="00AA1D2A">
              <w:rPr>
                <w:rFonts w:cs="Arial"/>
                <w:sz w:val="16"/>
                <w:szCs w:val="16"/>
              </w:rPr>
              <w:t>JustID</w:t>
            </w:r>
            <w:proofErr w:type="spellEnd"/>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91</w:t>
            </w:r>
          </w:p>
        </w:tc>
        <w:tc>
          <w:tcPr>
            <w:tcW w:w="541" w:type="pct"/>
            <w:tcBorders>
              <w:top w:val="nil"/>
              <w:left w:val="nil"/>
              <w:bottom w:val="nil"/>
              <w:right w:val="nil"/>
            </w:tcBorders>
            <w:shd w:val="clear" w:color="auto" w:fill="auto"/>
            <w:noWrap/>
            <w:vAlign w:val="bottom"/>
            <w:hideMark/>
          </w:tcPr>
          <w:p w:rsidR="00B20925" w:rsidRPr="00AA1D2A" w:rsidRDefault="00B20925" w:rsidP="00250DD1">
            <w:pPr>
              <w:jc w:val="right"/>
              <w:rPr>
                <w:rFonts w:cs="Arial"/>
                <w:sz w:val="16"/>
                <w:szCs w:val="16"/>
              </w:rPr>
            </w:pPr>
            <w:r w:rsidRPr="00AA1D2A">
              <w:rPr>
                <w:rFonts w:cs="Arial"/>
                <w:sz w:val="16"/>
                <w:szCs w:val="16"/>
              </w:rPr>
              <w:t>12.000</w:t>
            </w:r>
          </w:p>
        </w:tc>
      </w:tr>
      <w:tr w:rsidR="00B20925" w:rsidRPr="00AA1D2A" w:rsidTr="00250DD1">
        <w:trPr>
          <w:trHeight w:val="225"/>
        </w:trPr>
        <w:tc>
          <w:tcPr>
            <w:tcW w:w="3918"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c>
          <w:tcPr>
            <w:tcW w:w="541" w:type="pct"/>
            <w:tcBorders>
              <w:top w:val="nil"/>
              <w:left w:val="nil"/>
              <w:bottom w:val="nil"/>
              <w:right w:val="nil"/>
            </w:tcBorders>
            <w:shd w:val="clear" w:color="auto" w:fill="auto"/>
            <w:noWrap/>
            <w:vAlign w:val="bottom"/>
            <w:hideMark/>
          </w:tcPr>
          <w:p w:rsidR="00B20925" w:rsidRPr="00AA1D2A" w:rsidRDefault="00B20925" w:rsidP="00250DD1">
            <w:pPr>
              <w:rPr>
                <w:rFonts w:cs="Arial"/>
                <w:sz w:val="16"/>
                <w:szCs w:val="16"/>
              </w:rPr>
            </w:pPr>
          </w:p>
        </w:tc>
      </w:tr>
      <w:tr w:rsidR="00B20925" w:rsidRPr="00AA1D2A" w:rsidTr="00250DD1">
        <w:trPr>
          <w:trHeight w:val="225"/>
        </w:trPr>
        <w:tc>
          <w:tcPr>
            <w:tcW w:w="3918" w:type="pct"/>
            <w:tcBorders>
              <w:top w:val="single" w:sz="4" w:space="0" w:color="auto"/>
              <w:left w:val="nil"/>
              <w:bottom w:val="single" w:sz="4" w:space="0" w:color="auto"/>
              <w:right w:val="nil"/>
            </w:tcBorders>
            <w:shd w:val="clear" w:color="000000" w:fill="FFFFCC"/>
            <w:noWrap/>
            <w:vAlign w:val="center"/>
            <w:hideMark/>
          </w:tcPr>
          <w:p w:rsidR="00B20925" w:rsidRPr="00AA1D2A" w:rsidRDefault="00B20925" w:rsidP="00250DD1">
            <w:pPr>
              <w:rPr>
                <w:rFonts w:cs="Arial"/>
                <w:b/>
                <w:bCs/>
                <w:sz w:val="16"/>
                <w:szCs w:val="16"/>
              </w:rPr>
            </w:pPr>
            <w:r w:rsidRPr="00AA1D2A">
              <w:rPr>
                <w:rFonts w:cs="Arial"/>
                <w:b/>
                <w:bCs/>
                <w:sz w:val="16"/>
                <w:szCs w:val="16"/>
              </w:rPr>
              <w:t> </w:t>
            </w:r>
          </w:p>
        </w:tc>
        <w:tc>
          <w:tcPr>
            <w:tcW w:w="541" w:type="pct"/>
            <w:tcBorders>
              <w:top w:val="single" w:sz="4" w:space="0" w:color="auto"/>
              <w:left w:val="nil"/>
              <w:bottom w:val="single" w:sz="4" w:space="0" w:color="auto"/>
              <w:right w:val="nil"/>
            </w:tcBorders>
            <w:shd w:val="clear" w:color="000000" w:fill="FFFFCC"/>
            <w:vAlign w:val="center"/>
            <w:hideMark/>
          </w:tcPr>
          <w:p w:rsidR="00B20925" w:rsidRPr="00AA1D2A" w:rsidRDefault="00B20925" w:rsidP="00250DD1">
            <w:pPr>
              <w:rPr>
                <w:rFonts w:cs="Arial"/>
                <w:b/>
                <w:bCs/>
                <w:sz w:val="16"/>
                <w:szCs w:val="16"/>
              </w:rPr>
            </w:pPr>
            <w:r w:rsidRPr="00AA1D2A">
              <w:rPr>
                <w:rFonts w:cs="Arial"/>
                <w:b/>
                <w:bCs/>
                <w:sz w:val="16"/>
                <w:szCs w:val="16"/>
              </w:rPr>
              <w:t> </w:t>
            </w:r>
          </w:p>
        </w:tc>
        <w:tc>
          <w:tcPr>
            <w:tcW w:w="541" w:type="pct"/>
            <w:tcBorders>
              <w:top w:val="single" w:sz="4" w:space="0" w:color="auto"/>
              <w:left w:val="nil"/>
              <w:bottom w:val="single" w:sz="4" w:space="0" w:color="auto"/>
              <w:right w:val="nil"/>
            </w:tcBorders>
            <w:shd w:val="clear" w:color="000000" w:fill="FFFFCC"/>
            <w:vAlign w:val="center"/>
            <w:hideMark/>
          </w:tcPr>
          <w:p w:rsidR="00B20925" w:rsidRPr="00AA1D2A" w:rsidRDefault="00B20925" w:rsidP="00250DD1">
            <w:pPr>
              <w:rPr>
                <w:rFonts w:cs="Arial"/>
                <w:b/>
                <w:bCs/>
                <w:sz w:val="16"/>
                <w:szCs w:val="16"/>
              </w:rPr>
            </w:pPr>
            <w:r w:rsidRPr="00AA1D2A">
              <w:rPr>
                <w:rFonts w:cs="Arial"/>
                <w:b/>
                <w:bCs/>
                <w:sz w:val="16"/>
                <w:szCs w:val="16"/>
              </w:rPr>
              <w:t> </w:t>
            </w:r>
          </w:p>
        </w:tc>
      </w:tr>
    </w:tbl>
    <w:p w:rsidR="00B20925" w:rsidRPr="00BC1BB1" w:rsidRDefault="00B20925" w:rsidP="00B20925">
      <w:pPr>
        <w:rPr>
          <w:rFonts w:ascii="Verdana" w:hAnsi="Verdana" w:cs="Arial"/>
          <w:b/>
        </w:rPr>
      </w:pPr>
      <w:r w:rsidRPr="00BC1BB1">
        <w:rPr>
          <w:rFonts w:ascii="Verdana" w:hAnsi="Verdana" w:cs="Arial"/>
          <w:b/>
        </w:rPr>
        <w:tab/>
      </w:r>
    </w:p>
    <w:p w:rsidR="00B20925" w:rsidRDefault="00B20925" w:rsidP="00B20925">
      <w:pPr>
        <w:tabs>
          <w:tab w:val="left" w:pos="851"/>
        </w:tabs>
        <w:ind w:left="284" w:hanging="284"/>
        <w:rPr>
          <w:rFonts w:ascii="Verdana" w:hAnsi="Verdana" w:cs="Arial"/>
          <w:b/>
        </w:rPr>
      </w:pPr>
    </w:p>
    <w:p w:rsidR="00B20925" w:rsidRDefault="00B20925" w:rsidP="00B20925">
      <w:pPr>
        <w:tabs>
          <w:tab w:val="left" w:pos="851"/>
        </w:tabs>
        <w:ind w:left="284" w:hanging="284"/>
        <w:rPr>
          <w:rFonts w:ascii="Verdana" w:hAnsi="Verdana" w:cs="Arial"/>
          <w:b/>
        </w:rPr>
      </w:pPr>
    </w:p>
    <w:p w:rsidR="00B20925" w:rsidRPr="00E46B86" w:rsidRDefault="00B20925" w:rsidP="00B20925">
      <w:pPr>
        <w:tabs>
          <w:tab w:val="left" w:pos="851"/>
        </w:tabs>
        <w:ind w:left="284" w:hanging="284"/>
        <w:rPr>
          <w:rFonts w:ascii="Verdana" w:hAnsi="Verdana" w:cs="Arial"/>
          <w:b/>
        </w:rPr>
      </w:pPr>
      <w:r w:rsidRPr="00E46B86">
        <w:rPr>
          <w:rFonts w:ascii="Verdana" w:hAnsi="Verdana" w:cs="Arial"/>
          <w:b/>
        </w:rPr>
        <w:t>Toelichting op de belangrijkste ontvangstenmutaties</w:t>
      </w:r>
    </w:p>
    <w:p w:rsidR="00B20925" w:rsidRPr="00B81A0B" w:rsidRDefault="00B20925" w:rsidP="00B20925">
      <w:pPr>
        <w:ind w:left="284" w:hanging="284"/>
        <w:rPr>
          <w:rFonts w:ascii="Verdana" w:hAnsi="Verdana" w:cs="Arial"/>
        </w:rPr>
      </w:pPr>
    </w:p>
    <w:p w:rsidR="00B20925" w:rsidRPr="00995C08" w:rsidRDefault="00B20925" w:rsidP="00B20925">
      <w:pPr>
        <w:ind w:left="284" w:hanging="284"/>
        <w:rPr>
          <w:rFonts w:ascii="Verdana" w:hAnsi="Verdana" w:cs="Arial"/>
          <w:i/>
          <w:sz w:val="18"/>
          <w:szCs w:val="18"/>
        </w:rPr>
      </w:pPr>
      <w:r w:rsidRPr="00995C08">
        <w:rPr>
          <w:rFonts w:ascii="Verdana" w:hAnsi="Verdana" w:cs="Arial"/>
          <w:i/>
          <w:sz w:val="18"/>
          <w:szCs w:val="18"/>
        </w:rPr>
        <w:t>1. Vertraging verhoging griffierechten</w:t>
      </w:r>
    </w:p>
    <w:p w:rsidR="00B20925" w:rsidRPr="00995C08" w:rsidRDefault="00B20925" w:rsidP="00B20925">
      <w:pPr>
        <w:ind w:hanging="1"/>
        <w:rPr>
          <w:rFonts w:ascii="Verdana" w:hAnsi="Verdana" w:cs="Arial"/>
          <w:sz w:val="18"/>
          <w:szCs w:val="18"/>
        </w:rPr>
      </w:pPr>
      <w:r w:rsidRPr="00995C08">
        <w:rPr>
          <w:rFonts w:ascii="Verdana" w:hAnsi="Verdana" w:cs="Arial"/>
          <w:sz w:val="18"/>
          <w:szCs w:val="18"/>
        </w:rPr>
        <w:t xml:space="preserve">Als </w:t>
      </w:r>
      <w:r w:rsidRPr="00995C08">
        <w:rPr>
          <w:rFonts w:ascii="Verdana" w:eastAsia="Calibri" w:hAnsi="Verdana" w:cs="Calibri"/>
          <w:sz w:val="18"/>
          <w:szCs w:val="18"/>
          <w:lang w:eastAsia="en-US"/>
        </w:rPr>
        <w:t>gevolg van een vertraging</w:t>
      </w:r>
      <w:r>
        <w:rPr>
          <w:rFonts w:ascii="Verdana" w:eastAsia="Calibri" w:hAnsi="Verdana" w:cs="Calibri"/>
          <w:sz w:val="18"/>
          <w:szCs w:val="18"/>
          <w:lang w:eastAsia="en-US"/>
        </w:rPr>
        <w:t xml:space="preserve"> van de</w:t>
      </w:r>
      <w:r w:rsidRPr="00995C08">
        <w:rPr>
          <w:rFonts w:ascii="Verdana" w:eastAsia="Calibri" w:hAnsi="Verdana" w:cs="Calibri"/>
          <w:sz w:val="18"/>
          <w:szCs w:val="18"/>
          <w:lang w:eastAsia="en-US"/>
        </w:rPr>
        <w:t xml:space="preserve"> invoering</w:t>
      </w:r>
      <w:r>
        <w:rPr>
          <w:rFonts w:ascii="Verdana" w:eastAsia="Calibri" w:hAnsi="Verdana" w:cs="Calibri"/>
          <w:sz w:val="18"/>
          <w:szCs w:val="18"/>
          <w:lang w:eastAsia="en-US"/>
        </w:rPr>
        <w:t xml:space="preserve"> van het</w:t>
      </w:r>
      <w:r w:rsidRPr="00995C08">
        <w:rPr>
          <w:rFonts w:ascii="Verdana" w:eastAsia="Calibri" w:hAnsi="Verdana" w:cs="Calibri"/>
          <w:sz w:val="18"/>
          <w:szCs w:val="18"/>
          <w:lang w:eastAsia="en-US"/>
        </w:rPr>
        <w:t xml:space="preserve"> wetsvoorstel aanpassing griffierechten wordt een tegenvaller van € 19 mln. in 2014 verwacht. Het besparingsverlies wordt binnen de begroting van </w:t>
      </w:r>
      <w:proofErr w:type="spellStart"/>
      <w:r w:rsidRPr="00995C08">
        <w:rPr>
          <w:rFonts w:ascii="Verdana" w:eastAsia="Calibri" w:hAnsi="Verdana" w:cs="Calibri"/>
          <w:sz w:val="18"/>
          <w:szCs w:val="18"/>
          <w:lang w:eastAsia="en-US"/>
        </w:rPr>
        <w:t>VenJ</w:t>
      </w:r>
      <w:proofErr w:type="spellEnd"/>
      <w:r w:rsidRPr="00995C08">
        <w:rPr>
          <w:rFonts w:ascii="Verdana" w:eastAsia="Calibri" w:hAnsi="Verdana" w:cs="Calibri"/>
          <w:sz w:val="18"/>
          <w:szCs w:val="18"/>
          <w:lang w:eastAsia="en-US"/>
        </w:rPr>
        <w:t xml:space="preserve"> van dekking voorzien.</w:t>
      </w:r>
      <w:r w:rsidRPr="00995C08">
        <w:rPr>
          <w:rFonts w:ascii="Verdana" w:hAnsi="Verdana" w:cs="Arial"/>
          <w:sz w:val="18"/>
          <w:szCs w:val="18"/>
        </w:rPr>
        <w:t xml:space="preserve"> </w:t>
      </w:r>
    </w:p>
    <w:p w:rsidR="00B20925" w:rsidRPr="00995C08" w:rsidRDefault="00B20925" w:rsidP="00B20925">
      <w:pPr>
        <w:tabs>
          <w:tab w:val="left" w:pos="709"/>
        </w:tabs>
        <w:ind w:left="284" w:hanging="284"/>
        <w:rPr>
          <w:rFonts w:ascii="Verdana" w:hAnsi="Verdana" w:cs="Arial"/>
          <w:sz w:val="18"/>
          <w:szCs w:val="18"/>
        </w:rPr>
      </w:pPr>
    </w:p>
    <w:p w:rsidR="00B20925" w:rsidRPr="00995C08" w:rsidRDefault="00B20925" w:rsidP="00B20925">
      <w:pPr>
        <w:ind w:left="284" w:hanging="284"/>
        <w:rPr>
          <w:rFonts w:ascii="Verdana" w:hAnsi="Verdana" w:cs="Arial"/>
          <w:i/>
          <w:sz w:val="18"/>
          <w:szCs w:val="18"/>
        </w:rPr>
      </w:pPr>
      <w:r w:rsidRPr="00995C08">
        <w:rPr>
          <w:rFonts w:ascii="Verdana" w:hAnsi="Verdana" w:cs="Arial"/>
          <w:i/>
          <w:sz w:val="18"/>
          <w:szCs w:val="18"/>
        </w:rPr>
        <w:t>2. Boeten en transacties</w:t>
      </w:r>
    </w:p>
    <w:p w:rsidR="00B20925" w:rsidRPr="00995C08" w:rsidRDefault="00B20925" w:rsidP="00B20925">
      <w:pPr>
        <w:rPr>
          <w:rFonts w:ascii="Verdana" w:hAnsi="Verdana"/>
          <w:iCs/>
          <w:sz w:val="18"/>
          <w:szCs w:val="18"/>
        </w:rPr>
      </w:pPr>
      <w:r w:rsidRPr="00995C08">
        <w:rPr>
          <w:rFonts w:ascii="Verdana" w:hAnsi="Verdana"/>
          <w:iCs/>
          <w:sz w:val="18"/>
          <w:szCs w:val="18"/>
        </w:rPr>
        <w:t>De dreigende tekorten bij de ontvangsten uit Boete</w:t>
      </w:r>
      <w:r>
        <w:rPr>
          <w:rFonts w:ascii="Verdana" w:hAnsi="Verdana"/>
          <w:iCs/>
          <w:sz w:val="18"/>
          <w:szCs w:val="18"/>
        </w:rPr>
        <w:t>n</w:t>
      </w:r>
      <w:r w:rsidRPr="00995C08">
        <w:rPr>
          <w:rFonts w:ascii="Verdana" w:hAnsi="Verdana"/>
          <w:iCs/>
          <w:sz w:val="18"/>
          <w:szCs w:val="18"/>
        </w:rPr>
        <w:t xml:space="preserve"> en Transacties worden in 2014 gedekt d</w:t>
      </w:r>
      <w:r>
        <w:rPr>
          <w:rFonts w:ascii="Verdana" w:hAnsi="Verdana"/>
          <w:iCs/>
          <w:sz w:val="18"/>
          <w:szCs w:val="18"/>
        </w:rPr>
        <w:t xml:space="preserve">oor </w:t>
      </w:r>
      <w:r w:rsidRPr="00995C08">
        <w:rPr>
          <w:rFonts w:ascii="Verdana" w:hAnsi="Verdana"/>
          <w:iCs/>
          <w:sz w:val="18"/>
          <w:szCs w:val="18"/>
        </w:rPr>
        <w:t>m</w:t>
      </w:r>
      <w:r>
        <w:rPr>
          <w:rFonts w:ascii="Verdana" w:hAnsi="Verdana"/>
          <w:iCs/>
          <w:sz w:val="18"/>
          <w:szCs w:val="18"/>
        </w:rPr>
        <w:t xml:space="preserve">iddel </w:t>
      </w:r>
      <w:r w:rsidRPr="00995C08">
        <w:rPr>
          <w:rFonts w:ascii="Verdana" w:hAnsi="Verdana"/>
          <w:iCs/>
          <w:sz w:val="18"/>
          <w:szCs w:val="18"/>
        </w:rPr>
        <w:t>v</w:t>
      </w:r>
      <w:r>
        <w:rPr>
          <w:rFonts w:ascii="Verdana" w:hAnsi="Verdana"/>
          <w:iCs/>
          <w:sz w:val="18"/>
          <w:szCs w:val="18"/>
        </w:rPr>
        <w:t>an</w:t>
      </w:r>
      <w:r w:rsidRPr="00995C08">
        <w:rPr>
          <w:rFonts w:ascii="Verdana" w:hAnsi="Verdana"/>
          <w:iCs/>
          <w:sz w:val="18"/>
          <w:szCs w:val="18"/>
        </w:rPr>
        <w:t xml:space="preserve"> een </w:t>
      </w:r>
      <w:r>
        <w:rPr>
          <w:rFonts w:ascii="Verdana" w:hAnsi="Verdana"/>
          <w:iCs/>
          <w:sz w:val="18"/>
          <w:szCs w:val="18"/>
        </w:rPr>
        <w:t xml:space="preserve">generale </w:t>
      </w:r>
      <w:r w:rsidRPr="00995C08">
        <w:rPr>
          <w:rFonts w:ascii="Verdana" w:hAnsi="Verdana"/>
          <w:iCs/>
          <w:sz w:val="18"/>
          <w:szCs w:val="18"/>
        </w:rPr>
        <w:t xml:space="preserve">kasschuif </w:t>
      </w:r>
      <w:r>
        <w:rPr>
          <w:rFonts w:ascii="Verdana" w:hAnsi="Verdana"/>
          <w:iCs/>
          <w:sz w:val="18"/>
          <w:szCs w:val="18"/>
        </w:rPr>
        <w:t>over de jaren 2018 en 2019</w:t>
      </w:r>
      <w:r w:rsidRPr="00995C08">
        <w:rPr>
          <w:rFonts w:ascii="Verdana" w:hAnsi="Verdana"/>
          <w:iCs/>
          <w:sz w:val="18"/>
          <w:szCs w:val="18"/>
        </w:rPr>
        <w:t xml:space="preserve">. </w:t>
      </w:r>
      <w:r w:rsidRPr="00995C08">
        <w:rPr>
          <w:rFonts w:ascii="Verdana" w:hAnsi="Verdana"/>
          <w:iCs/>
          <w:sz w:val="18"/>
          <w:szCs w:val="18"/>
        </w:rPr>
        <w:br/>
      </w:r>
    </w:p>
    <w:p w:rsidR="00B20925" w:rsidRPr="00995C08" w:rsidRDefault="00B20925" w:rsidP="00B20925">
      <w:pPr>
        <w:rPr>
          <w:rFonts w:ascii="Verdana" w:hAnsi="Verdana" w:cs="Arial"/>
          <w:i/>
          <w:sz w:val="18"/>
          <w:szCs w:val="18"/>
        </w:rPr>
      </w:pPr>
      <w:r w:rsidRPr="00995C08">
        <w:rPr>
          <w:rFonts w:ascii="Verdana" w:hAnsi="Verdana"/>
          <w:iCs/>
          <w:sz w:val="18"/>
          <w:szCs w:val="18"/>
        </w:rPr>
        <w:t>3.</w:t>
      </w:r>
      <w:r w:rsidRPr="00995C08">
        <w:rPr>
          <w:rFonts w:ascii="Verdana" w:hAnsi="Verdana" w:cs="Arial"/>
          <w:i/>
          <w:sz w:val="18"/>
          <w:szCs w:val="18"/>
        </w:rPr>
        <w:t xml:space="preserve"> Administratiekostenvergoedingen Centraal Justitieel Incassobureau</w:t>
      </w:r>
    </w:p>
    <w:p w:rsidR="00B20925" w:rsidRPr="00995C08" w:rsidRDefault="00B20925" w:rsidP="00B20925">
      <w:pPr>
        <w:rPr>
          <w:rFonts w:ascii="Times New Roman" w:hAnsi="Times New Roman"/>
          <w:b/>
          <w:sz w:val="18"/>
          <w:szCs w:val="18"/>
          <w:u w:val="single"/>
        </w:rPr>
      </w:pPr>
      <w:r>
        <w:rPr>
          <w:rFonts w:ascii="Verdana" w:hAnsi="Verdana"/>
          <w:sz w:val="18"/>
          <w:szCs w:val="18"/>
        </w:rPr>
        <w:t xml:space="preserve">Bij het jaarverslag 2013 is de administratiekostenvergoeding geboekt via de </w:t>
      </w:r>
      <w:proofErr w:type="spellStart"/>
      <w:r>
        <w:rPr>
          <w:rFonts w:ascii="Verdana" w:hAnsi="Verdana"/>
          <w:sz w:val="18"/>
          <w:szCs w:val="18"/>
        </w:rPr>
        <w:t>VenJ</w:t>
      </w:r>
      <w:proofErr w:type="spellEnd"/>
      <w:r>
        <w:rPr>
          <w:rFonts w:ascii="Verdana" w:hAnsi="Verdana"/>
          <w:sz w:val="18"/>
          <w:szCs w:val="18"/>
        </w:rPr>
        <w:t xml:space="preserve">-begroting. Deze wijze van budgettaire verwerking wordt nu ook gehanteerd voor 2014 en verder. </w:t>
      </w:r>
      <w:r w:rsidRPr="00995C08">
        <w:rPr>
          <w:rFonts w:ascii="Verdana" w:hAnsi="Verdana"/>
          <w:sz w:val="18"/>
          <w:szCs w:val="18"/>
        </w:rPr>
        <w:t xml:space="preserve">Het uitgaven, verplichtingen en ontvangstenkader zijn </w:t>
      </w:r>
      <w:r>
        <w:rPr>
          <w:rFonts w:ascii="Verdana" w:hAnsi="Verdana"/>
          <w:sz w:val="18"/>
          <w:szCs w:val="18"/>
        </w:rPr>
        <w:t xml:space="preserve">hiervoor </w:t>
      </w:r>
      <w:r w:rsidRPr="00995C08">
        <w:rPr>
          <w:rFonts w:ascii="Verdana" w:hAnsi="Verdana"/>
          <w:sz w:val="18"/>
          <w:szCs w:val="18"/>
        </w:rPr>
        <w:t xml:space="preserve">meerjarig verhoogd met € 70,2 mln. Het betreft de ontvangen vergoeding voor administratiekosten bij boeten en transacties. Deze ontvangsten zijn </w:t>
      </w:r>
      <w:r>
        <w:rPr>
          <w:rFonts w:ascii="Verdana" w:hAnsi="Verdana"/>
          <w:sz w:val="18"/>
          <w:szCs w:val="18"/>
        </w:rPr>
        <w:t xml:space="preserve">door het departement </w:t>
      </w:r>
      <w:r w:rsidRPr="00995C08">
        <w:rPr>
          <w:rFonts w:ascii="Verdana" w:hAnsi="Verdana"/>
          <w:sz w:val="18"/>
          <w:szCs w:val="18"/>
        </w:rPr>
        <w:t xml:space="preserve">beschikbaar gesteld aan het Centraal Justitieel Incassobureau ter dekking van de gemaakte kosten bij WAHV-zaken, </w:t>
      </w:r>
      <w:proofErr w:type="spellStart"/>
      <w:r w:rsidRPr="00995C08">
        <w:rPr>
          <w:rFonts w:ascii="Verdana" w:hAnsi="Verdana"/>
          <w:sz w:val="18"/>
          <w:szCs w:val="18"/>
        </w:rPr>
        <w:t>boetevonissen</w:t>
      </w:r>
      <w:proofErr w:type="spellEnd"/>
      <w:r w:rsidRPr="00995C08">
        <w:rPr>
          <w:rFonts w:ascii="Verdana" w:hAnsi="Verdana"/>
          <w:sz w:val="18"/>
          <w:szCs w:val="18"/>
        </w:rPr>
        <w:t xml:space="preserve"> en OM-afdoeningen.</w:t>
      </w:r>
    </w:p>
    <w:p w:rsidR="00B20925" w:rsidRPr="00995C08" w:rsidRDefault="00B20925" w:rsidP="00B20925">
      <w:pPr>
        <w:rPr>
          <w:rFonts w:ascii="Verdana" w:hAnsi="Verdana"/>
          <w:iCs/>
          <w:sz w:val="18"/>
          <w:szCs w:val="18"/>
        </w:rPr>
      </w:pPr>
    </w:p>
    <w:p w:rsidR="00B20925" w:rsidRPr="00995C08" w:rsidRDefault="00B20925" w:rsidP="00B20925">
      <w:pPr>
        <w:tabs>
          <w:tab w:val="left" w:pos="851"/>
        </w:tabs>
        <w:rPr>
          <w:rFonts w:ascii="Verdana" w:hAnsi="Verdana" w:cs="Arial"/>
          <w:i/>
          <w:sz w:val="18"/>
          <w:szCs w:val="18"/>
        </w:rPr>
      </w:pPr>
      <w:r w:rsidRPr="00995C08">
        <w:rPr>
          <w:rFonts w:ascii="Verdana" w:hAnsi="Verdana" w:cs="Arial"/>
          <w:i/>
          <w:sz w:val="18"/>
          <w:szCs w:val="18"/>
        </w:rPr>
        <w:t>4. Terugdraaien inzet asielreserve</w:t>
      </w:r>
    </w:p>
    <w:p w:rsidR="00B20925" w:rsidRDefault="00B20925" w:rsidP="00B20925">
      <w:pPr>
        <w:tabs>
          <w:tab w:val="left" w:pos="851"/>
        </w:tabs>
        <w:rPr>
          <w:rFonts w:ascii="Verdana" w:hAnsi="Verdana" w:cs="Arial"/>
          <w:sz w:val="18"/>
          <w:szCs w:val="18"/>
        </w:rPr>
      </w:pPr>
      <w:r w:rsidRPr="00995C08">
        <w:rPr>
          <w:rFonts w:ascii="Verdana" w:hAnsi="Verdana" w:cs="Arial"/>
          <w:sz w:val="18"/>
          <w:szCs w:val="18"/>
        </w:rPr>
        <w:t>Bij voorjaarsnota is het budgettaire kader (uitgaven e</w:t>
      </w:r>
      <w:r>
        <w:rPr>
          <w:rFonts w:ascii="Verdana" w:hAnsi="Verdana" w:cs="Arial"/>
          <w:sz w:val="18"/>
          <w:szCs w:val="18"/>
        </w:rPr>
        <w:t>n</w:t>
      </w:r>
      <w:r w:rsidRPr="00995C08">
        <w:rPr>
          <w:rFonts w:ascii="Verdana" w:hAnsi="Verdana" w:cs="Arial"/>
          <w:sz w:val="18"/>
          <w:szCs w:val="18"/>
        </w:rPr>
        <w:t xml:space="preserve"> ontvangsten) verhoogd met € 10,8 mln. vanuit de asielreserve en ingezet om de extra kosten bij de IND te dekken die zijn veroorzaakt door stijging van de asielinstroom. Bij de augustusbrief besluitvorming</w:t>
      </w:r>
      <w:r>
        <w:rPr>
          <w:rFonts w:ascii="Verdana" w:hAnsi="Verdana" w:cs="Arial"/>
          <w:sz w:val="18"/>
          <w:szCs w:val="18"/>
        </w:rPr>
        <w:t xml:space="preserve"> </w:t>
      </w:r>
      <w:r w:rsidRPr="00995C08">
        <w:rPr>
          <w:rFonts w:ascii="Verdana" w:hAnsi="Verdana" w:cs="Arial"/>
          <w:sz w:val="18"/>
          <w:szCs w:val="18"/>
        </w:rPr>
        <w:t xml:space="preserve">is </w:t>
      </w:r>
    </w:p>
    <w:p w:rsidR="00B20925" w:rsidRPr="00995C08" w:rsidRDefault="00B20925" w:rsidP="00B20925">
      <w:pPr>
        <w:tabs>
          <w:tab w:val="left" w:pos="851"/>
        </w:tabs>
        <w:rPr>
          <w:rFonts w:ascii="Verdana" w:hAnsi="Verdana" w:cs="Arial"/>
          <w:sz w:val="18"/>
          <w:szCs w:val="18"/>
        </w:rPr>
      </w:pPr>
      <w:r w:rsidRPr="00995C08">
        <w:rPr>
          <w:rFonts w:ascii="Verdana" w:hAnsi="Verdana" w:cs="Arial"/>
          <w:sz w:val="18"/>
          <w:szCs w:val="18"/>
        </w:rPr>
        <w:t xml:space="preserve">€ 375 mln. door het kabinet beschikbaar gesteld om deze kosten op te vangen. De inzet vanuit de asielreserve is hierdoor niet meer noodzakelijk. </w:t>
      </w:r>
    </w:p>
    <w:p w:rsidR="00B20925" w:rsidRPr="00995C08" w:rsidRDefault="00B20925" w:rsidP="00B20925">
      <w:pPr>
        <w:rPr>
          <w:rFonts w:ascii="Verdana" w:hAnsi="Verdana"/>
          <w:iCs/>
          <w:sz w:val="18"/>
          <w:szCs w:val="18"/>
        </w:rPr>
      </w:pPr>
    </w:p>
    <w:p w:rsidR="00B20925" w:rsidRPr="00995C08" w:rsidRDefault="00B20925" w:rsidP="00B20925">
      <w:pPr>
        <w:tabs>
          <w:tab w:val="left" w:pos="851"/>
        </w:tabs>
        <w:rPr>
          <w:rFonts w:ascii="Verdana" w:hAnsi="Verdana" w:cs="Arial"/>
          <w:i/>
          <w:sz w:val="18"/>
          <w:szCs w:val="18"/>
        </w:rPr>
      </w:pPr>
      <w:r w:rsidRPr="00995C08">
        <w:rPr>
          <w:rFonts w:ascii="Verdana" w:hAnsi="Verdana" w:cs="Arial"/>
          <w:i/>
          <w:sz w:val="18"/>
          <w:szCs w:val="18"/>
        </w:rPr>
        <w:t xml:space="preserve">5. Desaldering </w:t>
      </w:r>
      <w:proofErr w:type="spellStart"/>
      <w:r w:rsidRPr="00995C08">
        <w:rPr>
          <w:rFonts w:ascii="Verdana" w:hAnsi="Verdana" w:cs="Arial"/>
          <w:i/>
          <w:sz w:val="18"/>
          <w:szCs w:val="18"/>
        </w:rPr>
        <w:t>JustID</w:t>
      </w:r>
      <w:proofErr w:type="spellEnd"/>
      <w:r w:rsidRPr="00995C08">
        <w:rPr>
          <w:rFonts w:ascii="Verdana" w:hAnsi="Verdana" w:cs="Arial"/>
          <w:i/>
          <w:sz w:val="18"/>
          <w:szCs w:val="18"/>
        </w:rPr>
        <w:t xml:space="preserve"> (Justitiële Informatiedienst)</w:t>
      </w:r>
    </w:p>
    <w:p w:rsidR="00B20925" w:rsidRPr="00995C08" w:rsidRDefault="00B20925" w:rsidP="00B20925">
      <w:pPr>
        <w:tabs>
          <w:tab w:val="left" w:pos="851"/>
        </w:tabs>
        <w:rPr>
          <w:rFonts w:ascii="Verdana" w:hAnsi="Verdana"/>
          <w:sz w:val="18"/>
          <w:szCs w:val="18"/>
        </w:rPr>
      </w:pPr>
      <w:proofErr w:type="spellStart"/>
      <w:r w:rsidRPr="00995C08">
        <w:rPr>
          <w:rFonts w:ascii="Verdana" w:hAnsi="Verdana"/>
          <w:sz w:val="18"/>
          <w:szCs w:val="18"/>
        </w:rPr>
        <w:t>JustID</w:t>
      </w:r>
      <w:proofErr w:type="spellEnd"/>
      <w:r w:rsidRPr="00995C08">
        <w:rPr>
          <w:rFonts w:ascii="Verdana" w:hAnsi="Verdana"/>
          <w:sz w:val="18"/>
          <w:szCs w:val="18"/>
        </w:rPr>
        <w:t xml:space="preserve"> voert naast een aantal reguliere taken ook opdrachten uit voor derden, zoals het beheer van systemen. De vergoedingen voor deze opdrachten worden door middel van een desaldering toegevoegd aan het budgettaire kader. Hierbij wordt het uitgaven, verplichtingen en ontvangstenkader verhoogd.</w:t>
      </w:r>
    </w:p>
    <w:p w:rsidR="00B20925" w:rsidRPr="00B81A0B" w:rsidRDefault="00B20925" w:rsidP="00B20925">
      <w:pPr>
        <w:rPr>
          <w:rFonts w:ascii="Verdana" w:hAnsi="Verdana"/>
          <w:sz w:val="22"/>
          <w:szCs w:val="24"/>
        </w:rPr>
      </w:pPr>
      <w:r w:rsidRPr="00995C08">
        <w:rPr>
          <w:rFonts w:ascii="Verdana" w:hAnsi="Verdana"/>
          <w:iCs/>
          <w:sz w:val="18"/>
          <w:szCs w:val="18"/>
        </w:rPr>
        <w:br w:type="page"/>
      </w:r>
    </w:p>
    <w:p w:rsidR="00B20925" w:rsidRPr="00BC1BB1" w:rsidRDefault="00B20925" w:rsidP="00B20925">
      <w:pPr>
        <w:pStyle w:val="Kop1"/>
        <w:rPr>
          <w:rFonts w:ascii="Verdana" w:hAnsi="Verdana"/>
          <w:sz w:val="20"/>
          <w:lang w:val="nl-NL"/>
        </w:rPr>
      </w:pPr>
      <w:r w:rsidRPr="00BC1BB1">
        <w:rPr>
          <w:rFonts w:ascii="Verdana" w:hAnsi="Verdana"/>
          <w:sz w:val="20"/>
          <w:lang w:val="nl-NL"/>
        </w:rPr>
        <w:lastRenderedPageBreak/>
        <w:t>2.2 de beleidsartikelen</w:t>
      </w:r>
    </w:p>
    <w:p w:rsidR="00B20925" w:rsidRPr="00BC1BB1" w:rsidRDefault="00B20925" w:rsidP="00B20925"/>
    <w:p w:rsidR="00B20925" w:rsidRPr="00BC1BB1" w:rsidRDefault="00B20925" w:rsidP="00B20925">
      <w:pPr>
        <w:pStyle w:val="Kop1"/>
        <w:rPr>
          <w:rFonts w:ascii="Verdana" w:hAnsi="Verdana"/>
          <w:sz w:val="20"/>
        </w:rPr>
      </w:pPr>
      <w:r w:rsidRPr="00BC1BB1">
        <w:rPr>
          <w:rFonts w:ascii="Verdana" w:hAnsi="Verdana"/>
          <w:sz w:val="20"/>
        </w:rPr>
        <w:t>31 NATIONALE POLITIE</w:t>
      </w:r>
    </w:p>
    <w:p w:rsidR="00B20925" w:rsidRDefault="00B20925" w:rsidP="00B20925">
      <w:pPr>
        <w:rPr>
          <w:rFonts w:ascii="Verdana" w:hAnsi="Verdana"/>
          <w:lang w:val="nl"/>
        </w:rPr>
      </w:pPr>
    </w:p>
    <w:tbl>
      <w:tblPr>
        <w:tblW w:w="5000" w:type="pct"/>
        <w:tblCellMar>
          <w:left w:w="70" w:type="dxa"/>
          <w:right w:w="70" w:type="dxa"/>
        </w:tblCellMar>
        <w:tblLook w:val="04A0" w:firstRow="1" w:lastRow="0" w:firstColumn="1" w:lastColumn="0" w:noHBand="0" w:noVBand="1"/>
      </w:tblPr>
      <w:tblGrid>
        <w:gridCol w:w="177"/>
        <w:gridCol w:w="4240"/>
        <w:gridCol w:w="1080"/>
        <w:gridCol w:w="987"/>
        <w:gridCol w:w="987"/>
        <w:gridCol w:w="985"/>
      </w:tblGrid>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Budgettaire gevolgen van beleid</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x € 1.000</w:t>
            </w:r>
          </w:p>
        </w:tc>
      </w:tr>
      <w:tr w:rsidR="00B20925" w:rsidRPr="0068530D" w:rsidTr="00250DD1">
        <w:trPr>
          <w:trHeight w:val="675"/>
        </w:trPr>
        <w:tc>
          <w:tcPr>
            <w:tcW w:w="101" w:type="pct"/>
            <w:tcBorders>
              <w:top w:val="single" w:sz="4" w:space="0" w:color="auto"/>
              <w:left w:val="nil"/>
              <w:bottom w:val="single" w:sz="4" w:space="0" w:color="auto"/>
              <w:right w:val="nil"/>
            </w:tcBorders>
            <w:shd w:val="clear" w:color="000000" w:fill="FFFFCC"/>
            <w:noWrap/>
            <w:hideMark/>
          </w:tcPr>
          <w:p w:rsidR="00B20925" w:rsidRPr="0068530D" w:rsidRDefault="00B20925" w:rsidP="00250DD1">
            <w:pPr>
              <w:rPr>
                <w:rFonts w:cs="Arial"/>
                <w:b/>
                <w:bCs/>
                <w:sz w:val="16"/>
                <w:szCs w:val="16"/>
              </w:rPr>
            </w:pPr>
            <w:r w:rsidRPr="0068530D">
              <w:rPr>
                <w:rFonts w:cs="Arial"/>
                <w:b/>
                <w:bCs/>
                <w:sz w:val="16"/>
                <w:szCs w:val="16"/>
              </w:rPr>
              <w:t> </w:t>
            </w:r>
          </w:p>
        </w:tc>
        <w:tc>
          <w:tcPr>
            <w:tcW w:w="2507" w:type="pct"/>
            <w:tcBorders>
              <w:top w:val="single" w:sz="4" w:space="0" w:color="auto"/>
              <w:left w:val="nil"/>
              <w:bottom w:val="single" w:sz="4" w:space="0" w:color="auto"/>
              <w:right w:val="nil"/>
            </w:tcBorders>
            <w:shd w:val="clear" w:color="000000" w:fill="FFFFCC"/>
            <w:hideMark/>
          </w:tcPr>
          <w:p w:rsidR="00B20925" w:rsidRPr="0068530D" w:rsidRDefault="00B20925" w:rsidP="00250DD1">
            <w:pPr>
              <w:jc w:val="right"/>
              <w:rPr>
                <w:rFonts w:cs="Arial"/>
                <w:sz w:val="16"/>
                <w:szCs w:val="16"/>
              </w:rPr>
            </w:pPr>
            <w:r w:rsidRPr="0068530D">
              <w:rPr>
                <w:rFonts w:cs="Arial"/>
                <w:sz w:val="16"/>
                <w:szCs w:val="16"/>
              </w:rPr>
              <w:t> </w:t>
            </w:r>
          </w:p>
        </w:tc>
        <w:tc>
          <w:tcPr>
            <w:tcW w:w="640" w:type="pct"/>
            <w:tcBorders>
              <w:top w:val="single" w:sz="4" w:space="0" w:color="auto"/>
              <w:left w:val="nil"/>
              <w:bottom w:val="single" w:sz="4" w:space="0" w:color="auto"/>
              <w:right w:val="nil"/>
            </w:tcBorders>
            <w:shd w:val="clear" w:color="000000" w:fill="FFFFCC"/>
            <w:hideMark/>
          </w:tcPr>
          <w:p w:rsidR="00B20925" w:rsidRPr="0068530D" w:rsidRDefault="00B20925" w:rsidP="00250DD1">
            <w:pPr>
              <w:jc w:val="right"/>
              <w:rPr>
                <w:rFonts w:cs="Arial"/>
                <w:sz w:val="16"/>
                <w:szCs w:val="16"/>
              </w:rPr>
            </w:pPr>
            <w:r w:rsidRPr="0068530D">
              <w:rPr>
                <w:rFonts w:cs="Arial"/>
                <w:sz w:val="16"/>
                <w:szCs w:val="16"/>
              </w:rPr>
              <w:t xml:space="preserve">Stand vastgestelde begroting </w:t>
            </w:r>
          </w:p>
        </w:tc>
        <w:tc>
          <w:tcPr>
            <w:tcW w:w="584" w:type="pct"/>
            <w:tcBorders>
              <w:top w:val="single" w:sz="4" w:space="0" w:color="auto"/>
              <w:left w:val="nil"/>
              <w:bottom w:val="single" w:sz="4" w:space="0" w:color="auto"/>
              <w:right w:val="nil"/>
            </w:tcBorders>
            <w:shd w:val="clear" w:color="000000" w:fill="FFFFCC"/>
            <w:hideMark/>
          </w:tcPr>
          <w:p w:rsidR="00B20925" w:rsidRPr="0068530D" w:rsidRDefault="00B20925" w:rsidP="00250DD1">
            <w:pPr>
              <w:jc w:val="right"/>
              <w:rPr>
                <w:rFonts w:cs="Arial"/>
                <w:sz w:val="16"/>
                <w:szCs w:val="16"/>
              </w:rPr>
            </w:pPr>
            <w:r w:rsidRPr="0068530D">
              <w:rPr>
                <w:rFonts w:cs="Arial"/>
                <w:sz w:val="16"/>
                <w:szCs w:val="16"/>
              </w:rPr>
              <w:t>Stand 1e suppletoire begroting</w:t>
            </w:r>
          </w:p>
        </w:tc>
        <w:tc>
          <w:tcPr>
            <w:tcW w:w="584" w:type="pct"/>
            <w:tcBorders>
              <w:top w:val="single" w:sz="4" w:space="0" w:color="auto"/>
              <w:left w:val="nil"/>
              <w:bottom w:val="single" w:sz="4" w:space="0" w:color="auto"/>
              <w:right w:val="nil"/>
            </w:tcBorders>
            <w:shd w:val="clear" w:color="000000" w:fill="FFFFCC"/>
            <w:hideMark/>
          </w:tcPr>
          <w:p w:rsidR="00B20925" w:rsidRPr="0068530D" w:rsidRDefault="00B20925" w:rsidP="00250DD1">
            <w:pPr>
              <w:jc w:val="right"/>
              <w:rPr>
                <w:rFonts w:cs="Arial"/>
                <w:sz w:val="16"/>
                <w:szCs w:val="16"/>
              </w:rPr>
            </w:pPr>
            <w:r w:rsidRPr="0068530D">
              <w:rPr>
                <w:rFonts w:cs="Arial"/>
                <w:sz w:val="16"/>
                <w:szCs w:val="16"/>
              </w:rPr>
              <w:t>Mutaties 2e suppletoire begroting</w:t>
            </w:r>
          </w:p>
        </w:tc>
        <w:tc>
          <w:tcPr>
            <w:tcW w:w="584" w:type="pct"/>
            <w:tcBorders>
              <w:top w:val="single" w:sz="4" w:space="0" w:color="auto"/>
              <w:left w:val="nil"/>
              <w:bottom w:val="single" w:sz="4" w:space="0" w:color="auto"/>
              <w:right w:val="nil"/>
            </w:tcBorders>
            <w:shd w:val="clear" w:color="000000" w:fill="FFFFCC"/>
            <w:hideMark/>
          </w:tcPr>
          <w:p w:rsidR="00B20925" w:rsidRPr="0068530D" w:rsidRDefault="00B20925" w:rsidP="00250DD1">
            <w:pPr>
              <w:jc w:val="right"/>
              <w:rPr>
                <w:rFonts w:cs="Arial"/>
                <w:sz w:val="16"/>
                <w:szCs w:val="16"/>
              </w:rPr>
            </w:pPr>
            <w:r w:rsidRPr="0068530D">
              <w:rPr>
                <w:rFonts w:cs="Arial"/>
                <w:sz w:val="16"/>
                <w:szCs w:val="16"/>
              </w:rPr>
              <w:t>Stand 2e suppletoire begroting</w:t>
            </w:r>
          </w:p>
        </w:tc>
      </w:tr>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Verplichtingen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5.155.411</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5.244.447</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17.435</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5.261.882</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Programma-uitgaven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5.155.411</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5.244.447</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17.435</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5.261.883</w:t>
            </w:r>
          </w:p>
        </w:tc>
      </w:tr>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i/>
                <w:iCs/>
                <w:sz w:val="16"/>
                <w:szCs w:val="16"/>
              </w:rPr>
            </w:pPr>
            <w:r w:rsidRPr="0068530D">
              <w:rPr>
                <w:rFonts w:cs="Arial"/>
                <w:i/>
                <w:iCs/>
                <w:sz w:val="16"/>
                <w:szCs w:val="16"/>
              </w:rPr>
              <w:t>Waarvan juridisch verplicht</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i/>
                <w:iCs/>
                <w:sz w:val="16"/>
                <w:szCs w:val="16"/>
              </w:rPr>
            </w:pPr>
            <w:r w:rsidRPr="0068530D">
              <w:rPr>
                <w:rFonts w:cs="Arial"/>
                <w:i/>
                <w:iCs/>
                <w:sz w:val="16"/>
                <w:szCs w:val="16"/>
              </w:rPr>
              <w:t>99,74%</w:t>
            </w:r>
          </w:p>
        </w:tc>
      </w:tr>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31.2 Bekostiging nationale politie</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Bijdragen aan ZBO's/</w:t>
            </w:r>
            <w:proofErr w:type="spellStart"/>
            <w:r w:rsidRPr="0068530D">
              <w:rPr>
                <w:rFonts w:cs="Arial"/>
                <w:b/>
                <w:bCs/>
                <w:sz w:val="16"/>
                <w:szCs w:val="16"/>
              </w:rPr>
              <w:t>RWT's</w:t>
            </w:r>
            <w:proofErr w:type="spellEnd"/>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Nationale Politie</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4.882.090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4.958.203</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11.961</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4.970.164</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Politieacademie</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121.303</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121.453</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164</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121.617</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Bijdragen aan medeoverheden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BES brandweer- en politiekorps</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17.573</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16.480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3.270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19.750</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2609" w:type="pct"/>
            <w:gridSpan w:val="2"/>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31.3 Kwaliteit, Arbeidsvoorwaarden en ICT politie</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Bijdragen aan ZBO's/</w:t>
            </w:r>
            <w:proofErr w:type="spellStart"/>
            <w:r w:rsidRPr="0068530D">
              <w:rPr>
                <w:rFonts w:cs="Arial"/>
                <w:b/>
                <w:bCs/>
                <w:sz w:val="16"/>
                <w:szCs w:val="16"/>
              </w:rPr>
              <w:t>RWT's</w:t>
            </w:r>
            <w:proofErr w:type="spellEnd"/>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Internationale samenwerkingsoperaties</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20.962</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20.962</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3.157</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24.119</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C2000 / GMS</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93.181</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104.173</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-1.018</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103.155</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overig Kwaliteit, Arbeidsvoorwaarden en ICT</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790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790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791</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Bijdragen aan medeoverheden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Bijdragen in het kader van de kwaliteit van de politiezorg</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1.249</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-100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1.149</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Subsidies</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 xml:space="preserve">Stichting NL </w:t>
            </w:r>
            <w:proofErr w:type="spellStart"/>
            <w:r w:rsidRPr="0068530D">
              <w:rPr>
                <w:rFonts w:cs="Arial"/>
                <w:sz w:val="16"/>
                <w:szCs w:val="16"/>
              </w:rPr>
              <w:t>Confidential</w:t>
            </w:r>
            <w:proofErr w:type="spellEnd"/>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750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750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478</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1.228</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Opdrachten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Providers</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14.262</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11.000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11.000</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overig Kwaliteit, Arbeidsvoorwaarden en ICT</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4.887</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-478</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4.409</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Bijdragen aan Sociale fondsen</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r w:rsidRPr="0068530D">
              <w:rPr>
                <w:rFonts w:cs="Arial"/>
                <w:sz w:val="16"/>
                <w:szCs w:val="16"/>
              </w:rPr>
              <w:t>Stichting Arbeidsmarkt en Opleidingsfonds Politie</w:t>
            </w:r>
          </w:p>
        </w:tc>
        <w:tc>
          <w:tcPr>
            <w:tcW w:w="640"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4.500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4.500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0</w:t>
            </w:r>
          </w:p>
        </w:tc>
        <w:tc>
          <w:tcPr>
            <w:tcW w:w="584" w:type="pct"/>
            <w:tcBorders>
              <w:top w:val="nil"/>
              <w:left w:val="nil"/>
              <w:bottom w:val="nil"/>
              <w:right w:val="nil"/>
            </w:tcBorders>
            <w:shd w:val="clear" w:color="auto" w:fill="auto"/>
            <w:noWrap/>
            <w:vAlign w:val="bottom"/>
            <w:hideMark/>
          </w:tcPr>
          <w:p w:rsidR="00B20925" w:rsidRPr="0068530D" w:rsidRDefault="00B20925" w:rsidP="00250DD1">
            <w:pPr>
              <w:jc w:val="right"/>
              <w:rPr>
                <w:rFonts w:cs="Arial"/>
                <w:sz w:val="16"/>
                <w:szCs w:val="16"/>
              </w:rPr>
            </w:pPr>
            <w:r w:rsidRPr="0068530D">
              <w:rPr>
                <w:rFonts w:cs="Arial"/>
                <w:sz w:val="16"/>
                <w:szCs w:val="16"/>
              </w:rPr>
              <w:t>4.500</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r w:rsidR="00B20925" w:rsidRPr="0068530D" w:rsidTr="00250DD1">
        <w:trPr>
          <w:trHeight w:val="225"/>
        </w:trPr>
        <w:tc>
          <w:tcPr>
            <w:tcW w:w="2609" w:type="pct"/>
            <w:gridSpan w:val="2"/>
            <w:tcBorders>
              <w:top w:val="nil"/>
              <w:left w:val="nil"/>
              <w:bottom w:val="single" w:sz="4" w:space="0" w:color="auto"/>
              <w:right w:val="nil"/>
            </w:tcBorders>
            <w:shd w:val="clear" w:color="auto" w:fill="auto"/>
            <w:noWrap/>
            <w:vAlign w:val="bottom"/>
            <w:hideMark/>
          </w:tcPr>
          <w:p w:rsidR="00B20925" w:rsidRPr="0068530D" w:rsidRDefault="00B20925" w:rsidP="00250DD1">
            <w:pPr>
              <w:rPr>
                <w:rFonts w:cs="Arial"/>
                <w:b/>
                <w:bCs/>
                <w:sz w:val="16"/>
                <w:szCs w:val="16"/>
              </w:rPr>
            </w:pPr>
            <w:r w:rsidRPr="0068530D">
              <w:rPr>
                <w:rFonts w:cs="Arial"/>
                <w:b/>
                <w:bCs/>
                <w:sz w:val="16"/>
                <w:szCs w:val="16"/>
              </w:rPr>
              <w:t>Ontvangsten</w:t>
            </w:r>
          </w:p>
        </w:tc>
        <w:tc>
          <w:tcPr>
            <w:tcW w:w="640" w:type="pct"/>
            <w:tcBorders>
              <w:top w:val="nil"/>
              <w:left w:val="nil"/>
              <w:bottom w:val="single" w:sz="4" w:space="0" w:color="auto"/>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500</w:t>
            </w:r>
          </w:p>
        </w:tc>
        <w:tc>
          <w:tcPr>
            <w:tcW w:w="584" w:type="pct"/>
            <w:tcBorders>
              <w:top w:val="nil"/>
              <w:left w:val="nil"/>
              <w:bottom w:val="single" w:sz="4" w:space="0" w:color="auto"/>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500</w:t>
            </w:r>
          </w:p>
        </w:tc>
        <w:tc>
          <w:tcPr>
            <w:tcW w:w="584" w:type="pct"/>
            <w:tcBorders>
              <w:top w:val="nil"/>
              <w:left w:val="nil"/>
              <w:bottom w:val="single" w:sz="4" w:space="0" w:color="auto"/>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1.000</w:t>
            </w:r>
          </w:p>
        </w:tc>
        <w:tc>
          <w:tcPr>
            <w:tcW w:w="584" w:type="pct"/>
            <w:tcBorders>
              <w:top w:val="nil"/>
              <w:left w:val="nil"/>
              <w:bottom w:val="single" w:sz="4" w:space="0" w:color="auto"/>
              <w:right w:val="nil"/>
            </w:tcBorders>
            <w:shd w:val="clear" w:color="auto" w:fill="auto"/>
            <w:noWrap/>
            <w:vAlign w:val="bottom"/>
            <w:hideMark/>
          </w:tcPr>
          <w:p w:rsidR="00B20925" w:rsidRPr="0068530D" w:rsidRDefault="00B20925" w:rsidP="00250DD1">
            <w:pPr>
              <w:jc w:val="right"/>
              <w:rPr>
                <w:rFonts w:cs="Arial"/>
                <w:b/>
                <w:bCs/>
                <w:sz w:val="16"/>
                <w:szCs w:val="16"/>
              </w:rPr>
            </w:pPr>
            <w:r w:rsidRPr="0068530D">
              <w:rPr>
                <w:rFonts w:cs="Arial"/>
                <w:b/>
                <w:bCs/>
                <w:sz w:val="16"/>
                <w:szCs w:val="16"/>
              </w:rPr>
              <w:t>1.500</w:t>
            </w:r>
          </w:p>
        </w:tc>
      </w:tr>
      <w:tr w:rsidR="00B20925" w:rsidRPr="0068530D" w:rsidTr="00250DD1">
        <w:trPr>
          <w:trHeight w:val="225"/>
        </w:trPr>
        <w:tc>
          <w:tcPr>
            <w:tcW w:w="101"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2507"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640"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c>
          <w:tcPr>
            <w:tcW w:w="584" w:type="pct"/>
            <w:tcBorders>
              <w:top w:val="nil"/>
              <w:left w:val="nil"/>
              <w:bottom w:val="nil"/>
              <w:right w:val="nil"/>
            </w:tcBorders>
            <w:shd w:val="clear" w:color="auto" w:fill="auto"/>
            <w:noWrap/>
            <w:vAlign w:val="bottom"/>
            <w:hideMark/>
          </w:tcPr>
          <w:p w:rsidR="00B20925" w:rsidRPr="0068530D" w:rsidRDefault="00B20925" w:rsidP="00250DD1">
            <w:pPr>
              <w:rPr>
                <w:rFonts w:cs="Arial"/>
                <w:sz w:val="16"/>
                <w:szCs w:val="16"/>
              </w:rPr>
            </w:pPr>
          </w:p>
        </w:tc>
      </w:tr>
    </w:tbl>
    <w:p w:rsidR="00B20925" w:rsidRDefault="00B20925" w:rsidP="00B20925">
      <w:pPr>
        <w:tabs>
          <w:tab w:val="left" w:pos="142"/>
        </w:tabs>
        <w:ind w:left="142"/>
        <w:jc w:val="both"/>
        <w:rPr>
          <w:rFonts w:ascii="Verdana" w:hAnsi="Verdana" w:cs="Arial"/>
          <w:i/>
          <w:sz w:val="16"/>
          <w:szCs w:val="16"/>
        </w:rPr>
      </w:pPr>
    </w:p>
    <w:p w:rsidR="00B20925" w:rsidRPr="00BC1BB1" w:rsidRDefault="00B20925" w:rsidP="00B20925">
      <w:pPr>
        <w:tabs>
          <w:tab w:val="left" w:pos="142"/>
        </w:tabs>
        <w:jc w:val="both"/>
        <w:rPr>
          <w:rFonts w:ascii="Verdana" w:hAnsi="Verdana" w:cs="Arial"/>
        </w:rPr>
      </w:pPr>
    </w:p>
    <w:p w:rsidR="00B20925" w:rsidRPr="00BC1BB1" w:rsidRDefault="00B20925" w:rsidP="00B20925">
      <w:pPr>
        <w:tabs>
          <w:tab w:val="left" w:pos="851"/>
        </w:tabs>
        <w:rPr>
          <w:rFonts w:ascii="Verdana" w:hAnsi="Verdana" w:cs="Arial"/>
          <w:b/>
        </w:rPr>
      </w:pPr>
      <w:r w:rsidRPr="00BC1BB1">
        <w:rPr>
          <w:rFonts w:ascii="Verdana" w:hAnsi="Verdana" w:cs="Arial"/>
          <w:b/>
        </w:rPr>
        <w:t>Toelichting op beleidsartikel 31</w:t>
      </w:r>
      <w:r w:rsidRPr="00BC1BB1">
        <w:rPr>
          <w:rFonts w:ascii="Verdana" w:hAnsi="Verdana" w:cs="Arial"/>
          <w:b/>
        </w:rPr>
        <w:br/>
      </w:r>
    </w:p>
    <w:p w:rsidR="00B20925" w:rsidRPr="00BC1BB1" w:rsidRDefault="00B20925" w:rsidP="00B20925">
      <w:pPr>
        <w:rPr>
          <w:rFonts w:ascii="Verdana" w:hAnsi="Verdana" w:cs="Arial"/>
          <w:b/>
        </w:rPr>
      </w:pPr>
      <w:r w:rsidRPr="00BC1BB1">
        <w:rPr>
          <w:rFonts w:ascii="Verdana" w:hAnsi="Verdana" w:cs="Arial"/>
          <w:b/>
        </w:rPr>
        <w:t>Mutaties uitgaven</w:t>
      </w:r>
    </w:p>
    <w:p w:rsidR="00B20925" w:rsidRPr="00BC1BB1" w:rsidRDefault="00B20925" w:rsidP="00B20925">
      <w:pPr>
        <w:rPr>
          <w:rFonts w:ascii="Verdana" w:hAnsi="Verdana" w:cs="Arial"/>
        </w:rPr>
      </w:pPr>
    </w:p>
    <w:p w:rsidR="00B20925" w:rsidRPr="00BC1BB1" w:rsidRDefault="00B20925" w:rsidP="00B20925">
      <w:pPr>
        <w:rPr>
          <w:rFonts w:ascii="Verdana" w:eastAsia="Calibri" w:hAnsi="Verdana"/>
          <w:i/>
          <w:lang w:eastAsia="en-US"/>
        </w:rPr>
      </w:pPr>
      <w:r w:rsidRPr="00BC1BB1">
        <w:rPr>
          <w:rFonts w:ascii="Verdana" w:eastAsia="Calibri" w:hAnsi="Verdana"/>
          <w:i/>
          <w:lang w:eastAsia="en-US"/>
        </w:rPr>
        <w:t>31.2 Bekostiging nationale politie</w:t>
      </w:r>
    </w:p>
    <w:p w:rsidR="00B20925" w:rsidRPr="00FC16C6" w:rsidRDefault="00B20925" w:rsidP="00B20925">
      <w:pPr>
        <w:rPr>
          <w:rFonts w:ascii="Verdana" w:eastAsia="Calibri" w:hAnsi="Verdana"/>
          <w:i/>
          <w:sz w:val="18"/>
          <w:szCs w:val="18"/>
          <w:lang w:eastAsia="en-US"/>
        </w:rPr>
      </w:pPr>
    </w:p>
    <w:p w:rsidR="00B20925" w:rsidRPr="00FC16C6" w:rsidRDefault="00B20925" w:rsidP="00B20925">
      <w:pPr>
        <w:rPr>
          <w:rFonts w:ascii="Verdana" w:eastAsia="Calibri" w:hAnsi="Verdana"/>
          <w:i/>
          <w:sz w:val="18"/>
          <w:szCs w:val="18"/>
          <w:lang w:eastAsia="en-US"/>
        </w:rPr>
      </w:pPr>
      <w:r w:rsidRPr="00FC16C6">
        <w:rPr>
          <w:rFonts w:ascii="Verdana" w:eastAsia="Calibri" w:hAnsi="Verdana"/>
          <w:i/>
          <w:sz w:val="18"/>
          <w:szCs w:val="18"/>
          <w:lang w:eastAsia="en-US"/>
        </w:rPr>
        <w:t>Nationale Politie</w:t>
      </w:r>
    </w:p>
    <w:p w:rsidR="00B20925" w:rsidRDefault="00B20925" w:rsidP="00B20925">
      <w:pPr>
        <w:rPr>
          <w:rFonts w:ascii="Verdana" w:eastAsia="Calibri" w:hAnsi="Verdana"/>
          <w:sz w:val="18"/>
          <w:szCs w:val="18"/>
          <w:lang w:eastAsia="en-US"/>
        </w:rPr>
      </w:pPr>
      <w:r w:rsidRPr="00FC16C6">
        <w:rPr>
          <w:rFonts w:ascii="Verdana" w:eastAsia="Calibri" w:hAnsi="Verdana"/>
          <w:sz w:val="18"/>
          <w:szCs w:val="18"/>
          <w:lang w:eastAsia="en-US"/>
        </w:rPr>
        <w:t>De mutatie in het budget voor de Nationale Politie wordt met name verklaard door:</w:t>
      </w:r>
    </w:p>
    <w:p w:rsidR="00B20925" w:rsidRDefault="00B20925" w:rsidP="00B20925">
      <w:pPr>
        <w:numPr>
          <w:ilvl w:val="0"/>
          <w:numId w:val="7"/>
        </w:numPr>
        <w:rPr>
          <w:rFonts w:ascii="Verdana" w:eastAsia="Calibri" w:hAnsi="Verdana"/>
          <w:sz w:val="18"/>
          <w:szCs w:val="18"/>
          <w:lang w:eastAsia="en-US"/>
        </w:rPr>
      </w:pPr>
      <w:r w:rsidRPr="00916A5B">
        <w:rPr>
          <w:rFonts w:ascii="Verdana" w:eastAsia="Calibri" w:hAnsi="Verdana"/>
          <w:sz w:val="18"/>
          <w:szCs w:val="18"/>
          <w:lang w:eastAsia="en-US"/>
        </w:rPr>
        <w:t xml:space="preserve">De additionele uitgaven </w:t>
      </w:r>
      <w:r>
        <w:rPr>
          <w:rFonts w:ascii="Verdana" w:eastAsia="Calibri" w:hAnsi="Verdana"/>
          <w:sz w:val="18"/>
          <w:szCs w:val="18"/>
          <w:lang w:eastAsia="en-US"/>
        </w:rPr>
        <w:t xml:space="preserve">voor de Nationale politie </w:t>
      </w:r>
      <w:r w:rsidRPr="00916A5B">
        <w:rPr>
          <w:rFonts w:ascii="Verdana" w:eastAsia="Calibri" w:hAnsi="Verdana"/>
          <w:sz w:val="18"/>
          <w:szCs w:val="18"/>
          <w:lang w:eastAsia="en-US"/>
        </w:rPr>
        <w:t xml:space="preserve">welke samenhangen met de ramp van vlucht MH17 in 2014 </w:t>
      </w:r>
      <w:r>
        <w:rPr>
          <w:rFonts w:ascii="Verdana" w:eastAsia="Calibri" w:hAnsi="Verdana"/>
          <w:sz w:val="18"/>
          <w:szCs w:val="18"/>
          <w:lang w:eastAsia="en-US"/>
        </w:rPr>
        <w:t>(</w:t>
      </w:r>
      <w:r w:rsidRPr="00916A5B">
        <w:rPr>
          <w:rFonts w:ascii="Verdana" w:eastAsia="Calibri" w:hAnsi="Verdana"/>
          <w:sz w:val="18"/>
          <w:szCs w:val="18"/>
          <w:lang w:eastAsia="en-US"/>
        </w:rPr>
        <w:t xml:space="preserve">€ 5,6 mln.) </w:t>
      </w:r>
    </w:p>
    <w:p w:rsidR="00B20925" w:rsidRPr="00916A5B" w:rsidRDefault="00B20925" w:rsidP="00B20925">
      <w:pPr>
        <w:numPr>
          <w:ilvl w:val="0"/>
          <w:numId w:val="7"/>
        </w:numPr>
        <w:rPr>
          <w:rFonts w:ascii="Verdana" w:eastAsia="Calibri" w:hAnsi="Verdana"/>
          <w:sz w:val="18"/>
          <w:szCs w:val="18"/>
          <w:lang w:eastAsia="en-US"/>
        </w:rPr>
      </w:pPr>
      <w:r w:rsidRPr="00916A5B">
        <w:rPr>
          <w:rFonts w:ascii="Verdana" w:eastAsia="Calibri" w:hAnsi="Verdana"/>
          <w:sz w:val="18"/>
          <w:szCs w:val="18"/>
          <w:lang w:eastAsia="en-US"/>
        </w:rPr>
        <w:t>Bij het ketenprogramma Afpakken staat het meer, slimmer en effectiever afpakken van crimineel vermogen centraal. Om het onderdeel strafrechtelijk afpakken te versterken is er circa € 7,8 mln. overgeheveld van het Openbaar Ministerie (artikel 33) naar de Politie.</w:t>
      </w:r>
    </w:p>
    <w:p w:rsidR="00B20925" w:rsidRDefault="00B20925" w:rsidP="00B20925">
      <w:pPr>
        <w:numPr>
          <w:ilvl w:val="0"/>
          <w:numId w:val="7"/>
        </w:numPr>
        <w:rPr>
          <w:rFonts w:ascii="Verdana" w:eastAsia="Calibri" w:hAnsi="Verdana"/>
          <w:sz w:val="18"/>
          <w:szCs w:val="18"/>
          <w:lang w:eastAsia="en-US"/>
        </w:rPr>
      </w:pPr>
      <w:r>
        <w:rPr>
          <w:rFonts w:ascii="Verdana" w:eastAsia="Calibri" w:hAnsi="Verdana"/>
          <w:sz w:val="18"/>
          <w:szCs w:val="18"/>
          <w:lang w:eastAsia="en-US"/>
        </w:rPr>
        <w:t>D</w:t>
      </w:r>
      <w:r w:rsidRPr="00FC16C6">
        <w:rPr>
          <w:rFonts w:ascii="Verdana" w:eastAsia="Calibri" w:hAnsi="Verdana"/>
          <w:sz w:val="18"/>
          <w:szCs w:val="18"/>
          <w:lang w:eastAsia="en-US"/>
        </w:rPr>
        <w:t xml:space="preserve">e </w:t>
      </w:r>
      <w:r>
        <w:rPr>
          <w:rFonts w:ascii="Verdana" w:eastAsia="Calibri" w:hAnsi="Verdana"/>
          <w:sz w:val="18"/>
          <w:szCs w:val="18"/>
          <w:lang w:eastAsia="en-US"/>
        </w:rPr>
        <w:t xml:space="preserve">verdeling van </w:t>
      </w:r>
      <w:r w:rsidRPr="00FC16C6">
        <w:rPr>
          <w:rFonts w:ascii="Verdana" w:eastAsia="Calibri" w:hAnsi="Verdana"/>
          <w:sz w:val="18"/>
          <w:szCs w:val="18"/>
          <w:lang w:eastAsia="en-US"/>
        </w:rPr>
        <w:t>toegekende loonbijstelling tranche 2014. Zie ook de tabel belangrijkste uitgaven.</w:t>
      </w:r>
    </w:p>
    <w:p w:rsidR="00B20925" w:rsidRPr="00FC16C6" w:rsidRDefault="00B20925" w:rsidP="00B20925">
      <w:pPr>
        <w:numPr>
          <w:ilvl w:val="0"/>
          <w:numId w:val="7"/>
        </w:numPr>
        <w:rPr>
          <w:rFonts w:ascii="Verdana" w:eastAsia="Calibri" w:hAnsi="Verdana"/>
          <w:sz w:val="18"/>
          <w:szCs w:val="18"/>
          <w:lang w:eastAsia="en-US"/>
        </w:rPr>
      </w:pPr>
      <w:r>
        <w:rPr>
          <w:rFonts w:ascii="Verdana" w:eastAsia="Calibri" w:hAnsi="Verdana"/>
          <w:sz w:val="18"/>
          <w:szCs w:val="18"/>
          <w:lang w:eastAsia="en-US"/>
        </w:rPr>
        <w:t xml:space="preserve">Het BES brandweer- en politiekorps vanwege de gestegen kosten bij onder andere het Politiekorps op de BES-eilanden. Bij het Brandweerkorps heeft de kostenstijging betrekking op het wegwerken van achterstanden in opleidingen. Voor wat betreft het Korps Politie </w:t>
      </w:r>
      <w:proofErr w:type="spellStart"/>
      <w:r>
        <w:rPr>
          <w:rFonts w:ascii="Verdana" w:eastAsia="Calibri" w:hAnsi="Verdana"/>
          <w:sz w:val="18"/>
          <w:szCs w:val="18"/>
          <w:lang w:eastAsia="en-US"/>
        </w:rPr>
        <w:t>Caribisch</w:t>
      </w:r>
      <w:proofErr w:type="spellEnd"/>
      <w:r>
        <w:rPr>
          <w:rFonts w:ascii="Verdana" w:eastAsia="Calibri" w:hAnsi="Verdana"/>
          <w:sz w:val="18"/>
          <w:szCs w:val="18"/>
          <w:lang w:eastAsia="en-US"/>
        </w:rPr>
        <w:t xml:space="preserve"> Nederland (KPCN) hebben de meerkosten onder andere betrekking op huisvesting, voortzetting inzet Koninklijke Marechaussee en opleidingen. </w:t>
      </w:r>
    </w:p>
    <w:p w:rsidR="00B20925" w:rsidRPr="00BC1BB1" w:rsidRDefault="00B20925" w:rsidP="00B20925">
      <w:pPr>
        <w:rPr>
          <w:rFonts w:ascii="Verdana" w:hAnsi="Verdana" w:cs="Arial"/>
          <w:i/>
        </w:rPr>
      </w:pPr>
    </w:p>
    <w:p w:rsidR="00B20925" w:rsidRDefault="00B20925" w:rsidP="00B20925">
      <w:pPr>
        <w:tabs>
          <w:tab w:val="left" w:pos="9072"/>
        </w:tabs>
        <w:rPr>
          <w:rStyle w:val="Kop1Char2"/>
          <w:rFonts w:ascii="Verdana" w:hAnsi="Verdana" w:cs="Arial"/>
          <w:szCs w:val="22"/>
        </w:rPr>
      </w:pPr>
      <w:r w:rsidRPr="00BC1BB1">
        <w:rPr>
          <w:rStyle w:val="Kop1Char2"/>
          <w:rFonts w:ascii="Verdana" w:hAnsi="Verdana" w:cs="Arial"/>
        </w:rPr>
        <w:br w:type="page"/>
      </w:r>
      <w:r w:rsidRPr="00BC1BB1">
        <w:rPr>
          <w:rStyle w:val="Kop1Char2"/>
          <w:rFonts w:ascii="Verdana" w:hAnsi="Verdana" w:cs="Arial"/>
        </w:rPr>
        <w:lastRenderedPageBreak/>
        <w:t>32 rECHTSPLEGING EN RECHTSBIJSTAND</w:t>
      </w:r>
    </w:p>
    <w:p w:rsidR="00B20925" w:rsidRPr="00B81A0B" w:rsidRDefault="00B20925" w:rsidP="00B20925">
      <w:pPr>
        <w:tabs>
          <w:tab w:val="left" w:pos="9072"/>
        </w:tabs>
        <w:rPr>
          <w:rStyle w:val="Kop1Char2"/>
          <w:rFonts w:ascii="Verdana" w:hAnsi="Verdana" w:cs="Arial"/>
          <w:szCs w:val="22"/>
        </w:rPr>
      </w:pPr>
    </w:p>
    <w:tbl>
      <w:tblPr>
        <w:tblW w:w="5000" w:type="pct"/>
        <w:tblCellMar>
          <w:left w:w="70" w:type="dxa"/>
          <w:right w:w="70" w:type="dxa"/>
        </w:tblCellMar>
        <w:tblLook w:val="04A0" w:firstRow="1" w:lastRow="0" w:firstColumn="1" w:lastColumn="0" w:noHBand="0" w:noVBand="1"/>
      </w:tblPr>
      <w:tblGrid>
        <w:gridCol w:w="186"/>
        <w:gridCol w:w="5001"/>
        <w:gridCol w:w="968"/>
        <w:gridCol w:w="767"/>
        <w:gridCol w:w="767"/>
        <w:gridCol w:w="767"/>
      </w:tblGrid>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r w:rsidRPr="00BA5C4A">
              <w:rPr>
                <w:rFonts w:cs="Arial"/>
                <w:b/>
                <w:bCs/>
                <w:sz w:val="16"/>
                <w:szCs w:val="16"/>
              </w:rPr>
              <w:t>Budgettaire gevolgen van beleid</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x € 1.000</w:t>
            </w:r>
          </w:p>
        </w:tc>
      </w:tr>
      <w:tr w:rsidR="00B20925" w:rsidRPr="00BA5C4A" w:rsidTr="00250DD1">
        <w:trPr>
          <w:trHeight w:val="675"/>
        </w:trPr>
        <w:tc>
          <w:tcPr>
            <w:tcW w:w="90" w:type="pct"/>
            <w:tcBorders>
              <w:top w:val="single" w:sz="4" w:space="0" w:color="auto"/>
              <w:left w:val="nil"/>
              <w:bottom w:val="single" w:sz="4" w:space="0" w:color="auto"/>
              <w:right w:val="nil"/>
            </w:tcBorders>
            <w:shd w:val="clear" w:color="000000" w:fill="FFFFCC"/>
            <w:noWrap/>
            <w:hideMark/>
          </w:tcPr>
          <w:p w:rsidR="00B20925" w:rsidRPr="00BA5C4A" w:rsidRDefault="00B20925" w:rsidP="00250DD1">
            <w:pPr>
              <w:rPr>
                <w:rFonts w:cs="Arial"/>
                <w:b/>
                <w:bCs/>
                <w:sz w:val="16"/>
                <w:szCs w:val="16"/>
              </w:rPr>
            </w:pPr>
            <w:r w:rsidRPr="00BA5C4A">
              <w:rPr>
                <w:rFonts w:cs="Arial"/>
                <w:b/>
                <w:bCs/>
                <w:sz w:val="16"/>
                <w:szCs w:val="16"/>
              </w:rPr>
              <w:t> </w:t>
            </w:r>
          </w:p>
        </w:tc>
        <w:tc>
          <w:tcPr>
            <w:tcW w:w="2852" w:type="pct"/>
            <w:tcBorders>
              <w:top w:val="single" w:sz="4" w:space="0" w:color="auto"/>
              <w:left w:val="nil"/>
              <w:bottom w:val="single" w:sz="4" w:space="0" w:color="auto"/>
              <w:right w:val="nil"/>
            </w:tcBorders>
            <w:shd w:val="clear" w:color="000000" w:fill="FFFFCC"/>
            <w:hideMark/>
          </w:tcPr>
          <w:p w:rsidR="00B20925" w:rsidRPr="00BA5C4A" w:rsidRDefault="00B20925" w:rsidP="00250DD1">
            <w:pPr>
              <w:jc w:val="right"/>
              <w:rPr>
                <w:rFonts w:cs="Arial"/>
                <w:sz w:val="16"/>
                <w:szCs w:val="16"/>
              </w:rPr>
            </w:pPr>
            <w:r w:rsidRPr="00BA5C4A">
              <w:rPr>
                <w:rFonts w:cs="Arial"/>
                <w:sz w:val="16"/>
                <w:szCs w:val="16"/>
              </w:rPr>
              <w:t> </w:t>
            </w:r>
          </w:p>
        </w:tc>
        <w:tc>
          <w:tcPr>
            <w:tcW w:w="551" w:type="pct"/>
            <w:tcBorders>
              <w:top w:val="single" w:sz="4" w:space="0" w:color="auto"/>
              <w:left w:val="nil"/>
              <w:bottom w:val="single" w:sz="4" w:space="0" w:color="auto"/>
              <w:right w:val="nil"/>
            </w:tcBorders>
            <w:shd w:val="clear" w:color="000000" w:fill="FFFFCC"/>
            <w:hideMark/>
          </w:tcPr>
          <w:p w:rsidR="00B20925" w:rsidRPr="00BA5C4A" w:rsidRDefault="00B20925" w:rsidP="00250DD1">
            <w:pPr>
              <w:jc w:val="right"/>
              <w:rPr>
                <w:rFonts w:cs="Arial"/>
                <w:sz w:val="16"/>
                <w:szCs w:val="16"/>
              </w:rPr>
            </w:pPr>
            <w:r w:rsidRPr="00BA5C4A">
              <w:rPr>
                <w:rFonts w:cs="Arial"/>
                <w:sz w:val="16"/>
                <w:szCs w:val="16"/>
              </w:rPr>
              <w:t xml:space="preserve">Stand vastgestelde begroting </w:t>
            </w:r>
          </w:p>
        </w:tc>
        <w:tc>
          <w:tcPr>
            <w:tcW w:w="502" w:type="pct"/>
            <w:tcBorders>
              <w:top w:val="single" w:sz="4" w:space="0" w:color="auto"/>
              <w:left w:val="nil"/>
              <w:bottom w:val="single" w:sz="4" w:space="0" w:color="auto"/>
              <w:right w:val="nil"/>
            </w:tcBorders>
            <w:shd w:val="clear" w:color="000000" w:fill="FFFFCC"/>
            <w:hideMark/>
          </w:tcPr>
          <w:p w:rsidR="00B20925" w:rsidRPr="00BA5C4A" w:rsidRDefault="00B20925" w:rsidP="00250DD1">
            <w:pPr>
              <w:jc w:val="right"/>
              <w:rPr>
                <w:rFonts w:cs="Arial"/>
                <w:sz w:val="16"/>
                <w:szCs w:val="16"/>
              </w:rPr>
            </w:pPr>
            <w:r w:rsidRPr="00BA5C4A">
              <w:rPr>
                <w:rFonts w:cs="Arial"/>
                <w:sz w:val="16"/>
                <w:szCs w:val="16"/>
              </w:rPr>
              <w:t>Stand 1e suppletoire begroting</w:t>
            </w:r>
          </w:p>
        </w:tc>
        <w:tc>
          <w:tcPr>
            <w:tcW w:w="502" w:type="pct"/>
            <w:tcBorders>
              <w:top w:val="single" w:sz="4" w:space="0" w:color="auto"/>
              <w:left w:val="nil"/>
              <w:bottom w:val="single" w:sz="4" w:space="0" w:color="auto"/>
              <w:right w:val="nil"/>
            </w:tcBorders>
            <w:shd w:val="clear" w:color="000000" w:fill="FFFFCC"/>
            <w:hideMark/>
          </w:tcPr>
          <w:p w:rsidR="00B20925" w:rsidRPr="00BA5C4A" w:rsidRDefault="00B20925" w:rsidP="00250DD1">
            <w:pPr>
              <w:jc w:val="right"/>
              <w:rPr>
                <w:rFonts w:cs="Arial"/>
                <w:sz w:val="16"/>
                <w:szCs w:val="16"/>
              </w:rPr>
            </w:pPr>
            <w:r w:rsidRPr="00BA5C4A">
              <w:rPr>
                <w:rFonts w:cs="Arial"/>
                <w:sz w:val="16"/>
                <w:szCs w:val="16"/>
              </w:rPr>
              <w:t>Mutaties 2e suppletoire begroting</w:t>
            </w:r>
          </w:p>
        </w:tc>
        <w:tc>
          <w:tcPr>
            <w:tcW w:w="502" w:type="pct"/>
            <w:tcBorders>
              <w:top w:val="single" w:sz="4" w:space="0" w:color="auto"/>
              <w:left w:val="nil"/>
              <w:bottom w:val="single" w:sz="4" w:space="0" w:color="auto"/>
              <w:right w:val="nil"/>
            </w:tcBorders>
            <w:shd w:val="clear" w:color="000000" w:fill="FFFFCC"/>
            <w:hideMark/>
          </w:tcPr>
          <w:p w:rsidR="00B20925" w:rsidRPr="00BA5C4A" w:rsidRDefault="00B20925" w:rsidP="00250DD1">
            <w:pPr>
              <w:jc w:val="right"/>
              <w:rPr>
                <w:rFonts w:cs="Arial"/>
                <w:sz w:val="16"/>
                <w:szCs w:val="16"/>
              </w:rPr>
            </w:pPr>
            <w:r w:rsidRPr="00BA5C4A">
              <w:rPr>
                <w:rFonts w:cs="Arial"/>
                <w:sz w:val="16"/>
                <w:szCs w:val="16"/>
              </w:rPr>
              <w:t>Stand 2e suppletoire begroting</w:t>
            </w: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Verplichtingen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1.509.230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1.489.040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2.113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1.491.153</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32.1 Apparaatsuitgaven Hoge Raad</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Personeel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20.870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20.870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40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20.910</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eigen personeel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20.117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20.117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39</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20.156</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externe inhuur</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overig personeel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753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753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754</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Materieel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4.255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4.255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4.255</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ICT</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502</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502</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502</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 xml:space="preserve">waarvan </w:t>
            </w:r>
            <w:proofErr w:type="spellStart"/>
            <w:r w:rsidRPr="00BA5C4A">
              <w:rPr>
                <w:rFonts w:ascii="Arial" w:hAnsi="Arial" w:cs="Arial"/>
                <w:sz w:val="16"/>
                <w:szCs w:val="16"/>
              </w:rPr>
              <w:t>SSO's</w:t>
            </w:r>
            <w:proofErr w:type="spellEnd"/>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overig materieel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3.753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3.753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3.753</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Programma-uitgaven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1.484.105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1.463.915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2.073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b/>
                <w:bCs/>
                <w:sz w:val="16"/>
                <w:szCs w:val="16"/>
              </w:rPr>
            </w:pPr>
            <w:r w:rsidRPr="00BA5C4A">
              <w:rPr>
                <w:rFonts w:cs="Arial"/>
                <w:b/>
                <w:bCs/>
                <w:sz w:val="16"/>
                <w:szCs w:val="16"/>
              </w:rPr>
              <w:t>1.465.988</w:t>
            </w: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i/>
                <w:iCs/>
                <w:sz w:val="16"/>
                <w:szCs w:val="16"/>
              </w:rPr>
            </w:pPr>
            <w:r w:rsidRPr="00BA5C4A">
              <w:rPr>
                <w:rFonts w:ascii="Arial" w:hAnsi="Arial" w:cs="Arial"/>
                <w:i/>
                <w:iCs/>
                <w:sz w:val="16"/>
                <w:szCs w:val="16"/>
              </w:rPr>
              <w:t>Waarvan juridisch verplicht</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i/>
                <w:iCs/>
                <w:sz w:val="16"/>
                <w:szCs w:val="16"/>
              </w:rPr>
            </w:pPr>
            <w:r w:rsidRPr="00BA5C4A">
              <w:rPr>
                <w:rFonts w:cs="Arial"/>
                <w:i/>
                <w:iCs/>
                <w:sz w:val="16"/>
                <w:szCs w:val="16"/>
              </w:rPr>
              <w:t>99,40%</w:t>
            </w: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32.2 Adequate toegang tot het rechtsbestel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r w:rsidRPr="00BA5C4A">
              <w:rPr>
                <w:rFonts w:cs="Arial"/>
                <w:b/>
                <w:bCs/>
                <w:sz w:val="16"/>
                <w:szCs w:val="16"/>
              </w:rPr>
              <w:t>Bijdragen aan ZBO's/</w:t>
            </w:r>
            <w:proofErr w:type="spellStart"/>
            <w:r w:rsidRPr="00BA5C4A">
              <w:rPr>
                <w:rFonts w:cs="Arial"/>
                <w:b/>
                <w:bCs/>
                <w:sz w:val="16"/>
                <w:szCs w:val="16"/>
              </w:rPr>
              <w:t>RWT's</w:t>
            </w:r>
            <w:proofErr w:type="spellEnd"/>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Raad voor Rechtsbijstand</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50.813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50.813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227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51.040</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Bureau Financieel Toezicht</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2.398</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6.398</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6.408</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Subsidies</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Stichting geschillencommissies voor Consumentenzaken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1.216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1.323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1.328</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Overig toegang rechtsbestel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178</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178</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151</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329</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Opdrachten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Wet Schuldsanering Natuurlijke Personen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15.414</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15.414</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15.479</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Toevoegingen rechtsbijstand</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383.507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382.034</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960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382.994</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Overig toegang rechtsbestel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1.608</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3.991</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-2.643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1.348</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1E2C92" w:rsidTr="00250DD1">
        <w:trPr>
          <w:trHeight w:val="225"/>
        </w:trPr>
        <w:tc>
          <w:tcPr>
            <w:tcW w:w="3493" w:type="pct"/>
            <w:gridSpan w:val="3"/>
            <w:tcBorders>
              <w:top w:val="nil"/>
              <w:left w:val="nil"/>
              <w:bottom w:val="nil"/>
              <w:right w:val="nil"/>
            </w:tcBorders>
            <w:shd w:val="clear" w:color="auto" w:fill="auto"/>
            <w:noWrap/>
            <w:vAlign w:val="bottom"/>
            <w:hideMark/>
          </w:tcPr>
          <w:p w:rsidR="00B20925" w:rsidRPr="001E2C92" w:rsidRDefault="00B20925" w:rsidP="00250DD1">
            <w:pPr>
              <w:rPr>
                <w:rFonts w:ascii="Arial" w:hAnsi="Arial" w:cs="Arial"/>
                <w:b/>
                <w:sz w:val="16"/>
                <w:szCs w:val="16"/>
              </w:rPr>
            </w:pPr>
            <w:r w:rsidRPr="001E2C92">
              <w:rPr>
                <w:rFonts w:ascii="Arial" w:hAnsi="Arial" w:cs="Arial"/>
                <w:b/>
                <w:sz w:val="16"/>
                <w:szCs w:val="16"/>
              </w:rPr>
              <w:t>32.3 Optimale randvoorwaarden voor een doelmatig en doeltreffend rechtsbestel</w:t>
            </w:r>
          </w:p>
        </w:tc>
        <w:tc>
          <w:tcPr>
            <w:tcW w:w="502" w:type="pct"/>
            <w:tcBorders>
              <w:top w:val="nil"/>
              <w:left w:val="nil"/>
              <w:bottom w:val="nil"/>
              <w:right w:val="nil"/>
            </w:tcBorders>
            <w:shd w:val="clear" w:color="auto" w:fill="auto"/>
            <w:noWrap/>
            <w:vAlign w:val="bottom"/>
            <w:hideMark/>
          </w:tcPr>
          <w:p w:rsidR="00B20925" w:rsidRPr="001E2C92" w:rsidRDefault="00B20925" w:rsidP="00250DD1">
            <w:pPr>
              <w:rPr>
                <w:rFonts w:cs="Arial"/>
                <w:b/>
                <w:sz w:val="16"/>
                <w:szCs w:val="16"/>
              </w:rPr>
            </w:pPr>
          </w:p>
        </w:tc>
        <w:tc>
          <w:tcPr>
            <w:tcW w:w="502" w:type="pct"/>
            <w:tcBorders>
              <w:top w:val="nil"/>
              <w:left w:val="nil"/>
              <w:bottom w:val="nil"/>
              <w:right w:val="nil"/>
            </w:tcBorders>
            <w:shd w:val="clear" w:color="auto" w:fill="auto"/>
            <w:noWrap/>
            <w:vAlign w:val="bottom"/>
            <w:hideMark/>
          </w:tcPr>
          <w:p w:rsidR="00B20925" w:rsidRPr="001E2C92" w:rsidRDefault="00B20925" w:rsidP="00250DD1">
            <w:pPr>
              <w:rPr>
                <w:rFonts w:cs="Arial"/>
                <w:b/>
                <w:sz w:val="16"/>
                <w:szCs w:val="16"/>
              </w:rPr>
            </w:pPr>
          </w:p>
        </w:tc>
        <w:tc>
          <w:tcPr>
            <w:tcW w:w="502" w:type="pct"/>
            <w:tcBorders>
              <w:top w:val="nil"/>
              <w:left w:val="nil"/>
              <w:bottom w:val="nil"/>
              <w:right w:val="nil"/>
            </w:tcBorders>
            <w:shd w:val="clear" w:color="auto" w:fill="auto"/>
            <w:noWrap/>
            <w:vAlign w:val="bottom"/>
            <w:hideMark/>
          </w:tcPr>
          <w:p w:rsidR="00B20925" w:rsidRPr="001E2C92" w:rsidRDefault="00B20925" w:rsidP="00250DD1">
            <w:pPr>
              <w:rPr>
                <w:rFonts w:cs="Arial"/>
                <w:b/>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Bijdrage aan Raad voor de rechtspraak</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1.011.452</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985.804</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1.046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986.850</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r w:rsidRPr="00BA5C4A">
              <w:rPr>
                <w:rFonts w:cs="Arial"/>
                <w:b/>
                <w:bCs/>
                <w:sz w:val="16"/>
                <w:szCs w:val="16"/>
              </w:rPr>
              <w:t>Bijdragen aan ZBO's/</w:t>
            </w:r>
            <w:proofErr w:type="spellStart"/>
            <w:r w:rsidRPr="00BA5C4A">
              <w:rPr>
                <w:rFonts w:cs="Arial"/>
                <w:b/>
                <w:bCs/>
                <w:sz w:val="16"/>
                <w:szCs w:val="16"/>
              </w:rPr>
              <w:t>RWT's</w:t>
            </w:r>
            <w:proofErr w:type="spellEnd"/>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College Bescherming Persoonsgegevens</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8.185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8.185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8.201</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College voor de Rechten van de Mens</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6.066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6.166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12</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6.178</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Centraal Administratie Kantoor</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2.212</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2.212</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Overig optimale randvoorwaarden rechtsbestel</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685</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1.026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1.027</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r w:rsidRPr="00BA5C4A">
              <w:rPr>
                <w:rFonts w:cs="Arial"/>
                <w:b/>
                <w:bCs/>
                <w:sz w:val="16"/>
                <w:szCs w:val="16"/>
              </w:rPr>
              <w:t>Bijdragen aan medeoverheden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Bijdragen rechtspleging</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86</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Subsidies</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b/>
                <w:bCs/>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Subsidies rechtspleging</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897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897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4</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901</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Subsidies wetgeving</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1.433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1.433</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6</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1.439</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Opdrachten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Opdrachten en onderzoeken rechtspleging</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167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167</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168</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r w:rsidR="00B20925" w:rsidRPr="00BA5C4A" w:rsidTr="00250DD1">
        <w:trPr>
          <w:trHeight w:val="225"/>
        </w:trPr>
        <w:tc>
          <w:tcPr>
            <w:tcW w:w="2942" w:type="pct"/>
            <w:gridSpan w:val="2"/>
            <w:tcBorders>
              <w:top w:val="nil"/>
              <w:left w:val="nil"/>
              <w:bottom w:val="nil"/>
              <w:right w:val="nil"/>
            </w:tcBorders>
            <w:shd w:val="clear" w:color="auto" w:fill="auto"/>
            <w:noWrap/>
            <w:vAlign w:val="bottom"/>
            <w:hideMark/>
          </w:tcPr>
          <w:p w:rsidR="00B20925" w:rsidRPr="00BA5C4A" w:rsidRDefault="00B20925" w:rsidP="00250DD1">
            <w:pPr>
              <w:rPr>
                <w:rFonts w:ascii="Arial" w:hAnsi="Arial" w:cs="Arial"/>
                <w:b/>
                <w:bCs/>
                <w:sz w:val="16"/>
                <w:szCs w:val="16"/>
              </w:rPr>
            </w:pPr>
            <w:r w:rsidRPr="00BA5C4A">
              <w:rPr>
                <w:rFonts w:ascii="Arial" w:hAnsi="Arial" w:cs="Arial"/>
                <w:b/>
                <w:bCs/>
                <w:sz w:val="16"/>
                <w:szCs w:val="16"/>
              </w:rPr>
              <w:t>Ontvangsten</w:t>
            </w:r>
          </w:p>
        </w:tc>
        <w:tc>
          <w:tcPr>
            <w:tcW w:w="551"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313.839</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250.310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-19.000</w:t>
            </w:r>
          </w:p>
        </w:tc>
        <w:tc>
          <w:tcPr>
            <w:tcW w:w="502" w:type="pct"/>
            <w:tcBorders>
              <w:top w:val="nil"/>
              <w:left w:val="nil"/>
              <w:bottom w:val="nil"/>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231.310</w:t>
            </w:r>
          </w:p>
        </w:tc>
      </w:tr>
      <w:tr w:rsidR="00B20925" w:rsidRPr="00BA5C4A" w:rsidTr="00250DD1">
        <w:trPr>
          <w:trHeight w:val="225"/>
        </w:trPr>
        <w:tc>
          <w:tcPr>
            <w:tcW w:w="90" w:type="pct"/>
            <w:tcBorders>
              <w:top w:val="nil"/>
              <w:left w:val="nil"/>
              <w:bottom w:val="single" w:sz="4" w:space="0" w:color="auto"/>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 </w:t>
            </w:r>
          </w:p>
        </w:tc>
        <w:tc>
          <w:tcPr>
            <w:tcW w:w="2852" w:type="pct"/>
            <w:tcBorders>
              <w:top w:val="nil"/>
              <w:left w:val="nil"/>
              <w:bottom w:val="single" w:sz="4" w:space="0" w:color="auto"/>
              <w:right w:val="nil"/>
            </w:tcBorders>
            <w:shd w:val="clear" w:color="auto" w:fill="auto"/>
            <w:noWrap/>
            <w:vAlign w:val="bottom"/>
            <w:hideMark/>
          </w:tcPr>
          <w:p w:rsidR="00B20925" w:rsidRPr="00BA5C4A" w:rsidRDefault="00B20925" w:rsidP="00250DD1">
            <w:pPr>
              <w:rPr>
                <w:rFonts w:ascii="Arial" w:hAnsi="Arial" w:cs="Arial"/>
                <w:sz w:val="16"/>
                <w:szCs w:val="16"/>
              </w:rPr>
            </w:pPr>
            <w:r w:rsidRPr="00BA5C4A">
              <w:rPr>
                <w:rFonts w:ascii="Arial" w:hAnsi="Arial" w:cs="Arial"/>
                <w:sz w:val="16"/>
                <w:szCs w:val="16"/>
              </w:rPr>
              <w:t>waarvan griffie</w:t>
            </w:r>
          </w:p>
        </w:tc>
        <w:tc>
          <w:tcPr>
            <w:tcW w:w="551" w:type="pct"/>
            <w:tcBorders>
              <w:top w:val="nil"/>
              <w:left w:val="nil"/>
              <w:bottom w:val="single" w:sz="4" w:space="0" w:color="auto"/>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306.226</w:t>
            </w:r>
          </w:p>
        </w:tc>
        <w:tc>
          <w:tcPr>
            <w:tcW w:w="502" w:type="pct"/>
            <w:tcBorders>
              <w:top w:val="nil"/>
              <w:left w:val="nil"/>
              <w:bottom w:val="single" w:sz="4" w:space="0" w:color="auto"/>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245.826</w:t>
            </w:r>
          </w:p>
        </w:tc>
        <w:tc>
          <w:tcPr>
            <w:tcW w:w="502" w:type="pct"/>
            <w:tcBorders>
              <w:top w:val="nil"/>
              <w:left w:val="nil"/>
              <w:bottom w:val="single" w:sz="4" w:space="0" w:color="auto"/>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-19.000</w:t>
            </w:r>
          </w:p>
        </w:tc>
        <w:tc>
          <w:tcPr>
            <w:tcW w:w="502" w:type="pct"/>
            <w:tcBorders>
              <w:top w:val="nil"/>
              <w:left w:val="nil"/>
              <w:bottom w:val="single" w:sz="4" w:space="0" w:color="auto"/>
              <w:right w:val="nil"/>
            </w:tcBorders>
            <w:shd w:val="clear" w:color="auto" w:fill="auto"/>
            <w:noWrap/>
            <w:vAlign w:val="bottom"/>
            <w:hideMark/>
          </w:tcPr>
          <w:p w:rsidR="00B20925" w:rsidRPr="00BA5C4A" w:rsidRDefault="00B20925" w:rsidP="00250DD1">
            <w:pPr>
              <w:jc w:val="right"/>
              <w:rPr>
                <w:rFonts w:cs="Arial"/>
                <w:sz w:val="16"/>
                <w:szCs w:val="16"/>
              </w:rPr>
            </w:pPr>
            <w:r w:rsidRPr="00BA5C4A">
              <w:rPr>
                <w:rFonts w:cs="Arial"/>
                <w:sz w:val="16"/>
                <w:szCs w:val="16"/>
              </w:rPr>
              <w:t>226.826</w:t>
            </w:r>
          </w:p>
        </w:tc>
      </w:tr>
      <w:tr w:rsidR="00B20925" w:rsidRPr="00BA5C4A" w:rsidTr="00250DD1">
        <w:trPr>
          <w:trHeight w:val="225"/>
        </w:trPr>
        <w:tc>
          <w:tcPr>
            <w:tcW w:w="90"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285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51"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c>
          <w:tcPr>
            <w:tcW w:w="502" w:type="pct"/>
            <w:tcBorders>
              <w:top w:val="nil"/>
              <w:left w:val="nil"/>
              <w:bottom w:val="nil"/>
              <w:right w:val="nil"/>
            </w:tcBorders>
            <w:shd w:val="clear" w:color="auto" w:fill="auto"/>
            <w:noWrap/>
            <w:vAlign w:val="bottom"/>
            <w:hideMark/>
          </w:tcPr>
          <w:p w:rsidR="00B20925" w:rsidRPr="00BA5C4A" w:rsidRDefault="00B20925" w:rsidP="00250DD1">
            <w:pPr>
              <w:rPr>
                <w:rFonts w:cs="Arial"/>
                <w:sz w:val="16"/>
                <w:szCs w:val="16"/>
              </w:rPr>
            </w:pPr>
          </w:p>
        </w:tc>
      </w:tr>
    </w:tbl>
    <w:p w:rsidR="00B20925" w:rsidRDefault="00B20925" w:rsidP="00B20925">
      <w:pPr>
        <w:tabs>
          <w:tab w:val="left" w:pos="851"/>
        </w:tabs>
        <w:rPr>
          <w:rFonts w:ascii="Verdana" w:hAnsi="Verdana" w:cs="Arial"/>
          <w:b/>
          <w:sz w:val="22"/>
          <w:szCs w:val="22"/>
        </w:rPr>
      </w:pPr>
    </w:p>
    <w:p w:rsidR="00B20925" w:rsidRDefault="00B20925" w:rsidP="00B20925">
      <w:pPr>
        <w:tabs>
          <w:tab w:val="left" w:pos="851"/>
        </w:tabs>
        <w:rPr>
          <w:rFonts w:ascii="Verdana" w:hAnsi="Verdana" w:cs="Arial"/>
          <w:b/>
          <w:sz w:val="22"/>
          <w:szCs w:val="22"/>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p>
    <w:p w:rsidR="00B20925" w:rsidRPr="00BC1BB1" w:rsidRDefault="00B20925" w:rsidP="00B20925">
      <w:pPr>
        <w:tabs>
          <w:tab w:val="left" w:pos="851"/>
        </w:tabs>
        <w:rPr>
          <w:rFonts w:ascii="Verdana" w:hAnsi="Verdana" w:cs="Arial"/>
          <w:b/>
        </w:rPr>
      </w:pPr>
      <w:r w:rsidRPr="00BC1BB1">
        <w:rPr>
          <w:rFonts w:ascii="Verdana" w:hAnsi="Verdana" w:cs="Arial"/>
          <w:b/>
        </w:rPr>
        <w:t>Toelichting op beleidsartikel 32</w:t>
      </w: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sz w:val="18"/>
          <w:szCs w:val="18"/>
        </w:rPr>
      </w:pPr>
      <w:r w:rsidRPr="00BC1BB1">
        <w:rPr>
          <w:rFonts w:ascii="Verdana" w:hAnsi="Verdana" w:cs="Arial"/>
          <w:b/>
        </w:rPr>
        <w:t xml:space="preserve">Mutaties </w:t>
      </w:r>
      <w:r>
        <w:rPr>
          <w:rFonts w:ascii="Verdana" w:hAnsi="Verdana" w:cs="Arial"/>
          <w:b/>
        </w:rPr>
        <w:t>uitgaven</w:t>
      </w:r>
      <w:r>
        <w:rPr>
          <w:rFonts w:ascii="Verdana" w:hAnsi="Verdana" w:cs="Arial"/>
          <w:b/>
        </w:rPr>
        <w:br/>
      </w:r>
    </w:p>
    <w:p w:rsidR="00B20925" w:rsidRPr="00313E4B" w:rsidRDefault="00B20925" w:rsidP="00B20925">
      <w:pPr>
        <w:tabs>
          <w:tab w:val="left" w:pos="851"/>
        </w:tabs>
        <w:rPr>
          <w:rFonts w:ascii="Verdana" w:hAnsi="Verdana" w:cs="Arial"/>
          <w:i/>
          <w:sz w:val="18"/>
          <w:szCs w:val="18"/>
        </w:rPr>
      </w:pPr>
      <w:r w:rsidRPr="00313E4B">
        <w:rPr>
          <w:rFonts w:ascii="Verdana" w:hAnsi="Verdana" w:cs="Arial"/>
          <w:i/>
          <w:sz w:val="18"/>
          <w:szCs w:val="18"/>
        </w:rPr>
        <w:t>Centraal Administratie Kantoor (CAK)</w:t>
      </w:r>
    </w:p>
    <w:p w:rsidR="00B20925" w:rsidRDefault="00B20925" w:rsidP="00B20925">
      <w:pPr>
        <w:tabs>
          <w:tab w:val="left" w:pos="851"/>
        </w:tabs>
        <w:rPr>
          <w:rFonts w:ascii="Verdana" w:hAnsi="Verdana" w:cs="Arial"/>
          <w:sz w:val="18"/>
          <w:szCs w:val="18"/>
        </w:rPr>
      </w:pPr>
      <w:r>
        <w:rPr>
          <w:rFonts w:ascii="Verdana" w:hAnsi="Verdana" w:cs="Arial"/>
          <w:sz w:val="18"/>
          <w:szCs w:val="18"/>
        </w:rPr>
        <w:t xml:space="preserve">Betreft de implementatiekosten voor circa € 2,5 mln. voor de Regeerakkoord-maatregel bijdrageregelingen. In 2015 wordt de implementatie van twee maatregelen uit het Regeerakkoord voorzien, waarmee een eigen bijdrage wordt geïntroduceerd voor de kosten van het strafproces en slachtofferzorg en een bijdrage voor de kosten van verblijf in een justitiële inrichting. </w:t>
      </w:r>
      <w:proofErr w:type="spellStart"/>
      <w:r>
        <w:rPr>
          <w:rFonts w:ascii="Verdana" w:hAnsi="Verdana" w:cs="Arial"/>
          <w:sz w:val="18"/>
          <w:szCs w:val="18"/>
        </w:rPr>
        <w:t>VenJ</w:t>
      </w:r>
      <w:proofErr w:type="spellEnd"/>
      <w:r>
        <w:rPr>
          <w:rFonts w:ascii="Verdana" w:hAnsi="Verdana" w:cs="Arial"/>
          <w:sz w:val="18"/>
          <w:szCs w:val="18"/>
        </w:rPr>
        <w:t xml:space="preserve"> heeft het CAK (een ZBO onder het ministerie van VWS) aangewezen als uitvoerder van de regelingen. </w:t>
      </w:r>
    </w:p>
    <w:p w:rsidR="00B20925" w:rsidRPr="00C14DBC" w:rsidRDefault="00B20925" w:rsidP="00B20925">
      <w:pPr>
        <w:tabs>
          <w:tab w:val="left" w:pos="851"/>
        </w:tabs>
        <w:rPr>
          <w:rFonts w:ascii="Verdana" w:hAnsi="Verdana" w:cs="Arial"/>
          <w:sz w:val="18"/>
          <w:szCs w:val="18"/>
        </w:rPr>
      </w:pPr>
    </w:p>
    <w:p w:rsidR="00B20925" w:rsidRDefault="00B20925" w:rsidP="00B20925">
      <w:pPr>
        <w:tabs>
          <w:tab w:val="left" w:pos="851"/>
        </w:tabs>
        <w:rPr>
          <w:rFonts w:ascii="Verdana" w:hAnsi="Verdana" w:cs="Arial"/>
          <w:b/>
        </w:rPr>
      </w:pPr>
    </w:p>
    <w:p w:rsidR="00B20925" w:rsidRPr="00BC1BB1" w:rsidRDefault="00B20925" w:rsidP="00B20925">
      <w:pPr>
        <w:tabs>
          <w:tab w:val="left" w:pos="851"/>
        </w:tabs>
        <w:rPr>
          <w:rFonts w:ascii="Verdana" w:hAnsi="Verdana" w:cs="Arial"/>
          <w:b/>
        </w:rPr>
      </w:pPr>
      <w:r w:rsidRPr="00BC1BB1">
        <w:rPr>
          <w:rFonts w:ascii="Verdana" w:hAnsi="Verdana" w:cs="Arial"/>
          <w:b/>
        </w:rPr>
        <w:t>Mutaties ontvangsten</w:t>
      </w:r>
    </w:p>
    <w:p w:rsidR="00B20925" w:rsidRDefault="00B20925" w:rsidP="00B20925">
      <w:pPr>
        <w:rPr>
          <w:rFonts w:ascii="Verdana" w:hAnsi="Verdana" w:cs="Arial"/>
          <w:i/>
          <w:sz w:val="18"/>
          <w:szCs w:val="18"/>
        </w:rPr>
      </w:pPr>
    </w:p>
    <w:p w:rsidR="00B20925" w:rsidRDefault="00B20925" w:rsidP="00B20925">
      <w:pPr>
        <w:rPr>
          <w:rFonts w:ascii="Verdana" w:hAnsi="Verdana" w:cs="Arial"/>
          <w:i/>
          <w:sz w:val="18"/>
          <w:szCs w:val="18"/>
        </w:rPr>
      </w:pPr>
    </w:p>
    <w:p w:rsidR="00B20925" w:rsidRPr="00AC108A" w:rsidRDefault="00B20925" w:rsidP="00B20925">
      <w:pPr>
        <w:rPr>
          <w:rFonts w:ascii="Verdana" w:hAnsi="Verdana" w:cs="Arial"/>
          <w:i/>
          <w:sz w:val="18"/>
          <w:szCs w:val="18"/>
        </w:rPr>
      </w:pPr>
      <w:r w:rsidRPr="00AC108A">
        <w:rPr>
          <w:rFonts w:ascii="Verdana" w:hAnsi="Verdana" w:cs="Arial"/>
          <w:i/>
          <w:sz w:val="18"/>
          <w:szCs w:val="18"/>
        </w:rPr>
        <w:t>Griffierechten</w:t>
      </w:r>
    </w:p>
    <w:p w:rsidR="00B20925" w:rsidRPr="00AC108A" w:rsidRDefault="00B20925" w:rsidP="00B20925">
      <w:pPr>
        <w:ind w:hanging="1"/>
        <w:rPr>
          <w:rFonts w:ascii="Verdana" w:hAnsi="Verdana" w:cs="Arial"/>
          <w:sz w:val="18"/>
          <w:szCs w:val="18"/>
        </w:rPr>
      </w:pPr>
      <w:r w:rsidRPr="00AC108A">
        <w:rPr>
          <w:rFonts w:ascii="Verdana" w:hAnsi="Verdana" w:cs="Arial"/>
          <w:sz w:val="18"/>
          <w:szCs w:val="18"/>
        </w:rPr>
        <w:t xml:space="preserve">Als </w:t>
      </w:r>
      <w:r w:rsidRPr="00AC108A">
        <w:rPr>
          <w:rFonts w:ascii="Verdana" w:eastAsia="Calibri" w:hAnsi="Verdana" w:cs="Calibri"/>
          <w:sz w:val="18"/>
          <w:szCs w:val="18"/>
          <w:lang w:eastAsia="en-US"/>
        </w:rPr>
        <w:t xml:space="preserve">gevolg van een vertraging </w:t>
      </w:r>
      <w:r>
        <w:rPr>
          <w:rFonts w:ascii="Verdana" w:eastAsia="Calibri" w:hAnsi="Verdana" w:cs="Calibri"/>
          <w:sz w:val="18"/>
          <w:szCs w:val="18"/>
          <w:lang w:eastAsia="en-US"/>
        </w:rPr>
        <w:t xml:space="preserve">van de </w:t>
      </w:r>
      <w:r w:rsidRPr="00AC108A">
        <w:rPr>
          <w:rFonts w:ascii="Verdana" w:eastAsia="Calibri" w:hAnsi="Verdana" w:cs="Calibri"/>
          <w:sz w:val="18"/>
          <w:szCs w:val="18"/>
          <w:lang w:eastAsia="en-US"/>
        </w:rPr>
        <w:t>invoering</w:t>
      </w:r>
      <w:r>
        <w:rPr>
          <w:rFonts w:ascii="Verdana" w:eastAsia="Calibri" w:hAnsi="Verdana" w:cs="Calibri"/>
          <w:sz w:val="18"/>
          <w:szCs w:val="18"/>
          <w:lang w:eastAsia="en-US"/>
        </w:rPr>
        <w:t xml:space="preserve"> van het</w:t>
      </w:r>
      <w:r w:rsidRPr="00AC108A">
        <w:rPr>
          <w:rFonts w:ascii="Verdana" w:eastAsia="Calibri" w:hAnsi="Verdana" w:cs="Calibri"/>
          <w:sz w:val="18"/>
          <w:szCs w:val="18"/>
          <w:lang w:eastAsia="en-US"/>
        </w:rPr>
        <w:t xml:space="preserve"> wetsvoorstel aanpassing griffierechten wordt een tegenvaller van € 19 mln. in 2014 verwacht. Het besparingsverlies wordt binnen de begroting van </w:t>
      </w:r>
      <w:proofErr w:type="spellStart"/>
      <w:r w:rsidRPr="00AC108A">
        <w:rPr>
          <w:rFonts w:ascii="Verdana" w:eastAsia="Calibri" w:hAnsi="Verdana" w:cs="Calibri"/>
          <w:sz w:val="18"/>
          <w:szCs w:val="18"/>
          <w:lang w:eastAsia="en-US"/>
        </w:rPr>
        <w:t>VenJ</w:t>
      </w:r>
      <w:proofErr w:type="spellEnd"/>
      <w:r w:rsidRPr="00AC108A">
        <w:rPr>
          <w:rFonts w:ascii="Verdana" w:eastAsia="Calibri" w:hAnsi="Verdana" w:cs="Calibri"/>
          <w:sz w:val="18"/>
          <w:szCs w:val="18"/>
          <w:lang w:eastAsia="en-US"/>
        </w:rPr>
        <w:t xml:space="preserve"> van dekking voorzien.</w:t>
      </w:r>
      <w:r w:rsidRPr="00AC108A">
        <w:rPr>
          <w:rFonts w:ascii="Verdana" w:hAnsi="Verdana" w:cs="Arial"/>
          <w:sz w:val="18"/>
          <w:szCs w:val="18"/>
        </w:rPr>
        <w:t xml:space="preserve"> Zie ook tabel belangrijkste ontvangsten.</w:t>
      </w:r>
    </w:p>
    <w:p w:rsidR="00B20925" w:rsidRPr="00BC1BB1" w:rsidRDefault="00B20925" w:rsidP="00B20925">
      <w:pPr>
        <w:rPr>
          <w:rFonts w:ascii="Verdana" w:hAnsi="Verdana"/>
        </w:rPr>
      </w:pPr>
    </w:p>
    <w:p w:rsidR="00B20925" w:rsidRPr="00BC1BB1" w:rsidRDefault="00B20925" w:rsidP="00B20925">
      <w:pPr>
        <w:rPr>
          <w:rFonts w:ascii="Verdana" w:hAnsi="Verdana"/>
        </w:rPr>
      </w:pPr>
    </w:p>
    <w:p w:rsidR="00B20925" w:rsidRPr="00BC1BB1" w:rsidRDefault="00B20925" w:rsidP="00B20925">
      <w:pPr>
        <w:tabs>
          <w:tab w:val="left" w:pos="851"/>
        </w:tabs>
        <w:rPr>
          <w:rFonts w:ascii="Verdana" w:hAnsi="Verdana" w:cs="Arial"/>
          <w:b/>
        </w:rPr>
      </w:pPr>
    </w:p>
    <w:p w:rsidR="00B20925" w:rsidRPr="00BC1BB1" w:rsidRDefault="00B20925" w:rsidP="00B20925">
      <w:pPr>
        <w:rPr>
          <w:rFonts w:ascii="Verdana" w:hAnsi="Verdana" w:cs="Arial"/>
          <w:b/>
        </w:rPr>
      </w:pPr>
    </w:p>
    <w:p w:rsidR="00B20925" w:rsidRDefault="00B20925" w:rsidP="00B20925">
      <w:pPr>
        <w:rPr>
          <w:rFonts w:ascii="Verdana" w:hAnsi="Verdana" w:cs="Arial"/>
          <w:b/>
        </w:rPr>
      </w:pPr>
      <w:r w:rsidRPr="00BC1BB1">
        <w:rPr>
          <w:rFonts w:ascii="Verdana" w:hAnsi="Verdana" w:cs="Arial"/>
          <w:b/>
        </w:rPr>
        <w:br w:type="page"/>
      </w:r>
      <w:r w:rsidRPr="00BC1BB1">
        <w:rPr>
          <w:rFonts w:ascii="Verdana" w:hAnsi="Verdana" w:cs="Arial"/>
          <w:b/>
        </w:rPr>
        <w:lastRenderedPageBreak/>
        <w:t>33 Veiligheid en criminaliteitsbestrijding</w:t>
      </w:r>
    </w:p>
    <w:p w:rsidR="00B20925" w:rsidRPr="00B81A0B" w:rsidRDefault="00B20925" w:rsidP="00B20925">
      <w:pPr>
        <w:rPr>
          <w:rFonts w:ascii="Verdana" w:hAnsi="Verdana" w:cs="Arial"/>
          <w:b/>
          <w:sz w:val="22"/>
          <w:szCs w:val="22"/>
        </w:rPr>
      </w:pPr>
    </w:p>
    <w:tbl>
      <w:tblPr>
        <w:tblW w:w="5000" w:type="pct"/>
        <w:tblCellMar>
          <w:left w:w="70" w:type="dxa"/>
          <w:right w:w="70" w:type="dxa"/>
        </w:tblCellMar>
        <w:tblLook w:val="04A0" w:firstRow="1" w:lastRow="0" w:firstColumn="1" w:lastColumn="0" w:noHBand="0" w:noVBand="1"/>
      </w:tblPr>
      <w:tblGrid>
        <w:gridCol w:w="178"/>
        <w:gridCol w:w="4803"/>
        <w:gridCol w:w="922"/>
        <w:gridCol w:w="851"/>
        <w:gridCol w:w="851"/>
        <w:gridCol w:w="851"/>
      </w:tblGrid>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Budgettaire gevolgen van beleid</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x € 1.000</w:t>
            </w:r>
          </w:p>
        </w:tc>
      </w:tr>
      <w:tr w:rsidR="00B20925" w:rsidRPr="00D83D12" w:rsidTr="00250DD1">
        <w:trPr>
          <w:trHeight w:val="675"/>
        </w:trPr>
        <w:tc>
          <w:tcPr>
            <w:tcW w:w="106" w:type="pct"/>
            <w:tcBorders>
              <w:top w:val="single" w:sz="4" w:space="0" w:color="auto"/>
              <w:left w:val="nil"/>
              <w:bottom w:val="single" w:sz="4" w:space="0" w:color="auto"/>
              <w:right w:val="nil"/>
            </w:tcBorders>
            <w:shd w:val="clear" w:color="000000" w:fill="FFFFCC"/>
            <w:noWrap/>
            <w:hideMark/>
          </w:tcPr>
          <w:p w:rsidR="00B20925" w:rsidRPr="00D83D12" w:rsidRDefault="00B20925" w:rsidP="00250DD1">
            <w:pPr>
              <w:rPr>
                <w:rFonts w:cs="Arial"/>
                <w:b/>
                <w:bCs/>
                <w:sz w:val="16"/>
                <w:szCs w:val="16"/>
              </w:rPr>
            </w:pPr>
            <w:r w:rsidRPr="00D83D12">
              <w:rPr>
                <w:rFonts w:cs="Arial"/>
                <w:b/>
                <w:bCs/>
                <w:sz w:val="16"/>
                <w:szCs w:val="16"/>
              </w:rPr>
              <w:t> </w:t>
            </w:r>
          </w:p>
        </w:tc>
        <w:tc>
          <w:tcPr>
            <w:tcW w:w="2839" w:type="pct"/>
            <w:tcBorders>
              <w:top w:val="single" w:sz="4" w:space="0" w:color="auto"/>
              <w:left w:val="nil"/>
              <w:bottom w:val="single" w:sz="4" w:space="0" w:color="auto"/>
              <w:right w:val="nil"/>
            </w:tcBorders>
            <w:shd w:val="clear" w:color="000000" w:fill="FFFFCC"/>
            <w:hideMark/>
          </w:tcPr>
          <w:p w:rsidR="00B20925" w:rsidRPr="00D83D12" w:rsidRDefault="00B20925" w:rsidP="00250DD1">
            <w:pPr>
              <w:jc w:val="right"/>
              <w:rPr>
                <w:rFonts w:cs="Arial"/>
                <w:sz w:val="16"/>
                <w:szCs w:val="16"/>
              </w:rPr>
            </w:pPr>
            <w:r w:rsidRPr="00D83D12">
              <w:rPr>
                <w:rFonts w:cs="Arial"/>
                <w:sz w:val="16"/>
                <w:szCs w:val="16"/>
              </w:rPr>
              <w:t> </w:t>
            </w:r>
          </w:p>
        </w:tc>
        <w:tc>
          <w:tcPr>
            <w:tcW w:w="545" w:type="pct"/>
            <w:tcBorders>
              <w:top w:val="single" w:sz="4" w:space="0" w:color="auto"/>
              <w:left w:val="nil"/>
              <w:bottom w:val="single" w:sz="4" w:space="0" w:color="auto"/>
              <w:right w:val="nil"/>
            </w:tcBorders>
            <w:shd w:val="clear" w:color="000000" w:fill="FFFFCC"/>
            <w:hideMark/>
          </w:tcPr>
          <w:p w:rsidR="00B20925" w:rsidRPr="00D83D12" w:rsidRDefault="00B20925" w:rsidP="00250DD1">
            <w:pPr>
              <w:jc w:val="right"/>
              <w:rPr>
                <w:rFonts w:cs="Arial"/>
                <w:sz w:val="16"/>
                <w:szCs w:val="16"/>
              </w:rPr>
            </w:pPr>
            <w:r w:rsidRPr="00D83D12">
              <w:rPr>
                <w:rFonts w:cs="Arial"/>
                <w:sz w:val="16"/>
                <w:szCs w:val="16"/>
              </w:rPr>
              <w:t xml:space="preserve">Stand vastgestelde begroting </w:t>
            </w:r>
          </w:p>
        </w:tc>
        <w:tc>
          <w:tcPr>
            <w:tcW w:w="503" w:type="pct"/>
            <w:tcBorders>
              <w:top w:val="single" w:sz="4" w:space="0" w:color="auto"/>
              <w:left w:val="nil"/>
              <w:bottom w:val="single" w:sz="4" w:space="0" w:color="auto"/>
              <w:right w:val="nil"/>
            </w:tcBorders>
            <w:shd w:val="clear" w:color="000000" w:fill="FFFFCC"/>
            <w:hideMark/>
          </w:tcPr>
          <w:p w:rsidR="00B20925" w:rsidRPr="00D83D12" w:rsidRDefault="00B20925" w:rsidP="00250DD1">
            <w:pPr>
              <w:jc w:val="right"/>
              <w:rPr>
                <w:rFonts w:cs="Arial"/>
                <w:sz w:val="16"/>
                <w:szCs w:val="16"/>
              </w:rPr>
            </w:pPr>
            <w:r w:rsidRPr="00D83D12">
              <w:rPr>
                <w:rFonts w:cs="Arial"/>
                <w:sz w:val="16"/>
                <w:szCs w:val="16"/>
              </w:rPr>
              <w:t>Stand 1e suppletoire begroting</w:t>
            </w:r>
          </w:p>
        </w:tc>
        <w:tc>
          <w:tcPr>
            <w:tcW w:w="503" w:type="pct"/>
            <w:tcBorders>
              <w:top w:val="single" w:sz="4" w:space="0" w:color="auto"/>
              <w:left w:val="nil"/>
              <w:bottom w:val="single" w:sz="4" w:space="0" w:color="auto"/>
              <w:right w:val="nil"/>
            </w:tcBorders>
            <w:shd w:val="clear" w:color="000000" w:fill="FFFFCC"/>
            <w:hideMark/>
          </w:tcPr>
          <w:p w:rsidR="00B20925" w:rsidRPr="00D83D12" w:rsidRDefault="00B20925" w:rsidP="00250DD1">
            <w:pPr>
              <w:jc w:val="right"/>
              <w:rPr>
                <w:rFonts w:cs="Arial"/>
                <w:sz w:val="16"/>
                <w:szCs w:val="16"/>
              </w:rPr>
            </w:pPr>
            <w:r w:rsidRPr="00D83D12">
              <w:rPr>
                <w:rFonts w:cs="Arial"/>
                <w:sz w:val="16"/>
                <w:szCs w:val="16"/>
              </w:rPr>
              <w:t>Mutaties 2e suppletoire begroting</w:t>
            </w:r>
          </w:p>
        </w:tc>
        <w:tc>
          <w:tcPr>
            <w:tcW w:w="503" w:type="pct"/>
            <w:tcBorders>
              <w:top w:val="single" w:sz="4" w:space="0" w:color="auto"/>
              <w:left w:val="nil"/>
              <w:bottom w:val="single" w:sz="4" w:space="0" w:color="auto"/>
              <w:right w:val="nil"/>
            </w:tcBorders>
            <w:shd w:val="clear" w:color="000000" w:fill="FFFFCC"/>
            <w:hideMark/>
          </w:tcPr>
          <w:p w:rsidR="00B20925" w:rsidRPr="00D83D12" w:rsidRDefault="00B20925" w:rsidP="00250DD1">
            <w:pPr>
              <w:jc w:val="right"/>
              <w:rPr>
                <w:rFonts w:cs="Arial"/>
                <w:sz w:val="16"/>
                <w:szCs w:val="16"/>
              </w:rPr>
            </w:pPr>
            <w:r w:rsidRPr="00D83D12">
              <w:rPr>
                <w:rFonts w:cs="Arial"/>
                <w:sz w:val="16"/>
                <w:szCs w:val="16"/>
              </w:rPr>
              <w:t>Stand 2e suppletoire begroting</w:t>
            </w: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Verplichtingen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742.753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702.576</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15.821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718.397</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33.1 Apparaatsuitgaven Openbaar Ministerie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b/>
                <w:bCs/>
                <w:sz w:val="16"/>
                <w:szCs w:val="16"/>
              </w:rPr>
            </w:pPr>
            <w:r w:rsidRPr="00D83D12">
              <w:rPr>
                <w:rFonts w:ascii="Arial" w:hAnsi="Arial" w:cs="Arial"/>
                <w:b/>
                <w:bCs/>
                <w:sz w:val="16"/>
                <w:szCs w:val="16"/>
              </w:rPr>
              <w:t>Personeel</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354.299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361.103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8.933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370.036</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waarvan eigen personeel</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322.652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329.456</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7.085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336.541</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waarvan externe inhuur</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31.647</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31.647</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1.848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33.495</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waarvan overig personeel</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b/>
                <w:bCs/>
                <w:sz w:val="16"/>
                <w:szCs w:val="16"/>
              </w:rPr>
            </w:pPr>
            <w:r w:rsidRPr="00D83D12">
              <w:rPr>
                <w:rFonts w:ascii="Arial" w:hAnsi="Arial" w:cs="Arial"/>
                <w:b/>
                <w:bCs/>
                <w:sz w:val="16"/>
                <w:szCs w:val="16"/>
              </w:rPr>
              <w:t>Materieel</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109.991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113.112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-42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113.070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waarvan ICT</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39.127</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41.803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42.124</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 xml:space="preserve">waarvan </w:t>
            </w:r>
            <w:proofErr w:type="spellStart"/>
            <w:r w:rsidRPr="00D83D12">
              <w:rPr>
                <w:rFonts w:ascii="Arial" w:hAnsi="Arial" w:cs="Arial"/>
                <w:sz w:val="16"/>
                <w:szCs w:val="16"/>
              </w:rPr>
              <w:t>SSO's</w:t>
            </w:r>
            <w:proofErr w:type="spellEnd"/>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28.704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28.704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28.765</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ascii="Arial" w:hAnsi="Arial" w:cs="Arial"/>
                <w:sz w:val="16"/>
                <w:szCs w:val="16"/>
              </w:rPr>
            </w:pPr>
            <w:r w:rsidRPr="00D83D12">
              <w:rPr>
                <w:rFonts w:ascii="Arial" w:hAnsi="Arial" w:cs="Arial"/>
                <w:sz w:val="16"/>
                <w:szCs w:val="16"/>
              </w:rPr>
              <w:t>waarvan overig materieel</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42.160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42.605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42.181</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Programma-uitgaven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278.463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228.361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6.930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b/>
                <w:bCs/>
                <w:sz w:val="16"/>
                <w:szCs w:val="16"/>
              </w:rPr>
            </w:pPr>
            <w:r w:rsidRPr="00D83D12">
              <w:rPr>
                <w:rFonts w:cs="Arial"/>
                <w:b/>
                <w:bCs/>
                <w:sz w:val="16"/>
                <w:szCs w:val="16"/>
              </w:rPr>
              <w:t>235.291</w:t>
            </w: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i/>
                <w:iCs/>
                <w:sz w:val="16"/>
                <w:szCs w:val="16"/>
              </w:rPr>
            </w:pPr>
            <w:r w:rsidRPr="00D83D12">
              <w:rPr>
                <w:rFonts w:cs="Arial"/>
                <w:i/>
                <w:iCs/>
                <w:sz w:val="16"/>
                <w:szCs w:val="16"/>
              </w:rPr>
              <w:t>Waarvan juridisch verplicht</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i/>
                <w:iCs/>
                <w:sz w:val="16"/>
                <w:szCs w:val="16"/>
              </w:rPr>
            </w:pPr>
            <w:r w:rsidRPr="00D83D12">
              <w:rPr>
                <w:rFonts w:cs="Arial"/>
                <w:i/>
                <w:iCs/>
                <w:sz w:val="16"/>
                <w:szCs w:val="16"/>
              </w:rPr>
              <w:t>93,75%</w:t>
            </w: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33.2 Bestuur, informatie en technologie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Bijdragen aan medeoverheden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roofErr w:type="spellStart"/>
            <w:r w:rsidRPr="00D83D12">
              <w:rPr>
                <w:rFonts w:cs="Arial"/>
                <w:sz w:val="16"/>
                <w:szCs w:val="16"/>
              </w:rPr>
              <w:t>RIEC's</w:t>
            </w:r>
            <w:proofErr w:type="spellEnd"/>
            <w:r w:rsidRPr="00D83D12">
              <w:rPr>
                <w:rFonts w:cs="Arial"/>
                <w:sz w:val="16"/>
                <w:szCs w:val="16"/>
              </w:rPr>
              <w:t>/LIEC</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7.759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6.659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6.672</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Uitstapprogramma's prostituees</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731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731</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Overig bestuur, informatie en technologie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1.524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1.524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1.702</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Subsidies</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Centrum voor Criminaliteitspreventie en Veiligheid</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2.200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Keurmerk Veilig Ondernemen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1.492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1.492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1.498</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Uitstapprogramma's prostituees</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3.000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-2.231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769</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Opdrachten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Overig bestuur, informatie en technologie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1.462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1.982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-1.020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962</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33.3 Opsporing en vervolging</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Bijdragen aan agentschappen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Nederlands Forensisch Instituut</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66.501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66.512</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1.678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68.190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Domeinen Roerende Zaken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12.754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12.754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12.772</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Bijdragen aan ZBO's/</w:t>
            </w:r>
            <w:proofErr w:type="spellStart"/>
            <w:r w:rsidRPr="00D83D12">
              <w:rPr>
                <w:rFonts w:cs="Arial"/>
                <w:b/>
                <w:bCs/>
                <w:sz w:val="16"/>
                <w:szCs w:val="16"/>
              </w:rPr>
              <w:t>RWT's</w:t>
            </w:r>
            <w:proofErr w:type="spellEnd"/>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College gerechtelijk deskundigen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1.723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1.723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1.726</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Nationale Politie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43.773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Bijdrage aan (</w:t>
            </w:r>
            <w:proofErr w:type="spellStart"/>
            <w:r w:rsidRPr="00D83D12">
              <w:rPr>
                <w:rFonts w:cs="Arial"/>
                <w:b/>
                <w:bCs/>
                <w:sz w:val="16"/>
                <w:szCs w:val="16"/>
              </w:rPr>
              <w:t>inter</w:t>
            </w:r>
            <w:proofErr w:type="spellEnd"/>
            <w:r w:rsidRPr="00D83D12">
              <w:rPr>
                <w:rFonts w:cs="Arial"/>
                <w:b/>
                <w:bCs/>
                <w:sz w:val="16"/>
                <w:szCs w:val="16"/>
              </w:rPr>
              <w:t xml:space="preserve">)nationale organisaties, </w:t>
            </w:r>
            <w:proofErr w:type="spellStart"/>
            <w:r w:rsidRPr="00D83D12">
              <w:rPr>
                <w:rFonts w:cs="Arial"/>
                <w:b/>
                <w:bCs/>
                <w:sz w:val="16"/>
                <w:szCs w:val="16"/>
              </w:rPr>
              <w:t>mede-overheden</w:t>
            </w:r>
            <w:proofErr w:type="spellEnd"/>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PV-vergoedingen Bestuurlijke strafbeschikking</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13.411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13.333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-470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12.863</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Staatkundige hervorming Nederlandse Antillen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3.909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3.909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311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4.220</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FIU-Nederland</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4.044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4.044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4.051</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Overig opsporing en vervolging</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2.525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2.375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3.280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5.655</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Subsidies</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Overig opsporing en vervolging</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2.701</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2.106</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2.457</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4.563</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Opdrachten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Schadeloosstellingen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24.988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24.988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5.000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29.988</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Keten Informatie Management</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5.506</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4.323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-3.165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1.158</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Onrechtmatige Detentie</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6.179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6.179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5.000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11.179</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Herontwerp Strafrechtketen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3.500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579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203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782</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Gerechtskosten OM</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25.633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29.633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293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29.926</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Innovatieagenda</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2.599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2.513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-2.474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39</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Verkeershandhaving OM</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32.800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28.709</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1.764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30.473</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Afpakken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10.800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9.900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-7.785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2.115</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Overig opsporing en vervolging</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680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124</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3.133</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3.257</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45"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503"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r>
      <w:tr w:rsidR="00B20925" w:rsidRPr="00D83D12" w:rsidTr="00250DD1">
        <w:trPr>
          <w:trHeight w:val="225"/>
        </w:trPr>
        <w:tc>
          <w:tcPr>
            <w:tcW w:w="2945" w:type="pct"/>
            <w:gridSpan w:val="2"/>
            <w:tcBorders>
              <w:top w:val="nil"/>
              <w:left w:val="nil"/>
              <w:bottom w:val="nil"/>
              <w:right w:val="nil"/>
            </w:tcBorders>
            <w:shd w:val="clear" w:color="auto" w:fill="auto"/>
            <w:noWrap/>
            <w:vAlign w:val="bottom"/>
            <w:hideMark/>
          </w:tcPr>
          <w:p w:rsidR="00B20925" w:rsidRPr="00D83D12" w:rsidRDefault="00B20925" w:rsidP="00250DD1">
            <w:pPr>
              <w:rPr>
                <w:rFonts w:cs="Arial"/>
                <w:b/>
                <w:bCs/>
                <w:sz w:val="16"/>
                <w:szCs w:val="16"/>
              </w:rPr>
            </w:pPr>
            <w:r w:rsidRPr="00D83D12">
              <w:rPr>
                <w:rFonts w:cs="Arial"/>
                <w:b/>
                <w:bCs/>
                <w:sz w:val="16"/>
                <w:szCs w:val="16"/>
              </w:rPr>
              <w:t>Ontvangsten</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1.036.798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1.110.915</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-64.000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1.046.915</w:t>
            </w:r>
          </w:p>
        </w:tc>
      </w:tr>
      <w:tr w:rsidR="00B20925" w:rsidRPr="00D83D12" w:rsidTr="00250DD1">
        <w:trPr>
          <w:trHeight w:val="225"/>
        </w:trPr>
        <w:tc>
          <w:tcPr>
            <w:tcW w:w="106"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p>
        </w:tc>
        <w:tc>
          <w:tcPr>
            <w:tcW w:w="2839" w:type="pct"/>
            <w:tcBorders>
              <w:top w:val="nil"/>
              <w:left w:val="nil"/>
              <w:bottom w:val="nil"/>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waarvan Boeten en Transacties</w:t>
            </w:r>
          </w:p>
        </w:tc>
        <w:tc>
          <w:tcPr>
            <w:tcW w:w="545"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956.738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1.029.038</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-70.000</w:t>
            </w:r>
          </w:p>
        </w:tc>
        <w:tc>
          <w:tcPr>
            <w:tcW w:w="503" w:type="pct"/>
            <w:tcBorders>
              <w:top w:val="nil"/>
              <w:left w:val="nil"/>
              <w:bottom w:val="nil"/>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959.038</w:t>
            </w:r>
          </w:p>
        </w:tc>
      </w:tr>
      <w:tr w:rsidR="00B20925" w:rsidRPr="00D83D12" w:rsidTr="00250DD1">
        <w:trPr>
          <w:trHeight w:val="225"/>
        </w:trPr>
        <w:tc>
          <w:tcPr>
            <w:tcW w:w="106" w:type="pct"/>
            <w:tcBorders>
              <w:top w:val="nil"/>
              <w:left w:val="nil"/>
              <w:bottom w:val="single" w:sz="4" w:space="0" w:color="auto"/>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 </w:t>
            </w:r>
          </w:p>
        </w:tc>
        <w:tc>
          <w:tcPr>
            <w:tcW w:w="2839" w:type="pct"/>
            <w:tcBorders>
              <w:top w:val="nil"/>
              <w:left w:val="nil"/>
              <w:bottom w:val="single" w:sz="4" w:space="0" w:color="auto"/>
              <w:right w:val="nil"/>
            </w:tcBorders>
            <w:shd w:val="clear" w:color="auto" w:fill="auto"/>
            <w:noWrap/>
            <w:vAlign w:val="bottom"/>
            <w:hideMark/>
          </w:tcPr>
          <w:p w:rsidR="00B20925" w:rsidRPr="00D83D12" w:rsidRDefault="00B20925" w:rsidP="00250DD1">
            <w:pPr>
              <w:rPr>
                <w:rFonts w:cs="Arial"/>
                <w:sz w:val="16"/>
                <w:szCs w:val="16"/>
              </w:rPr>
            </w:pPr>
            <w:r w:rsidRPr="00D83D12">
              <w:rPr>
                <w:rFonts w:cs="Arial"/>
                <w:sz w:val="16"/>
                <w:szCs w:val="16"/>
              </w:rPr>
              <w:t>waarvan Afpakken</w:t>
            </w:r>
          </w:p>
        </w:tc>
        <w:tc>
          <w:tcPr>
            <w:tcW w:w="545" w:type="pct"/>
            <w:tcBorders>
              <w:top w:val="nil"/>
              <w:left w:val="nil"/>
              <w:bottom w:val="single" w:sz="4" w:space="0" w:color="auto"/>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70.060</w:t>
            </w:r>
          </w:p>
        </w:tc>
        <w:tc>
          <w:tcPr>
            <w:tcW w:w="503" w:type="pct"/>
            <w:tcBorders>
              <w:top w:val="nil"/>
              <w:left w:val="nil"/>
              <w:bottom w:val="single" w:sz="4" w:space="0" w:color="auto"/>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70.060</w:t>
            </w:r>
          </w:p>
        </w:tc>
        <w:tc>
          <w:tcPr>
            <w:tcW w:w="503" w:type="pct"/>
            <w:tcBorders>
              <w:top w:val="nil"/>
              <w:left w:val="nil"/>
              <w:bottom w:val="single" w:sz="4" w:space="0" w:color="auto"/>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0</w:t>
            </w:r>
          </w:p>
        </w:tc>
        <w:tc>
          <w:tcPr>
            <w:tcW w:w="503" w:type="pct"/>
            <w:tcBorders>
              <w:top w:val="nil"/>
              <w:left w:val="nil"/>
              <w:bottom w:val="single" w:sz="4" w:space="0" w:color="auto"/>
              <w:right w:val="nil"/>
            </w:tcBorders>
            <w:shd w:val="clear" w:color="auto" w:fill="auto"/>
            <w:noWrap/>
            <w:vAlign w:val="bottom"/>
            <w:hideMark/>
          </w:tcPr>
          <w:p w:rsidR="00B20925" w:rsidRPr="00D83D12" w:rsidRDefault="00B20925" w:rsidP="00250DD1">
            <w:pPr>
              <w:jc w:val="right"/>
              <w:rPr>
                <w:rFonts w:cs="Arial"/>
                <w:sz w:val="16"/>
                <w:szCs w:val="16"/>
              </w:rPr>
            </w:pPr>
            <w:r w:rsidRPr="00D83D12">
              <w:rPr>
                <w:rFonts w:cs="Arial"/>
                <w:sz w:val="16"/>
                <w:szCs w:val="16"/>
              </w:rPr>
              <w:t>70.060</w:t>
            </w:r>
          </w:p>
        </w:tc>
      </w:tr>
    </w:tbl>
    <w:p w:rsidR="00B20925" w:rsidRPr="00BC1BB1" w:rsidRDefault="00B20925" w:rsidP="00B20925">
      <w:pPr>
        <w:tabs>
          <w:tab w:val="left" w:pos="851"/>
        </w:tabs>
        <w:rPr>
          <w:rFonts w:ascii="Verdana" w:hAnsi="Verdana" w:cs="Arial"/>
          <w:b/>
        </w:rPr>
      </w:pPr>
      <w:r w:rsidRPr="00BC1BB1">
        <w:rPr>
          <w:rFonts w:ascii="Verdana" w:hAnsi="Verdana" w:cs="Arial"/>
          <w:b/>
        </w:rPr>
        <w:lastRenderedPageBreak/>
        <w:t>Toelichting op beleidsartikel 33</w:t>
      </w:r>
    </w:p>
    <w:p w:rsidR="00B20925" w:rsidRDefault="00B20925" w:rsidP="00B20925">
      <w:pPr>
        <w:tabs>
          <w:tab w:val="left" w:pos="851"/>
        </w:tabs>
        <w:rPr>
          <w:rFonts w:ascii="Verdana" w:hAnsi="Verdana" w:cs="Arial"/>
          <w:b/>
        </w:rPr>
      </w:pPr>
    </w:p>
    <w:p w:rsidR="00B20925" w:rsidRDefault="00B20925" w:rsidP="00B20925">
      <w:pPr>
        <w:tabs>
          <w:tab w:val="left" w:pos="851"/>
        </w:tabs>
        <w:rPr>
          <w:rFonts w:ascii="Verdana" w:hAnsi="Verdana" w:cs="Arial"/>
          <w:b/>
        </w:rPr>
      </w:pPr>
      <w:r w:rsidRPr="00BC1BB1">
        <w:rPr>
          <w:rFonts w:ascii="Verdana" w:hAnsi="Verdana" w:cs="Arial"/>
          <w:b/>
        </w:rPr>
        <w:t xml:space="preserve">Mutaties </w:t>
      </w:r>
      <w:r>
        <w:rPr>
          <w:rFonts w:ascii="Verdana" w:hAnsi="Verdana" w:cs="Arial"/>
          <w:b/>
        </w:rPr>
        <w:t>uitgaven</w:t>
      </w:r>
    </w:p>
    <w:p w:rsidR="00B20925" w:rsidRDefault="00B20925" w:rsidP="00B20925">
      <w:pPr>
        <w:tabs>
          <w:tab w:val="left" w:pos="851"/>
        </w:tabs>
        <w:rPr>
          <w:rFonts w:ascii="Verdana" w:hAnsi="Verdana" w:cs="Arial"/>
        </w:rPr>
      </w:pPr>
    </w:p>
    <w:p w:rsidR="00B20925" w:rsidRPr="009F6596" w:rsidRDefault="00B20925" w:rsidP="00B20925">
      <w:pPr>
        <w:rPr>
          <w:rFonts w:ascii="Verdana" w:eastAsia="Calibri" w:hAnsi="Verdana"/>
          <w:sz w:val="18"/>
          <w:szCs w:val="18"/>
          <w:lang w:eastAsia="en-US"/>
        </w:rPr>
      </w:pPr>
      <w:r w:rsidRPr="009F6596">
        <w:rPr>
          <w:rFonts w:ascii="Verdana" w:eastAsia="Calibri" w:hAnsi="Verdana"/>
          <w:i/>
          <w:sz w:val="18"/>
          <w:szCs w:val="18"/>
          <w:lang w:eastAsia="en-US"/>
        </w:rPr>
        <w:t>33.1 Apparaatsuitgaven Openbaar Ministerie (OM)</w:t>
      </w:r>
      <w:r w:rsidRPr="009F6596">
        <w:rPr>
          <w:rFonts w:ascii="Verdana" w:eastAsia="Calibri" w:hAnsi="Verdana"/>
          <w:i/>
          <w:sz w:val="18"/>
          <w:szCs w:val="18"/>
          <w:lang w:eastAsia="en-US"/>
        </w:rPr>
        <w:br/>
      </w:r>
      <w:r w:rsidRPr="009F6596">
        <w:rPr>
          <w:rFonts w:ascii="Verdana" w:eastAsia="Calibri" w:hAnsi="Verdana"/>
          <w:sz w:val="18"/>
          <w:szCs w:val="18"/>
          <w:lang w:eastAsia="en-US"/>
        </w:rPr>
        <w:t>Het budgettaire kader (uitgaven en ontvangsten) voor het OM wordt verhoogd met € 6 mln. ten behoeve van het ‘Kwaliteitsplan Politie &amp; OM’. Het streven is om een krachtig(er) programma(organisatie) op te zetten dat een duurzame verbetering in de kwaliteit (in brede zin) van de afhandeling van misdrijven tot doel heeft.</w:t>
      </w:r>
    </w:p>
    <w:p w:rsidR="00B20925" w:rsidRPr="009F6596" w:rsidRDefault="00B20925" w:rsidP="00B20925">
      <w:pPr>
        <w:rPr>
          <w:rFonts w:ascii="Verdana" w:eastAsia="Calibri" w:hAnsi="Verdana"/>
          <w:i/>
          <w:sz w:val="18"/>
          <w:szCs w:val="18"/>
          <w:lang w:eastAsia="en-US"/>
        </w:rPr>
      </w:pPr>
    </w:p>
    <w:p w:rsidR="00B20925" w:rsidRDefault="00B20925" w:rsidP="00B20925">
      <w:pPr>
        <w:rPr>
          <w:rFonts w:ascii="Verdana" w:eastAsia="Calibri" w:hAnsi="Verdana"/>
          <w:sz w:val="18"/>
          <w:szCs w:val="18"/>
          <w:lang w:eastAsia="en-US"/>
        </w:rPr>
      </w:pPr>
      <w:r w:rsidRPr="009F6596">
        <w:rPr>
          <w:rFonts w:ascii="Verdana" w:eastAsia="Calibri" w:hAnsi="Verdana"/>
          <w:i/>
          <w:sz w:val="18"/>
          <w:szCs w:val="18"/>
          <w:lang w:eastAsia="en-US"/>
        </w:rPr>
        <w:t>33.3 Opsporing en vervolging</w:t>
      </w:r>
      <w:r w:rsidRPr="009F6596">
        <w:rPr>
          <w:rFonts w:ascii="Verdana" w:eastAsia="Calibri" w:hAnsi="Verdana"/>
          <w:i/>
          <w:sz w:val="18"/>
          <w:szCs w:val="18"/>
          <w:lang w:eastAsia="en-US"/>
        </w:rPr>
        <w:br/>
      </w:r>
      <w:r w:rsidRPr="009F6596">
        <w:rPr>
          <w:rFonts w:ascii="Verdana" w:eastAsia="Calibri" w:hAnsi="Verdana"/>
          <w:sz w:val="18"/>
          <w:szCs w:val="18"/>
          <w:lang w:eastAsia="en-US"/>
        </w:rPr>
        <w:t>De mutatie in het budget Opsporing en vervolging word met name verklaard door:</w:t>
      </w:r>
    </w:p>
    <w:p w:rsidR="00B20925" w:rsidRDefault="00B20925" w:rsidP="00B20925">
      <w:pPr>
        <w:numPr>
          <w:ilvl w:val="0"/>
          <w:numId w:val="29"/>
        </w:numPr>
        <w:rPr>
          <w:rFonts w:ascii="Verdana" w:eastAsia="Calibri" w:hAnsi="Verdana"/>
          <w:sz w:val="18"/>
          <w:szCs w:val="18"/>
          <w:lang w:eastAsia="en-US"/>
        </w:rPr>
      </w:pPr>
      <w:r>
        <w:rPr>
          <w:rFonts w:ascii="Verdana" w:eastAsia="Calibri" w:hAnsi="Verdana"/>
          <w:sz w:val="18"/>
          <w:szCs w:val="18"/>
          <w:lang w:eastAsia="en-US"/>
        </w:rPr>
        <w:t xml:space="preserve">Opdrachten Schadeloosstelling: </w:t>
      </w:r>
    </w:p>
    <w:p w:rsidR="00B20925" w:rsidRPr="00DE728F" w:rsidRDefault="00B20925" w:rsidP="00B20925">
      <w:pPr>
        <w:numPr>
          <w:ilvl w:val="0"/>
          <w:numId w:val="33"/>
        </w:numPr>
        <w:rPr>
          <w:rFonts w:ascii="Verdana" w:eastAsia="Calibri" w:hAnsi="Verdana"/>
          <w:sz w:val="18"/>
          <w:szCs w:val="18"/>
          <w:lang w:eastAsia="en-US"/>
        </w:rPr>
      </w:pPr>
      <w:r w:rsidRPr="00DE728F">
        <w:rPr>
          <w:rFonts w:ascii="Verdana" w:eastAsia="Calibri" w:hAnsi="Verdana"/>
          <w:sz w:val="18"/>
          <w:szCs w:val="18"/>
          <w:lang w:eastAsia="en-US"/>
        </w:rPr>
        <w:t>Het budget wordt met € 10 mln. verhoogd omdat het Rijk</w:t>
      </w:r>
      <w:r w:rsidRPr="00DE728F">
        <w:rPr>
          <w:rFonts w:ascii="Verdana" w:hAnsi="Verdana" w:cs="Arial"/>
          <w:sz w:val="18"/>
          <w:szCs w:val="18"/>
        </w:rPr>
        <w:t xml:space="preserve"> een schikking van € 10 mln. heeft getroffen met de Stichting NORMA (Naburige Rechtenorganisatie voor Musici en Auteurs) naar aanleiding van een rechterlijke uitspraak over thuiskopievergoedingen.</w:t>
      </w:r>
    </w:p>
    <w:p w:rsidR="00B20925" w:rsidRPr="00DE728F" w:rsidRDefault="00B20925" w:rsidP="00B20925">
      <w:pPr>
        <w:numPr>
          <w:ilvl w:val="0"/>
          <w:numId w:val="33"/>
        </w:numPr>
        <w:rPr>
          <w:rFonts w:ascii="Verdana" w:eastAsia="Calibri" w:hAnsi="Verdana"/>
          <w:sz w:val="18"/>
          <w:szCs w:val="18"/>
          <w:lang w:eastAsia="en-US"/>
        </w:rPr>
      </w:pPr>
      <w:r>
        <w:rPr>
          <w:rFonts w:ascii="Verdana" w:hAnsi="Verdana" w:cs="Arial"/>
          <w:sz w:val="18"/>
          <w:szCs w:val="18"/>
        </w:rPr>
        <w:t>Daarnaast heeft een herschikking plaatsgevonden van € 5 mln. tussen de onderdelen schadeloosstelling en onrechtmatige detentie. B</w:t>
      </w:r>
      <w:r w:rsidRPr="00DE728F">
        <w:rPr>
          <w:rFonts w:ascii="Verdana" w:eastAsia="Calibri" w:hAnsi="Verdana"/>
          <w:sz w:val="18"/>
          <w:szCs w:val="18"/>
          <w:lang w:eastAsia="en-US"/>
        </w:rPr>
        <w:t xml:space="preserve">ij de tot </w:t>
      </w:r>
      <w:proofErr w:type="spellStart"/>
      <w:r w:rsidRPr="00DE728F">
        <w:rPr>
          <w:rFonts w:ascii="Verdana" w:eastAsia="Calibri" w:hAnsi="Verdana"/>
          <w:sz w:val="18"/>
          <w:szCs w:val="18"/>
          <w:lang w:eastAsia="en-US"/>
        </w:rPr>
        <w:t>standkoming</w:t>
      </w:r>
      <w:proofErr w:type="spellEnd"/>
      <w:r w:rsidRPr="00DE728F">
        <w:rPr>
          <w:rFonts w:ascii="Verdana" w:eastAsia="Calibri" w:hAnsi="Verdana"/>
          <w:sz w:val="18"/>
          <w:szCs w:val="18"/>
          <w:lang w:eastAsia="en-US"/>
        </w:rPr>
        <w:t xml:space="preserve"> van de begroting </w:t>
      </w:r>
      <w:r>
        <w:rPr>
          <w:rFonts w:ascii="Verdana" w:eastAsia="Calibri" w:hAnsi="Verdana"/>
          <w:sz w:val="18"/>
          <w:szCs w:val="18"/>
          <w:lang w:eastAsia="en-US"/>
        </w:rPr>
        <w:t xml:space="preserve">is dit </w:t>
      </w:r>
      <w:r w:rsidRPr="00DE728F">
        <w:rPr>
          <w:rFonts w:ascii="Verdana" w:eastAsia="Calibri" w:hAnsi="Verdana"/>
          <w:sz w:val="18"/>
          <w:szCs w:val="18"/>
          <w:lang w:eastAsia="en-US"/>
        </w:rPr>
        <w:t xml:space="preserve">niet </w:t>
      </w:r>
      <w:r>
        <w:rPr>
          <w:rFonts w:ascii="Verdana" w:eastAsia="Calibri" w:hAnsi="Verdana"/>
          <w:sz w:val="18"/>
          <w:szCs w:val="18"/>
          <w:lang w:eastAsia="en-US"/>
        </w:rPr>
        <w:t>juist</w:t>
      </w:r>
      <w:r w:rsidRPr="00DE728F">
        <w:rPr>
          <w:rFonts w:ascii="Verdana" w:eastAsia="Calibri" w:hAnsi="Verdana"/>
          <w:sz w:val="18"/>
          <w:szCs w:val="18"/>
          <w:lang w:eastAsia="en-US"/>
        </w:rPr>
        <w:t xml:space="preserve"> geraamd </w:t>
      </w:r>
      <w:r>
        <w:rPr>
          <w:rFonts w:ascii="Verdana" w:eastAsia="Calibri" w:hAnsi="Verdana"/>
          <w:sz w:val="18"/>
          <w:szCs w:val="18"/>
          <w:lang w:eastAsia="en-US"/>
        </w:rPr>
        <w:t>en wordt het met deze mutatie gecorrigeerd.</w:t>
      </w:r>
    </w:p>
    <w:p w:rsidR="00B20925" w:rsidRPr="009F6596" w:rsidRDefault="00B20925" w:rsidP="00B20925">
      <w:pPr>
        <w:numPr>
          <w:ilvl w:val="0"/>
          <w:numId w:val="12"/>
        </w:numPr>
        <w:rPr>
          <w:rFonts w:ascii="Verdana" w:hAnsi="Verdana" w:cs="Arial"/>
          <w:sz w:val="18"/>
          <w:szCs w:val="18"/>
        </w:rPr>
      </w:pPr>
      <w:r>
        <w:rPr>
          <w:rFonts w:ascii="Verdana" w:eastAsia="Calibri" w:hAnsi="Verdana"/>
          <w:sz w:val="18"/>
          <w:szCs w:val="18"/>
          <w:lang w:eastAsia="en-US"/>
        </w:rPr>
        <w:t xml:space="preserve">Bij </w:t>
      </w:r>
      <w:r w:rsidRPr="009F6596">
        <w:rPr>
          <w:rFonts w:ascii="Verdana" w:eastAsia="Calibri" w:hAnsi="Verdana"/>
          <w:sz w:val="18"/>
          <w:szCs w:val="18"/>
          <w:lang w:eastAsia="en-US"/>
        </w:rPr>
        <w:t>het ketenprogramma Afpakken</w:t>
      </w:r>
      <w:r>
        <w:rPr>
          <w:rFonts w:ascii="Verdana" w:eastAsia="Calibri" w:hAnsi="Verdana"/>
          <w:sz w:val="18"/>
          <w:szCs w:val="18"/>
          <w:lang w:eastAsia="en-US"/>
        </w:rPr>
        <w:t xml:space="preserve"> </w:t>
      </w:r>
      <w:r w:rsidRPr="009F6596">
        <w:rPr>
          <w:rFonts w:ascii="Verdana" w:eastAsia="Calibri" w:hAnsi="Verdana"/>
          <w:sz w:val="18"/>
          <w:szCs w:val="18"/>
          <w:lang w:eastAsia="en-US"/>
        </w:rPr>
        <w:t>staat het meer, slimmer en effectiever afpakken van crimineel vermogen centraal. Om het onderdeel strafrechtelijk afpakken te versterken is er circa € 7,8</w:t>
      </w:r>
      <w:r>
        <w:rPr>
          <w:rFonts w:ascii="Verdana" w:eastAsia="Calibri" w:hAnsi="Verdana"/>
          <w:sz w:val="18"/>
          <w:szCs w:val="18"/>
          <w:lang w:eastAsia="en-US"/>
        </w:rPr>
        <w:t xml:space="preserve"> mln.</w:t>
      </w:r>
      <w:r w:rsidRPr="009F6596">
        <w:rPr>
          <w:rFonts w:ascii="Verdana" w:eastAsia="Calibri" w:hAnsi="Verdana"/>
          <w:sz w:val="18"/>
          <w:szCs w:val="18"/>
          <w:lang w:eastAsia="en-US"/>
        </w:rPr>
        <w:t xml:space="preserve"> overgeheveld van het Openbaar Ministerie naar de Politie</w:t>
      </w:r>
      <w:r>
        <w:rPr>
          <w:rFonts w:ascii="Verdana" w:eastAsia="Calibri" w:hAnsi="Verdana"/>
          <w:sz w:val="18"/>
          <w:szCs w:val="18"/>
          <w:lang w:eastAsia="en-US"/>
        </w:rPr>
        <w:t xml:space="preserve"> (artikel 31)</w:t>
      </w:r>
      <w:r w:rsidRPr="009F6596">
        <w:rPr>
          <w:rFonts w:ascii="Verdana" w:eastAsia="Calibri" w:hAnsi="Verdana"/>
          <w:sz w:val="18"/>
          <w:szCs w:val="18"/>
          <w:lang w:eastAsia="en-US"/>
        </w:rPr>
        <w:t>.</w:t>
      </w:r>
    </w:p>
    <w:p w:rsidR="00B20925" w:rsidRDefault="00B20925" w:rsidP="00B20925">
      <w:pPr>
        <w:tabs>
          <w:tab w:val="left" w:pos="851"/>
        </w:tabs>
        <w:rPr>
          <w:rFonts w:ascii="Verdana" w:hAnsi="Verdana" w:cs="Arial"/>
          <w:b/>
        </w:rPr>
      </w:pPr>
    </w:p>
    <w:p w:rsidR="00B20925" w:rsidRPr="00BC1BB1" w:rsidRDefault="00B20925" w:rsidP="00B20925">
      <w:pPr>
        <w:tabs>
          <w:tab w:val="left" w:pos="851"/>
        </w:tabs>
        <w:rPr>
          <w:rFonts w:ascii="Verdana" w:hAnsi="Verdana" w:cs="Arial"/>
          <w:b/>
        </w:rPr>
      </w:pPr>
      <w:r w:rsidRPr="00BC1BB1">
        <w:rPr>
          <w:rFonts w:ascii="Verdana" w:hAnsi="Verdana" w:cs="Arial"/>
          <w:b/>
        </w:rPr>
        <w:t>Mutaties ontvangsten</w:t>
      </w:r>
    </w:p>
    <w:p w:rsidR="00B20925" w:rsidRPr="00BC1BB1" w:rsidRDefault="00B20925" w:rsidP="00B20925">
      <w:pPr>
        <w:rPr>
          <w:rFonts w:ascii="Verdana" w:hAnsi="Verdana" w:cs="Arial"/>
          <w:b/>
        </w:rPr>
      </w:pPr>
    </w:p>
    <w:p w:rsidR="00B20925" w:rsidRPr="002709C5" w:rsidRDefault="00B20925" w:rsidP="00B20925">
      <w:pPr>
        <w:ind w:left="284" w:hanging="284"/>
        <w:rPr>
          <w:rFonts w:ascii="Verdana" w:hAnsi="Verdana" w:cs="Arial"/>
          <w:i/>
          <w:sz w:val="18"/>
          <w:szCs w:val="18"/>
        </w:rPr>
      </w:pPr>
      <w:r w:rsidRPr="002709C5">
        <w:rPr>
          <w:rFonts w:ascii="Verdana" w:hAnsi="Verdana" w:cs="Arial"/>
          <w:i/>
          <w:sz w:val="18"/>
          <w:szCs w:val="18"/>
        </w:rPr>
        <w:t>Boeten en transacties</w:t>
      </w:r>
    </w:p>
    <w:p w:rsidR="00B20925" w:rsidRPr="002709C5" w:rsidRDefault="00B20925" w:rsidP="00B20925">
      <w:pPr>
        <w:rPr>
          <w:rFonts w:ascii="Verdana" w:hAnsi="Verdana"/>
          <w:iCs/>
          <w:sz w:val="18"/>
          <w:szCs w:val="18"/>
        </w:rPr>
      </w:pPr>
      <w:r>
        <w:rPr>
          <w:rFonts w:ascii="Verdana" w:hAnsi="Verdana"/>
          <w:iCs/>
          <w:sz w:val="18"/>
          <w:szCs w:val="18"/>
        </w:rPr>
        <w:t>Het</w:t>
      </w:r>
      <w:r w:rsidRPr="002709C5">
        <w:rPr>
          <w:rFonts w:ascii="Verdana" w:hAnsi="Verdana"/>
          <w:iCs/>
          <w:sz w:val="18"/>
          <w:szCs w:val="18"/>
        </w:rPr>
        <w:t xml:space="preserve"> dreigende tekort op de ontvangsten uit Boetes en Transacties in 2014 word</w:t>
      </w:r>
      <w:r>
        <w:rPr>
          <w:rFonts w:ascii="Verdana" w:hAnsi="Verdana"/>
          <w:iCs/>
          <w:sz w:val="18"/>
          <w:szCs w:val="18"/>
        </w:rPr>
        <w:t>t</w:t>
      </w:r>
      <w:r w:rsidRPr="002709C5">
        <w:rPr>
          <w:rFonts w:ascii="Verdana" w:hAnsi="Verdana"/>
          <w:iCs/>
          <w:sz w:val="18"/>
          <w:szCs w:val="18"/>
        </w:rPr>
        <w:t xml:space="preserve"> gedekt door middel van een </w:t>
      </w:r>
      <w:r>
        <w:rPr>
          <w:rFonts w:ascii="Verdana" w:hAnsi="Verdana"/>
          <w:iCs/>
          <w:sz w:val="18"/>
          <w:szCs w:val="18"/>
        </w:rPr>
        <w:t xml:space="preserve">generale </w:t>
      </w:r>
      <w:r w:rsidRPr="002709C5">
        <w:rPr>
          <w:rFonts w:ascii="Verdana" w:hAnsi="Verdana"/>
          <w:iCs/>
          <w:sz w:val="18"/>
          <w:szCs w:val="18"/>
        </w:rPr>
        <w:t xml:space="preserve">kasschuif van € 70 mln. </w:t>
      </w:r>
      <w:r>
        <w:rPr>
          <w:rFonts w:ascii="Verdana" w:hAnsi="Verdana"/>
          <w:iCs/>
          <w:sz w:val="18"/>
          <w:szCs w:val="18"/>
        </w:rPr>
        <w:t>verdeeld over de jaren 2018 en 2019.</w:t>
      </w:r>
      <w:r w:rsidRPr="002709C5">
        <w:rPr>
          <w:rFonts w:ascii="Verdana" w:hAnsi="Verdana"/>
          <w:iCs/>
          <w:sz w:val="18"/>
          <w:szCs w:val="18"/>
        </w:rPr>
        <w:t xml:space="preserve"> </w:t>
      </w:r>
    </w:p>
    <w:p w:rsidR="00B20925" w:rsidRPr="002709C5" w:rsidRDefault="00B20925" w:rsidP="00B20925">
      <w:pPr>
        <w:rPr>
          <w:rFonts w:ascii="Verdana" w:hAnsi="Verdana" w:cs="Arial"/>
          <w:b/>
          <w:sz w:val="18"/>
          <w:szCs w:val="18"/>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Default="00B20925" w:rsidP="00B20925">
      <w:pPr>
        <w:rPr>
          <w:rFonts w:ascii="Verdana" w:hAnsi="Verdana" w:cs="Arial"/>
          <w:b/>
        </w:rPr>
      </w:pPr>
    </w:p>
    <w:p w:rsidR="00B20925" w:rsidRPr="00BC1BB1" w:rsidRDefault="00B20925" w:rsidP="00B20925">
      <w:pPr>
        <w:rPr>
          <w:rFonts w:ascii="Verdana" w:hAnsi="Verdana" w:cs="Arial"/>
          <w:b/>
        </w:rPr>
      </w:pPr>
      <w:r w:rsidRPr="00BC1BB1">
        <w:rPr>
          <w:rFonts w:ascii="Verdana" w:hAnsi="Verdana" w:cs="Arial"/>
          <w:b/>
        </w:rPr>
        <w:lastRenderedPageBreak/>
        <w:t>34 Sanctietoepassing</w:t>
      </w:r>
    </w:p>
    <w:p w:rsidR="00B20925" w:rsidRPr="00B81A0B" w:rsidRDefault="00B20925" w:rsidP="00B20925">
      <w:pPr>
        <w:rPr>
          <w:rFonts w:ascii="Verdana" w:hAnsi="Verdana" w:cs="Arial"/>
          <w:b/>
          <w:sz w:val="22"/>
          <w:szCs w:val="22"/>
        </w:rPr>
      </w:pPr>
    </w:p>
    <w:tbl>
      <w:tblPr>
        <w:tblW w:w="5195" w:type="pct"/>
        <w:tblCellMar>
          <w:left w:w="70" w:type="dxa"/>
          <w:right w:w="70" w:type="dxa"/>
        </w:tblCellMar>
        <w:tblLook w:val="04A0" w:firstRow="1" w:lastRow="0" w:firstColumn="1" w:lastColumn="0" w:noHBand="0" w:noVBand="1"/>
      </w:tblPr>
      <w:tblGrid>
        <w:gridCol w:w="180"/>
        <w:gridCol w:w="5133"/>
        <w:gridCol w:w="923"/>
        <w:gridCol w:w="850"/>
        <w:gridCol w:w="850"/>
        <w:gridCol w:w="850"/>
      </w:tblGrid>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Budgettaire gevolgen van beleid</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b/>
                <w:bCs/>
                <w:sz w:val="16"/>
                <w:szCs w:val="16"/>
              </w:rPr>
            </w:pPr>
            <w:r w:rsidRPr="00CA591E">
              <w:rPr>
                <w:rFonts w:cs="Arial"/>
                <w:b/>
                <w:bCs/>
                <w:sz w:val="16"/>
                <w:szCs w:val="16"/>
              </w:rPr>
              <w:t>x € 1.000</w:t>
            </w:r>
          </w:p>
        </w:tc>
      </w:tr>
      <w:tr w:rsidR="00B20925" w:rsidRPr="00CA591E" w:rsidTr="00250DD1">
        <w:trPr>
          <w:trHeight w:val="675"/>
        </w:trPr>
        <w:tc>
          <w:tcPr>
            <w:tcW w:w="102" w:type="pct"/>
            <w:tcBorders>
              <w:top w:val="single" w:sz="4" w:space="0" w:color="auto"/>
              <w:left w:val="nil"/>
              <w:bottom w:val="single" w:sz="4" w:space="0" w:color="auto"/>
              <w:right w:val="nil"/>
            </w:tcBorders>
            <w:shd w:val="clear" w:color="000000" w:fill="FFFFCC"/>
            <w:noWrap/>
            <w:hideMark/>
          </w:tcPr>
          <w:p w:rsidR="00B20925" w:rsidRPr="00CA591E" w:rsidRDefault="00B20925" w:rsidP="00250DD1">
            <w:pPr>
              <w:rPr>
                <w:rFonts w:cs="Arial"/>
                <w:b/>
                <w:bCs/>
                <w:sz w:val="16"/>
                <w:szCs w:val="16"/>
              </w:rPr>
            </w:pPr>
            <w:r w:rsidRPr="00CA591E">
              <w:rPr>
                <w:rFonts w:cs="Arial"/>
                <w:b/>
                <w:bCs/>
                <w:sz w:val="16"/>
                <w:szCs w:val="16"/>
              </w:rPr>
              <w:t> </w:t>
            </w:r>
          </w:p>
        </w:tc>
        <w:tc>
          <w:tcPr>
            <w:tcW w:w="2920" w:type="pct"/>
            <w:tcBorders>
              <w:top w:val="single" w:sz="4" w:space="0" w:color="auto"/>
              <w:left w:val="nil"/>
              <w:bottom w:val="single" w:sz="4" w:space="0" w:color="auto"/>
              <w:right w:val="nil"/>
            </w:tcBorders>
            <w:shd w:val="clear" w:color="000000" w:fill="FFFFCC"/>
            <w:hideMark/>
          </w:tcPr>
          <w:p w:rsidR="00B20925" w:rsidRPr="00CA591E" w:rsidRDefault="00B20925" w:rsidP="00250DD1">
            <w:pPr>
              <w:jc w:val="right"/>
              <w:rPr>
                <w:rFonts w:cs="Arial"/>
                <w:sz w:val="16"/>
                <w:szCs w:val="16"/>
              </w:rPr>
            </w:pPr>
            <w:r w:rsidRPr="00CA591E">
              <w:rPr>
                <w:rFonts w:cs="Arial"/>
                <w:sz w:val="16"/>
                <w:szCs w:val="16"/>
              </w:rPr>
              <w:t> </w:t>
            </w:r>
          </w:p>
        </w:tc>
        <w:tc>
          <w:tcPr>
            <w:tcW w:w="525" w:type="pct"/>
            <w:tcBorders>
              <w:top w:val="single" w:sz="4" w:space="0" w:color="auto"/>
              <w:left w:val="nil"/>
              <w:bottom w:val="single" w:sz="4" w:space="0" w:color="auto"/>
              <w:right w:val="nil"/>
            </w:tcBorders>
            <w:shd w:val="clear" w:color="000000" w:fill="FFFFCC"/>
            <w:hideMark/>
          </w:tcPr>
          <w:p w:rsidR="00B20925" w:rsidRPr="00CA591E" w:rsidRDefault="00B20925" w:rsidP="00250DD1">
            <w:pPr>
              <w:jc w:val="right"/>
              <w:rPr>
                <w:rFonts w:cs="Arial"/>
                <w:sz w:val="16"/>
                <w:szCs w:val="16"/>
              </w:rPr>
            </w:pPr>
            <w:r w:rsidRPr="00CA591E">
              <w:rPr>
                <w:rFonts w:cs="Arial"/>
                <w:sz w:val="16"/>
                <w:szCs w:val="16"/>
              </w:rPr>
              <w:t xml:space="preserve">Stand vastgestelde begroting </w:t>
            </w:r>
          </w:p>
        </w:tc>
        <w:tc>
          <w:tcPr>
            <w:tcW w:w="484" w:type="pct"/>
            <w:tcBorders>
              <w:top w:val="single" w:sz="4" w:space="0" w:color="auto"/>
              <w:left w:val="nil"/>
              <w:bottom w:val="single" w:sz="4" w:space="0" w:color="auto"/>
              <w:right w:val="nil"/>
            </w:tcBorders>
            <w:shd w:val="clear" w:color="000000" w:fill="FFFFCC"/>
            <w:hideMark/>
          </w:tcPr>
          <w:p w:rsidR="00B20925" w:rsidRPr="00CA591E" w:rsidRDefault="00B20925" w:rsidP="00250DD1">
            <w:pPr>
              <w:jc w:val="right"/>
              <w:rPr>
                <w:rFonts w:cs="Arial"/>
                <w:sz w:val="16"/>
                <w:szCs w:val="16"/>
              </w:rPr>
            </w:pPr>
            <w:r w:rsidRPr="00CA591E">
              <w:rPr>
                <w:rFonts w:cs="Arial"/>
                <w:sz w:val="16"/>
                <w:szCs w:val="16"/>
              </w:rPr>
              <w:t>Stand 1e suppletoire begroting</w:t>
            </w:r>
          </w:p>
        </w:tc>
        <w:tc>
          <w:tcPr>
            <w:tcW w:w="484" w:type="pct"/>
            <w:tcBorders>
              <w:top w:val="single" w:sz="4" w:space="0" w:color="auto"/>
              <w:left w:val="nil"/>
              <w:bottom w:val="single" w:sz="4" w:space="0" w:color="auto"/>
              <w:right w:val="nil"/>
            </w:tcBorders>
            <w:shd w:val="clear" w:color="000000" w:fill="FFFFCC"/>
            <w:hideMark/>
          </w:tcPr>
          <w:p w:rsidR="00B20925" w:rsidRPr="00CA591E" w:rsidRDefault="00B20925" w:rsidP="00250DD1">
            <w:pPr>
              <w:jc w:val="right"/>
              <w:rPr>
                <w:rFonts w:cs="Arial"/>
                <w:sz w:val="16"/>
                <w:szCs w:val="16"/>
              </w:rPr>
            </w:pPr>
            <w:r w:rsidRPr="00CA591E">
              <w:rPr>
                <w:rFonts w:cs="Arial"/>
                <w:sz w:val="16"/>
                <w:szCs w:val="16"/>
              </w:rPr>
              <w:t>Mutaties 2e suppletoire begroting</w:t>
            </w:r>
          </w:p>
        </w:tc>
        <w:tc>
          <w:tcPr>
            <w:tcW w:w="484" w:type="pct"/>
            <w:tcBorders>
              <w:top w:val="single" w:sz="4" w:space="0" w:color="auto"/>
              <w:left w:val="nil"/>
              <w:bottom w:val="single" w:sz="4" w:space="0" w:color="auto"/>
              <w:right w:val="nil"/>
            </w:tcBorders>
            <w:shd w:val="clear" w:color="000000" w:fill="FFFFCC"/>
            <w:hideMark/>
          </w:tcPr>
          <w:p w:rsidR="00B20925" w:rsidRPr="00CA591E" w:rsidRDefault="00B20925" w:rsidP="00250DD1">
            <w:pPr>
              <w:jc w:val="right"/>
              <w:rPr>
                <w:rFonts w:cs="Arial"/>
                <w:sz w:val="16"/>
                <w:szCs w:val="16"/>
              </w:rPr>
            </w:pPr>
            <w:r w:rsidRPr="00CA591E">
              <w:rPr>
                <w:rFonts w:cs="Arial"/>
                <w:sz w:val="16"/>
                <w:szCs w:val="16"/>
              </w:rPr>
              <w:t>Stand 2e suppletoire begroting</w:t>
            </w:r>
          </w:p>
        </w:tc>
      </w:tr>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Verplichtingen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b/>
                <w:bCs/>
                <w:sz w:val="16"/>
                <w:szCs w:val="16"/>
              </w:rPr>
            </w:pPr>
            <w:r w:rsidRPr="00CA591E">
              <w:rPr>
                <w:rFonts w:cs="Arial"/>
                <w:b/>
                <w:bCs/>
                <w:sz w:val="16"/>
                <w:szCs w:val="16"/>
              </w:rPr>
              <w:t>2.271.998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b/>
                <w:bCs/>
                <w:sz w:val="16"/>
                <w:szCs w:val="16"/>
              </w:rPr>
            </w:pPr>
            <w:r w:rsidRPr="00CA591E">
              <w:rPr>
                <w:rFonts w:cs="Arial"/>
                <w:b/>
                <w:bCs/>
                <w:sz w:val="16"/>
                <w:szCs w:val="16"/>
              </w:rPr>
              <w:t>2.492.057</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b/>
                <w:bCs/>
                <w:sz w:val="16"/>
                <w:szCs w:val="16"/>
              </w:rPr>
            </w:pPr>
            <w:r w:rsidRPr="00CA591E">
              <w:rPr>
                <w:rFonts w:cs="Arial"/>
                <w:b/>
                <w:bCs/>
                <w:sz w:val="16"/>
                <w:szCs w:val="16"/>
              </w:rPr>
              <w:t>101.444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b/>
                <w:bCs/>
                <w:sz w:val="16"/>
                <w:szCs w:val="16"/>
              </w:rPr>
            </w:pPr>
            <w:r w:rsidRPr="00CA591E">
              <w:rPr>
                <w:rFonts w:cs="Arial"/>
                <w:b/>
                <w:bCs/>
                <w:sz w:val="16"/>
                <w:szCs w:val="16"/>
              </w:rPr>
              <w:t>2.593.501</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Programma-uitgaven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2.271.998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2.492.057</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101.444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2.593.501</w:t>
            </w:r>
          </w:p>
        </w:tc>
      </w:tr>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i/>
                <w:iCs/>
                <w:sz w:val="16"/>
                <w:szCs w:val="16"/>
              </w:rPr>
            </w:pPr>
            <w:r w:rsidRPr="00CA591E">
              <w:rPr>
                <w:rFonts w:cs="Arial"/>
                <w:i/>
                <w:iCs/>
                <w:sz w:val="16"/>
                <w:szCs w:val="16"/>
              </w:rPr>
              <w:t>Waarvan juridisch verplicht</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i/>
                <w:iCs/>
                <w:sz w:val="16"/>
                <w:szCs w:val="16"/>
              </w:rPr>
            </w:pPr>
            <w:r w:rsidRPr="00CA591E">
              <w:rPr>
                <w:rFonts w:cs="Arial"/>
                <w:i/>
                <w:iCs/>
                <w:sz w:val="16"/>
                <w:szCs w:val="16"/>
              </w:rPr>
              <w:t>98,60%</w:t>
            </w:r>
          </w:p>
        </w:tc>
      </w:tr>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34.2 Preventieve maatregelen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agentschappen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 xml:space="preserve">Dienst </w:t>
            </w:r>
            <w:proofErr w:type="spellStart"/>
            <w:r w:rsidRPr="00CA591E">
              <w:rPr>
                <w:rFonts w:cs="Arial"/>
                <w:sz w:val="16"/>
                <w:szCs w:val="16"/>
              </w:rPr>
              <w:t>Justis</w:t>
            </w:r>
            <w:proofErr w:type="spellEnd"/>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15.871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15.704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117</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15.821</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ZBO's/</w:t>
            </w:r>
            <w:proofErr w:type="spellStart"/>
            <w:r w:rsidRPr="00CA591E">
              <w:rPr>
                <w:rFonts w:cs="Arial"/>
                <w:b/>
                <w:bCs/>
                <w:sz w:val="16"/>
                <w:szCs w:val="16"/>
              </w:rPr>
              <w:t>RWT's</w:t>
            </w:r>
            <w:proofErr w:type="spellEnd"/>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preventieve maatregelen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919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919</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Subsidies</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Preventie bedrijfsleven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6.527</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6.700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6.858</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Integriteit</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1.240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1.150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1.045</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Centrum voor Criminaliteitsbestrijding en Veiligheid</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1.995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5.253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5.256</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preventieve maatregelen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4.579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2.678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3.265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5.943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Opdrachten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Kansspelbeleid</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1.085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1.085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1.085</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preventieve maatregelen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940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4.432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-1.975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2.457</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Garanties</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Faillissementscuratoren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344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1.044</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3547" w:type="pct"/>
            <w:gridSpan w:val="3"/>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34.3 Tenuitvoerlegging strafrechtelijk sancties en vreemdelingenbewaring</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agentschappen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DJI-gevangeniswezen-regulier</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1.097.268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1.273.439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-45.929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1.227.510</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DJI-Forensische 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715.590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740.701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50.432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791.133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DJI-Vreemdelingenbewaring en uitzetcentra</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104.594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110.652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25.263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135.915</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CJIB</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21.695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26.395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76.046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102.441</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ZBO's/</w:t>
            </w:r>
            <w:proofErr w:type="spellStart"/>
            <w:r w:rsidRPr="00CA591E">
              <w:rPr>
                <w:rFonts w:cs="Arial"/>
                <w:b/>
                <w:bCs/>
                <w:sz w:val="16"/>
                <w:szCs w:val="16"/>
              </w:rPr>
              <w:t>RWT's</w:t>
            </w:r>
            <w:proofErr w:type="spellEnd"/>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Reclassering Nederland</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129.123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136.929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3.655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140.584</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Leger des Heils</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21.646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20.874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241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21.115</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Stichting Verslavingsreclassering GGZ Nederland (SVG)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64.579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66.803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-1.199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65.604</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ascii="Arial" w:hAnsi="Arial" w:cs="Arial"/>
                <w:sz w:val="16"/>
                <w:szCs w:val="16"/>
              </w:rPr>
            </w:pPr>
            <w:r w:rsidRPr="00CA591E">
              <w:rPr>
                <w:rFonts w:ascii="Arial" w:hAnsi="Arial" w:cs="Arial"/>
                <w:sz w:val="16"/>
                <w:szCs w:val="16"/>
              </w:rPr>
              <w:t>Centraal Administratie Kantoor</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2.213</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2.213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medeoverheden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Tenuitvoerlegging strafrechtelijke sancties en vreemdelingenbewaring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3.068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3.068</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Subsidies</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Tenuitvoerlegging strafrechtelijke sancties en vreemdelingenbewaring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1.050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1.050</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Opdrachten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Forensische 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5.866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1.298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-1.140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158</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Vrijwilligerswerk gedetineerden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1.700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3.200</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Tenuitvoerlegging strafrechtelijke sancties en vreemdelingenbewaring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28.150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19.818</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-16.235</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3.583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3022" w:type="pct"/>
            <w:gridSpan w:val="2"/>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34.4 Slachtofferzorg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ZBO's/</w:t>
            </w:r>
            <w:proofErr w:type="spellStart"/>
            <w:r w:rsidRPr="00CA591E">
              <w:rPr>
                <w:rFonts w:cs="Arial"/>
                <w:b/>
                <w:bCs/>
                <w:sz w:val="16"/>
                <w:szCs w:val="16"/>
              </w:rPr>
              <w:t>RWT's</w:t>
            </w:r>
            <w:proofErr w:type="spellEnd"/>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Schadefonds Geweldsmisdrijven (SGM)</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5.311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5.311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642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5.953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Slachtofferhulp Nederland (SHN)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23.196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26.552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1.521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28.073</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Bijdragen aan medeoverheden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Slachtofferzorg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217</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217</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Subsidies</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Stichting Slachtoffer in Beeld en onderzoeken (</w:t>
            </w:r>
            <w:proofErr w:type="spellStart"/>
            <w:r w:rsidRPr="00CA591E">
              <w:rPr>
                <w:rFonts w:cs="Arial"/>
                <w:sz w:val="16"/>
                <w:szCs w:val="16"/>
              </w:rPr>
              <w:t>SiB</w:t>
            </w:r>
            <w:proofErr w:type="spellEnd"/>
            <w:r w:rsidRPr="00CA591E">
              <w:rPr>
                <w:rFonts w:cs="Arial"/>
                <w:sz w:val="16"/>
                <w:szCs w:val="16"/>
              </w:rPr>
              <w:t>)</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599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1.249</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401</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1.650</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Overig Slachtofferzorg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126</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Opdrachten</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Slachtofferzorg</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5.700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7.090</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-5.846</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1.244</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r w:rsidRPr="00CA591E">
              <w:rPr>
                <w:rFonts w:cs="Arial"/>
                <w:sz w:val="16"/>
                <w:szCs w:val="16"/>
              </w:rPr>
              <w:t>Schadefonds Geweldsmisdrijven (SGM)</w:t>
            </w:r>
          </w:p>
        </w:tc>
        <w:tc>
          <w:tcPr>
            <w:tcW w:w="525"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15.744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15.744</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2.492</w:t>
            </w:r>
          </w:p>
        </w:tc>
        <w:tc>
          <w:tcPr>
            <w:tcW w:w="484" w:type="pct"/>
            <w:tcBorders>
              <w:top w:val="nil"/>
              <w:left w:val="nil"/>
              <w:bottom w:val="nil"/>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18.236</w:t>
            </w:r>
          </w:p>
        </w:tc>
      </w:tr>
      <w:tr w:rsidR="00B20925" w:rsidRPr="00CA591E" w:rsidTr="00250DD1">
        <w:trPr>
          <w:trHeight w:val="225"/>
        </w:trPr>
        <w:tc>
          <w:tcPr>
            <w:tcW w:w="102"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2920" w:type="pct"/>
            <w:tcBorders>
              <w:top w:val="nil"/>
              <w:left w:val="nil"/>
              <w:bottom w:val="nil"/>
              <w:right w:val="nil"/>
            </w:tcBorders>
            <w:shd w:val="clear" w:color="auto" w:fill="auto"/>
            <w:noWrap/>
            <w:vAlign w:val="bottom"/>
            <w:hideMark/>
          </w:tcPr>
          <w:p w:rsidR="00B20925" w:rsidRPr="00CA591E" w:rsidRDefault="00B20925" w:rsidP="00250DD1">
            <w:pPr>
              <w:rPr>
                <w:rFonts w:cs="Arial"/>
                <w:sz w:val="16"/>
                <w:szCs w:val="16"/>
              </w:rPr>
            </w:pPr>
          </w:p>
        </w:tc>
        <w:tc>
          <w:tcPr>
            <w:tcW w:w="525" w:type="pct"/>
            <w:tcBorders>
              <w:top w:val="nil"/>
              <w:left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right w:val="nil"/>
            </w:tcBorders>
            <w:shd w:val="clear" w:color="auto" w:fill="auto"/>
            <w:noWrap/>
            <w:vAlign w:val="bottom"/>
            <w:hideMark/>
          </w:tcPr>
          <w:p w:rsidR="00B20925" w:rsidRPr="00CA591E" w:rsidRDefault="00B20925" w:rsidP="00250DD1">
            <w:pPr>
              <w:rPr>
                <w:rFonts w:cs="Arial"/>
                <w:sz w:val="16"/>
                <w:szCs w:val="16"/>
              </w:rPr>
            </w:pPr>
          </w:p>
        </w:tc>
        <w:tc>
          <w:tcPr>
            <w:tcW w:w="484" w:type="pct"/>
            <w:tcBorders>
              <w:top w:val="nil"/>
              <w:left w:val="nil"/>
              <w:right w:val="nil"/>
            </w:tcBorders>
            <w:shd w:val="clear" w:color="auto" w:fill="auto"/>
            <w:noWrap/>
            <w:vAlign w:val="bottom"/>
            <w:hideMark/>
          </w:tcPr>
          <w:p w:rsidR="00B20925" w:rsidRPr="00CA591E" w:rsidRDefault="00B20925" w:rsidP="00250DD1">
            <w:pPr>
              <w:rPr>
                <w:rFonts w:cs="Arial"/>
                <w:sz w:val="16"/>
                <w:szCs w:val="16"/>
              </w:rPr>
            </w:pPr>
          </w:p>
        </w:tc>
      </w:tr>
      <w:tr w:rsidR="00B20925" w:rsidRPr="00CA591E" w:rsidTr="00250DD1">
        <w:trPr>
          <w:trHeight w:val="225"/>
        </w:trPr>
        <w:tc>
          <w:tcPr>
            <w:tcW w:w="3022" w:type="pct"/>
            <w:gridSpan w:val="2"/>
            <w:tcBorders>
              <w:top w:val="nil"/>
              <w:left w:val="nil"/>
              <w:bottom w:val="single" w:sz="4" w:space="0" w:color="auto"/>
              <w:right w:val="nil"/>
            </w:tcBorders>
            <w:shd w:val="clear" w:color="auto" w:fill="auto"/>
            <w:noWrap/>
            <w:vAlign w:val="bottom"/>
            <w:hideMark/>
          </w:tcPr>
          <w:p w:rsidR="00B20925" w:rsidRPr="00CA591E" w:rsidRDefault="00B20925" w:rsidP="00250DD1">
            <w:pPr>
              <w:rPr>
                <w:rFonts w:cs="Arial"/>
                <w:b/>
                <w:bCs/>
                <w:sz w:val="16"/>
                <w:szCs w:val="16"/>
              </w:rPr>
            </w:pPr>
            <w:r w:rsidRPr="00CA591E">
              <w:rPr>
                <w:rFonts w:cs="Arial"/>
                <w:b/>
                <w:bCs/>
                <w:sz w:val="16"/>
                <w:szCs w:val="16"/>
              </w:rPr>
              <w:t>Ontvangsten</w:t>
            </w:r>
          </w:p>
        </w:tc>
        <w:tc>
          <w:tcPr>
            <w:tcW w:w="525" w:type="pct"/>
            <w:tcBorders>
              <w:top w:val="nil"/>
              <w:left w:val="nil"/>
              <w:bottom w:val="single" w:sz="4" w:space="0" w:color="auto"/>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0</w:t>
            </w:r>
          </w:p>
        </w:tc>
        <w:tc>
          <w:tcPr>
            <w:tcW w:w="484" w:type="pct"/>
            <w:tcBorders>
              <w:top w:val="nil"/>
              <w:left w:val="nil"/>
              <w:bottom w:val="single" w:sz="4" w:space="0" w:color="auto"/>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21.141</w:t>
            </w:r>
          </w:p>
        </w:tc>
        <w:tc>
          <w:tcPr>
            <w:tcW w:w="484" w:type="pct"/>
            <w:tcBorders>
              <w:top w:val="nil"/>
              <w:left w:val="nil"/>
              <w:bottom w:val="single" w:sz="4" w:space="0" w:color="auto"/>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65.685</w:t>
            </w:r>
          </w:p>
        </w:tc>
        <w:tc>
          <w:tcPr>
            <w:tcW w:w="484" w:type="pct"/>
            <w:tcBorders>
              <w:top w:val="nil"/>
              <w:left w:val="nil"/>
              <w:bottom w:val="single" w:sz="4" w:space="0" w:color="auto"/>
              <w:right w:val="nil"/>
            </w:tcBorders>
            <w:shd w:val="clear" w:color="auto" w:fill="auto"/>
            <w:noWrap/>
            <w:vAlign w:val="bottom"/>
            <w:hideMark/>
          </w:tcPr>
          <w:p w:rsidR="00B20925" w:rsidRPr="00CA591E" w:rsidRDefault="00B20925" w:rsidP="00250DD1">
            <w:pPr>
              <w:jc w:val="right"/>
              <w:rPr>
                <w:rFonts w:cs="Arial"/>
                <w:sz w:val="16"/>
                <w:szCs w:val="16"/>
              </w:rPr>
            </w:pPr>
            <w:r w:rsidRPr="00CA591E">
              <w:rPr>
                <w:rFonts w:cs="Arial"/>
                <w:sz w:val="16"/>
                <w:szCs w:val="16"/>
              </w:rPr>
              <w:t>86.826</w:t>
            </w:r>
          </w:p>
        </w:tc>
      </w:tr>
    </w:tbl>
    <w:p w:rsidR="00B20925" w:rsidRPr="00BC1BB1" w:rsidRDefault="00B20925" w:rsidP="00B20925">
      <w:pPr>
        <w:tabs>
          <w:tab w:val="left" w:pos="851"/>
        </w:tabs>
        <w:rPr>
          <w:rFonts w:ascii="Verdana" w:hAnsi="Verdana" w:cs="Arial"/>
          <w:b/>
        </w:rPr>
      </w:pPr>
      <w:r w:rsidRPr="00BC1BB1">
        <w:rPr>
          <w:rFonts w:ascii="Verdana" w:hAnsi="Verdana" w:cs="Arial"/>
          <w:b/>
        </w:rPr>
        <w:lastRenderedPageBreak/>
        <w:t>Toelichting op beleidsartikel 34</w:t>
      </w:r>
    </w:p>
    <w:p w:rsidR="00B20925" w:rsidRPr="00BC1BB1" w:rsidRDefault="00B20925" w:rsidP="00B20925">
      <w:pPr>
        <w:contextualSpacing/>
        <w:rPr>
          <w:rFonts w:ascii="Verdana" w:hAnsi="Verdana" w:cs="Arial"/>
          <w:b/>
        </w:rPr>
      </w:pPr>
    </w:p>
    <w:p w:rsidR="00B20925" w:rsidRDefault="00B20925" w:rsidP="00B20925">
      <w:pPr>
        <w:contextualSpacing/>
        <w:rPr>
          <w:rFonts w:ascii="Verdana" w:hAnsi="Verdana" w:cs="Arial"/>
          <w:b/>
        </w:rPr>
      </w:pPr>
      <w:r w:rsidRPr="00BC1BB1">
        <w:rPr>
          <w:rFonts w:ascii="Verdana" w:hAnsi="Verdana" w:cs="Arial"/>
          <w:b/>
        </w:rPr>
        <w:t>Mutaties uitgaven</w:t>
      </w:r>
    </w:p>
    <w:p w:rsidR="00B20925" w:rsidRDefault="00B20925" w:rsidP="00B20925">
      <w:pPr>
        <w:contextualSpacing/>
        <w:rPr>
          <w:rFonts w:ascii="Verdana" w:hAnsi="Verdana" w:cs="Arial"/>
          <w:b/>
        </w:rPr>
      </w:pPr>
    </w:p>
    <w:p w:rsidR="00B20925" w:rsidRPr="00E00827" w:rsidRDefault="00B20925" w:rsidP="00B20925">
      <w:pPr>
        <w:contextualSpacing/>
        <w:rPr>
          <w:rFonts w:ascii="Verdana" w:hAnsi="Verdana" w:cs="Arial"/>
          <w:i/>
          <w:sz w:val="18"/>
          <w:szCs w:val="18"/>
        </w:rPr>
      </w:pPr>
      <w:r w:rsidRPr="00E00827">
        <w:rPr>
          <w:rFonts w:ascii="Verdana" w:hAnsi="Verdana" w:cs="Arial"/>
          <w:i/>
          <w:sz w:val="18"/>
          <w:szCs w:val="18"/>
        </w:rPr>
        <w:t>Algemeen artikel 34 en 35</w:t>
      </w:r>
    </w:p>
    <w:p w:rsidR="00B20925" w:rsidRDefault="00B20925" w:rsidP="00B20925">
      <w:pPr>
        <w:rPr>
          <w:rFonts w:ascii="Verdana" w:hAnsi="Verdana"/>
          <w:sz w:val="18"/>
          <w:szCs w:val="18"/>
        </w:rPr>
      </w:pPr>
      <w:r w:rsidRPr="00E00827">
        <w:rPr>
          <w:rFonts w:ascii="Verdana" w:hAnsi="Verdana"/>
          <w:sz w:val="18"/>
          <w:szCs w:val="18"/>
        </w:rPr>
        <w:t xml:space="preserve">Binnen </w:t>
      </w:r>
      <w:r>
        <w:rPr>
          <w:rFonts w:ascii="Verdana" w:hAnsi="Verdana"/>
          <w:sz w:val="18"/>
          <w:szCs w:val="18"/>
        </w:rPr>
        <w:t>de artikelen</w:t>
      </w:r>
      <w:r w:rsidRPr="00E00827">
        <w:rPr>
          <w:rFonts w:ascii="Verdana" w:hAnsi="Verdana"/>
          <w:sz w:val="18"/>
          <w:szCs w:val="18"/>
        </w:rPr>
        <w:t xml:space="preserve"> Sanctietoepassing</w:t>
      </w:r>
      <w:r>
        <w:rPr>
          <w:rFonts w:ascii="Verdana" w:hAnsi="Verdana"/>
          <w:sz w:val="18"/>
          <w:szCs w:val="18"/>
        </w:rPr>
        <w:t xml:space="preserve"> en Jeugd</w:t>
      </w:r>
      <w:r w:rsidRPr="00E00827">
        <w:rPr>
          <w:rFonts w:ascii="Verdana" w:hAnsi="Verdana"/>
          <w:sz w:val="18"/>
          <w:szCs w:val="18"/>
        </w:rPr>
        <w:t xml:space="preserve"> worden diverse tegenvallers verwacht van in totaal € 26,6 mln. Deze tegenvallers doen zich voor op de beleidsterreinen Sanctie en preventie, Justitieel Jeugdbeleid, het CJIB en de DJI. Daarnaast word</w:t>
      </w:r>
      <w:r>
        <w:rPr>
          <w:rFonts w:ascii="Verdana" w:hAnsi="Verdana"/>
          <w:sz w:val="18"/>
          <w:szCs w:val="18"/>
        </w:rPr>
        <w:t>en</w:t>
      </w:r>
      <w:r w:rsidRPr="00E00827">
        <w:rPr>
          <w:rFonts w:ascii="Verdana" w:hAnsi="Verdana"/>
          <w:sz w:val="18"/>
          <w:szCs w:val="18"/>
        </w:rPr>
        <w:t xml:space="preserve"> binnen </w:t>
      </w:r>
      <w:r>
        <w:rPr>
          <w:rFonts w:ascii="Verdana" w:hAnsi="Verdana"/>
          <w:sz w:val="18"/>
          <w:szCs w:val="18"/>
        </w:rPr>
        <w:t xml:space="preserve">de artikelen </w:t>
      </w:r>
      <w:r w:rsidRPr="00E00827">
        <w:rPr>
          <w:rFonts w:ascii="Verdana" w:hAnsi="Verdana"/>
          <w:sz w:val="18"/>
          <w:szCs w:val="18"/>
        </w:rPr>
        <w:t xml:space="preserve">Sanctietoepassing </w:t>
      </w:r>
      <w:r>
        <w:rPr>
          <w:rFonts w:ascii="Verdana" w:hAnsi="Verdana"/>
          <w:sz w:val="18"/>
          <w:szCs w:val="18"/>
        </w:rPr>
        <w:t xml:space="preserve">en Jeugd </w:t>
      </w:r>
      <w:r w:rsidRPr="00E00827">
        <w:rPr>
          <w:rFonts w:ascii="Verdana" w:hAnsi="Verdana"/>
          <w:sz w:val="18"/>
          <w:szCs w:val="18"/>
        </w:rPr>
        <w:t>ook een aantal meevallers verwacht van</w:t>
      </w:r>
      <w:r>
        <w:rPr>
          <w:rFonts w:ascii="Verdana" w:hAnsi="Verdana"/>
          <w:sz w:val="18"/>
          <w:szCs w:val="18"/>
        </w:rPr>
        <w:t xml:space="preserve"> in totaal </w:t>
      </w:r>
      <w:r w:rsidRPr="00E00827">
        <w:rPr>
          <w:rFonts w:ascii="Verdana" w:hAnsi="Verdana"/>
          <w:sz w:val="18"/>
          <w:szCs w:val="18"/>
        </w:rPr>
        <w:t>€ 19,5</w:t>
      </w:r>
      <w:r>
        <w:rPr>
          <w:rFonts w:ascii="Verdana" w:hAnsi="Verdana"/>
          <w:sz w:val="18"/>
          <w:szCs w:val="18"/>
        </w:rPr>
        <w:t xml:space="preserve"> mln.</w:t>
      </w:r>
      <w:r w:rsidRPr="00E00827">
        <w:rPr>
          <w:rFonts w:ascii="Verdana" w:hAnsi="Verdana"/>
          <w:sz w:val="18"/>
          <w:szCs w:val="18"/>
        </w:rPr>
        <w:t xml:space="preserve"> </w:t>
      </w:r>
    </w:p>
    <w:p w:rsidR="00B20925" w:rsidRPr="00E00827" w:rsidRDefault="00B20925" w:rsidP="00B20925">
      <w:pPr>
        <w:rPr>
          <w:rFonts w:ascii="Verdana" w:hAnsi="Verdana"/>
          <w:sz w:val="18"/>
          <w:szCs w:val="18"/>
        </w:rPr>
      </w:pPr>
      <w:r>
        <w:rPr>
          <w:rFonts w:ascii="Verdana" w:hAnsi="Verdana"/>
          <w:sz w:val="18"/>
          <w:szCs w:val="18"/>
        </w:rPr>
        <w:t>D</w:t>
      </w:r>
      <w:r w:rsidRPr="00E00827">
        <w:rPr>
          <w:rFonts w:ascii="Verdana" w:hAnsi="Verdana"/>
          <w:sz w:val="18"/>
          <w:szCs w:val="18"/>
        </w:rPr>
        <w:t>e optredende uitgavenmeevallers</w:t>
      </w:r>
      <w:r>
        <w:rPr>
          <w:rFonts w:ascii="Verdana" w:hAnsi="Verdana"/>
          <w:sz w:val="18"/>
          <w:szCs w:val="18"/>
        </w:rPr>
        <w:t xml:space="preserve"> worden</w:t>
      </w:r>
      <w:r w:rsidRPr="00E00827">
        <w:rPr>
          <w:rFonts w:ascii="Verdana" w:hAnsi="Verdana"/>
          <w:sz w:val="18"/>
          <w:szCs w:val="18"/>
        </w:rPr>
        <w:t xml:space="preserve"> (naast ontvangstenmeevallers van € 7 mln.)</w:t>
      </w:r>
      <w:r>
        <w:rPr>
          <w:rFonts w:ascii="Verdana" w:hAnsi="Verdana"/>
          <w:sz w:val="18"/>
          <w:szCs w:val="18"/>
        </w:rPr>
        <w:t xml:space="preserve"> ingezet om de tekorten binnen </w:t>
      </w:r>
      <w:r w:rsidRPr="00E00827">
        <w:rPr>
          <w:rFonts w:ascii="Verdana" w:hAnsi="Verdana"/>
          <w:sz w:val="18"/>
          <w:szCs w:val="18"/>
        </w:rPr>
        <w:t>Sanctietoepassing</w:t>
      </w:r>
      <w:r>
        <w:rPr>
          <w:rFonts w:ascii="Verdana" w:hAnsi="Verdana"/>
          <w:sz w:val="18"/>
          <w:szCs w:val="18"/>
        </w:rPr>
        <w:t xml:space="preserve"> en Jeugd</w:t>
      </w:r>
      <w:r w:rsidRPr="00E00827">
        <w:rPr>
          <w:rFonts w:ascii="Verdana" w:hAnsi="Verdana"/>
          <w:sz w:val="18"/>
          <w:szCs w:val="18"/>
        </w:rPr>
        <w:t xml:space="preserve"> te dekken. Onderdeel van de tegenvaller van € 26,6 mln. is een tekort bij DJI (€ 11,8 mln.) </w:t>
      </w:r>
      <w:r>
        <w:rPr>
          <w:rFonts w:ascii="Verdana" w:hAnsi="Verdana"/>
          <w:sz w:val="18"/>
          <w:szCs w:val="18"/>
        </w:rPr>
        <w:t xml:space="preserve">veroorzaakt door tegenvallers op het gebied van </w:t>
      </w:r>
      <w:r w:rsidRPr="00E00827">
        <w:rPr>
          <w:rFonts w:ascii="Verdana" w:hAnsi="Verdana"/>
          <w:sz w:val="18"/>
          <w:szCs w:val="18"/>
        </w:rPr>
        <w:t xml:space="preserve">GHB-cellen, arrondissementale vervoerstromen en ICT. </w:t>
      </w:r>
    </w:p>
    <w:p w:rsidR="00B20925" w:rsidRPr="00E00827" w:rsidRDefault="00B20925" w:rsidP="00B20925">
      <w:pPr>
        <w:rPr>
          <w:rFonts w:ascii="Verdana" w:hAnsi="Verdana"/>
          <w:sz w:val="18"/>
          <w:szCs w:val="18"/>
        </w:rPr>
      </w:pPr>
    </w:p>
    <w:p w:rsidR="00B20925" w:rsidRPr="00E00827" w:rsidRDefault="00B20925" w:rsidP="00B20925">
      <w:pPr>
        <w:rPr>
          <w:rFonts w:ascii="Verdana" w:eastAsia="Calibri" w:hAnsi="Verdana"/>
          <w:i/>
          <w:sz w:val="18"/>
          <w:szCs w:val="18"/>
          <w:lang w:eastAsia="en-US"/>
        </w:rPr>
      </w:pPr>
      <w:r w:rsidRPr="00E00827">
        <w:rPr>
          <w:rFonts w:ascii="Verdana" w:eastAsia="Calibri" w:hAnsi="Verdana"/>
          <w:i/>
          <w:sz w:val="18"/>
          <w:szCs w:val="18"/>
          <w:lang w:eastAsia="en-US"/>
        </w:rPr>
        <w:t>34.3 Tenuitvoerlegging strafrechtelijke sancties en vreemdelingenbewaring</w:t>
      </w:r>
    </w:p>
    <w:p w:rsidR="00B20925" w:rsidRPr="00E00827" w:rsidRDefault="00B20925" w:rsidP="00B20925">
      <w:pPr>
        <w:rPr>
          <w:rFonts w:ascii="Verdana" w:eastAsia="Calibri" w:hAnsi="Verdana"/>
          <w:sz w:val="18"/>
          <w:szCs w:val="18"/>
          <w:lang w:eastAsia="en-US"/>
        </w:rPr>
      </w:pPr>
      <w:r w:rsidRPr="00E00827">
        <w:rPr>
          <w:rFonts w:ascii="Verdana" w:eastAsia="Calibri" w:hAnsi="Verdana"/>
          <w:sz w:val="18"/>
          <w:szCs w:val="18"/>
          <w:lang w:eastAsia="en-US"/>
        </w:rPr>
        <w:t>De mutaties in dit budget wordt met name verklaard door:</w:t>
      </w:r>
    </w:p>
    <w:p w:rsidR="00B20925" w:rsidRPr="00F564E2" w:rsidRDefault="00B20925" w:rsidP="00B20925">
      <w:pPr>
        <w:numPr>
          <w:ilvl w:val="0"/>
          <w:numId w:val="13"/>
        </w:numPr>
        <w:ind w:left="360"/>
        <w:contextualSpacing/>
        <w:rPr>
          <w:rFonts w:ascii="Verdana" w:hAnsi="Verdana" w:cs="Arial"/>
          <w:sz w:val="18"/>
          <w:szCs w:val="18"/>
        </w:rPr>
      </w:pPr>
      <w:r w:rsidRPr="00F564E2">
        <w:rPr>
          <w:rFonts w:ascii="Verdana" w:eastAsia="Calibri" w:hAnsi="Verdana"/>
          <w:sz w:val="18"/>
          <w:szCs w:val="18"/>
          <w:lang w:eastAsia="en-US"/>
        </w:rPr>
        <w:t>De herschikking binnen DJI-gevangeniswezen regulier, forensische zorg en vreemdelingenbewaring en uitzetcentra.</w:t>
      </w:r>
    </w:p>
    <w:p w:rsidR="00B20925" w:rsidRPr="00F564E2" w:rsidRDefault="00B20925" w:rsidP="00B20925">
      <w:pPr>
        <w:ind w:left="360"/>
        <w:contextualSpacing/>
        <w:rPr>
          <w:rFonts w:ascii="Verdana" w:hAnsi="Verdana" w:cs="Arial"/>
          <w:sz w:val="18"/>
          <w:szCs w:val="18"/>
        </w:rPr>
      </w:pPr>
      <w:r w:rsidRPr="00F564E2">
        <w:rPr>
          <w:rFonts w:ascii="Verdana" w:hAnsi="Verdana" w:cs="Arial"/>
          <w:sz w:val="18"/>
          <w:szCs w:val="18"/>
        </w:rPr>
        <w:t xml:space="preserve">Als gevolg van </w:t>
      </w:r>
      <w:proofErr w:type="spellStart"/>
      <w:r w:rsidRPr="00F564E2">
        <w:rPr>
          <w:rFonts w:ascii="Verdana" w:hAnsi="Verdana" w:cs="Arial"/>
          <w:sz w:val="18"/>
          <w:szCs w:val="18"/>
        </w:rPr>
        <w:t>capaciteitsgerelateerde</w:t>
      </w:r>
      <w:proofErr w:type="spellEnd"/>
      <w:r w:rsidRPr="00F564E2">
        <w:rPr>
          <w:rFonts w:ascii="Verdana" w:hAnsi="Verdana" w:cs="Arial"/>
          <w:sz w:val="18"/>
          <w:szCs w:val="18"/>
        </w:rPr>
        <w:t xml:space="preserve"> maatregelen, aanpassingen in kostprijzen en andere maatregelen </w:t>
      </w:r>
      <w:r>
        <w:rPr>
          <w:rFonts w:ascii="Verdana" w:hAnsi="Verdana" w:cs="Arial"/>
          <w:sz w:val="18"/>
          <w:szCs w:val="18"/>
        </w:rPr>
        <w:t>vindt</w:t>
      </w:r>
      <w:r w:rsidRPr="00F564E2">
        <w:rPr>
          <w:rFonts w:ascii="Verdana" w:hAnsi="Verdana" w:cs="Arial"/>
          <w:sz w:val="18"/>
          <w:szCs w:val="18"/>
        </w:rPr>
        <w:t xml:space="preserve"> een herschikking</w:t>
      </w:r>
      <w:r>
        <w:rPr>
          <w:rFonts w:ascii="Verdana" w:hAnsi="Verdana" w:cs="Arial"/>
          <w:sz w:val="18"/>
          <w:szCs w:val="18"/>
        </w:rPr>
        <w:t xml:space="preserve"> plaats</w:t>
      </w:r>
      <w:r w:rsidRPr="00F564E2">
        <w:rPr>
          <w:rFonts w:ascii="Verdana" w:hAnsi="Verdana" w:cs="Arial"/>
          <w:sz w:val="18"/>
          <w:szCs w:val="18"/>
        </w:rPr>
        <w:t xml:space="preserve"> binnen </w:t>
      </w:r>
      <w:r>
        <w:rPr>
          <w:rFonts w:ascii="Verdana" w:hAnsi="Verdana" w:cs="Arial"/>
          <w:sz w:val="18"/>
          <w:szCs w:val="18"/>
        </w:rPr>
        <w:t xml:space="preserve">het budget van DJI zodat </w:t>
      </w:r>
      <w:r w:rsidRPr="00F564E2">
        <w:rPr>
          <w:rFonts w:ascii="Verdana" w:hAnsi="Verdana" w:cs="Arial"/>
          <w:sz w:val="18"/>
          <w:szCs w:val="18"/>
        </w:rPr>
        <w:t>de financiële kaders aansluiten bij de beschikbare capaciteit.</w:t>
      </w:r>
    </w:p>
    <w:p w:rsidR="00B20925" w:rsidRDefault="00B20925" w:rsidP="00B20925">
      <w:pPr>
        <w:numPr>
          <w:ilvl w:val="0"/>
          <w:numId w:val="14"/>
        </w:numPr>
        <w:contextualSpacing/>
        <w:rPr>
          <w:rFonts w:ascii="Verdana" w:hAnsi="Verdana"/>
          <w:sz w:val="18"/>
          <w:szCs w:val="18"/>
        </w:rPr>
      </w:pPr>
      <w:r w:rsidRPr="00F46D69">
        <w:rPr>
          <w:rFonts w:ascii="Verdana" w:hAnsi="Verdana" w:cs="Arial"/>
          <w:sz w:val="18"/>
          <w:szCs w:val="18"/>
        </w:rPr>
        <w:t xml:space="preserve">De Administratiekostenvergoedingen Centraal Justitieel Incassobureau. Bij het jaarverslag 2013 is de administratiekostenvergoeding geboekt via de </w:t>
      </w:r>
      <w:proofErr w:type="spellStart"/>
      <w:r w:rsidRPr="00F46D69">
        <w:rPr>
          <w:rFonts w:ascii="Verdana" w:hAnsi="Verdana" w:cs="Arial"/>
          <w:sz w:val="18"/>
          <w:szCs w:val="18"/>
        </w:rPr>
        <w:t>VenJ</w:t>
      </w:r>
      <w:proofErr w:type="spellEnd"/>
      <w:r w:rsidRPr="00F46D69">
        <w:rPr>
          <w:rFonts w:ascii="Verdana" w:hAnsi="Verdana" w:cs="Arial"/>
          <w:sz w:val="18"/>
          <w:szCs w:val="18"/>
        </w:rPr>
        <w:t xml:space="preserve">-begroting. Deze wijze van budgettaire verwerking wordt nu ook gehanteerd voor 2014 en verder. </w:t>
      </w:r>
      <w:r w:rsidRPr="00F46D69">
        <w:rPr>
          <w:rFonts w:ascii="Verdana" w:hAnsi="Verdana"/>
          <w:sz w:val="18"/>
          <w:szCs w:val="18"/>
        </w:rPr>
        <w:t xml:space="preserve">Het uitgaven, verplichtingen en ontvangstenkader zijn hiervoor meerjarig verhoogd met € 70,2 mln. Het betreft de ontvangen vergoeding voor administratiekosten bij boeten en transacties. Deze ontvangsten zijn door het departement beschikbaar gesteld aan het Centraal Justitieel Incassobureau ter dekking van de gemaakte kosten bij WAHV-zaken, </w:t>
      </w:r>
      <w:proofErr w:type="spellStart"/>
      <w:r w:rsidRPr="00F46D69">
        <w:rPr>
          <w:rFonts w:ascii="Verdana" w:hAnsi="Verdana"/>
          <w:sz w:val="18"/>
          <w:szCs w:val="18"/>
        </w:rPr>
        <w:t>boetevonissen</w:t>
      </w:r>
      <w:proofErr w:type="spellEnd"/>
      <w:r w:rsidRPr="00F46D69">
        <w:rPr>
          <w:rFonts w:ascii="Verdana" w:hAnsi="Verdana"/>
          <w:sz w:val="18"/>
          <w:szCs w:val="18"/>
        </w:rPr>
        <w:t xml:space="preserve"> en OM-afdoeningen. </w:t>
      </w:r>
    </w:p>
    <w:p w:rsidR="00B20925" w:rsidRPr="00F46D69" w:rsidRDefault="00B20925" w:rsidP="00B20925">
      <w:pPr>
        <w:numPr>
          <w:ilvl w:val="0"/>
          <w:numId w:val="14"/>
        </w:numPr>
        <w:contextualSpacing/>
        <w:rPr>
          <w:rFonts w:ascii="Verdana" w:hAnsi="Verdana"/>
          <w:sz w:val="18"/>
          <w:szCs w:val="18"/>
        </w:rPr>
      </w:pPr>
      <w:r w:rsidRPr="00F46D69">
        <w:rPr>
          <w:rFonts w:ascii="Verdana" w:hAnsi="Verdana"/>
          <w:sz w:val="18"/>
          <w:szCs w:val="18"/>
        </w:rPr>
        <w:t xml:space="preserve">Overig Tenuitvoerlegging strafrechtelijke sancties en vreemdelingenbewaring: op dit artikelonderdeel doen zich alleen kleinere mutaties (&lt; € 5 mln.) voor zoals o.a.: </w:t>
      </w:r>
    </w:p>
    <w:p w:rsidR="00B20925" w:rsidRPr="00E00827" w:rsidRDefault="00B20925" w:rsidP="00B20925">
      <w:pPr>
        <w:numPr>
          <w:ilvl w:val="0"/>
          <w:numId w:val="16"/>
        </w:numPr>
        <w:contextualSpacing/>
        <w:rPr>
          <w:rFonts w:ascii="Verdana" w:hAnsi="Verdana"/>
          <w:sz w:val="18"/>
          <w:szCs w:val="18"/>
        </w:rPr>
      </w:pPr>
      <w:r>
        <w:rPr>
          <w:rFonts w:ascii="Verdana" w:hAnsi="Verdana"/>
          <w:sz w:val="18"/>
          <w:szCs w:val="18"/>
        </w:rPr>
        <w:t xml:space="preserve">De overheveling van middelen </w:t>
      </w:r>
      <w:r w:rsidRPr="00E00827">
        <w:rPr>
          <w:rFonts w:ascii="Verdana" w:hAnsi="Verdana"/>
          <w:sz w:val="18"/>
          <w:szCs w:val="18"/>
        </w:rPr>
        <w:t xml:space="preserve">uit het programma uitvoeringsketen strafrechtelijke beslissingen (USB) </w:t>
      </w:r>
      <w:r>
        <w:rPr>
          <w:rFonts w:ascii="Verdana" w:hAnsi="Verdana"/>
          <w:sz w:val="18"/>
          <w:szCs w:val="18"/>
        </w:rPr>
        <w:t>naar het</w:t>
      </w:r>
      <w:r w:rsidRPr="00E00827">
        <w:rPr>
          <w:rFonts w:ascii="Verdana" w:hAnsi="Verdana"/>
          <w:sz w:val="18"/>
          <w:szCs w:val="18"/>
        </w:rPr>
        <w:t xml:space="preserve"> CJIB;</w:t>
      </w:r>
    </w:p>
    <w:p w:rsidR="00B20925" w:rsidRPr="00E00827" w:rsidRDefault="00B20925" w:rsidP="00B20925">
      <w:pPr>
        <w:numPr>
          <w:ilvl w:val="0"/>
          <w:numId w:val="16"/>
        </w:numPr>
        <w:contextualSpacing/>
        <w:rPr>
          <w:rFonts w:ascii="Verdana" w:hAnsi="Verdana"/>
          <w:sz w:val="18"/>
          <w:szCs w:val="18"/>
        </w:rPr>
      </w:pPr>
      <w:r w:rsidRPr="00E00827">
        <w:rPr>
          <w:rFonts w:ascii="Verdana" w:hAnsi="Verdana"/>
          <w:sz w:val="18"/>
          <w:szCs w:val="18"/>
        </w:rPr>
        <w:t>Een meevaller op het onderdeel ‘overige sancties’ die wordt ingezet om de tekorten binnen Jeugd en Sanctietoepassing te dekken (zie ook de algemene toelichting);</w:t>
      </w:r>
    </w:p>
    <w:p w:rsidR="00B20925" w:rsidRPr="00E00827" w:rsidRDefault="00B20925" w:rsidP="00B20925">
      <w:pPr>
        <w:numPr>
          <w:ilvl w:val="0"/>
          <w:numId w:val="16"/>
        </w:numPr>
        <w:contextualSpacing/>
        <w:rPr>
          <w:rFonts w:ascii="Verdana" w:hAnsi="Verdana"/>
          <w:sz w:val="18"/>
          <w:szCs w:val="18"/>
        </w:rPr>
      </w:pPr>
      <w:r w:rsidRPr="00E00827">
        <w:rPr>
          <w:rFonts w:ascii="Verdana" w:hAnsi="Verdana"/>
          <w:sz w:val="18"/>
          <w:szCs w:val="18"/>
        </w:rPr>
        <w:t xml:space="preserve">Bijdrage aan </w:t>
      </w:r>
      <w:r>
        <w:rPr>
          <w:rFonts w:ascii="Verdana" w:hAnsi="Verdana"/>
          <w:sz w:val="18"/>
          <w:szCs w:val="18"/>
        </w:rPr>
        <w:t>DJI</w:t>
      </w:r>
      <w:r w:rsidRPr="00E00827">
        <w:rPr>
          <w:rFonts w:ascii="Verdana" w:hAnsi="Verdana"/>
          <w:sz w:val="18"/>
          <w:szCs w:val="18"/>
        </w:rPr>
        <w:t xml:space="preserve"> voor de zogenaamde terugkeeractiviteiten (TRA) van justitiabelen in de maatschappij.</w:t>
      </w:r>
    </w:p>
    <w:p w:rsidR="00B20925" w:rsidRPr="00817858" w:rsidRDefault="00B20925" w:rsidP="00B20925">
      <w:pPr>
        <w:contextualSpacing/>
        <w:rPr>
          <w:rFonts w:ascii="Verdana" w:hAnsi="Verdana"/>
          <w:sz w:val="18"/>
          <w:szCs w:val="18"/>
        </w:rPr>
      </w:pPr>
    </w:p>
    <w:p w:rsidR="00B20925" w:rsidRDefault="00B20925" w:rsidP="00B20925">
      <w:pPr>
        <w:contextualSpacing/>
        <w:rPr>
          <w:rFonts w:ascii="Verdana" w:hAnsi="Verdana" w:cs="Arial"/>
          <w:b/>
          <w:sz w:val="18"/>
          <w:szCs w:val="18"/>
        </w:rPr>
      </w:pPr>
    </w:p>
    <w:p w:rsidR="00B20925" w:rsidRDefault="00B20925" w:rsidP="00B20925">
      <w:pPr>
        <w:contextualSpacing/>
        <w:rPr>
          <w:rFonts w:ascii="Verdana" w:hAnsi="Verdana" w:cs="Arial"/>
          <w:b/>
          <w:sz w:val="18"/>
          <w:szCs w:val="18"/>
        </w:rPr>
      </w:pPr>
    </w:p>
    <w:p w:rsidR="00B20925" w:rsidRDefault="00B20925" w:rsidP="00B20925">
      <w:pPr>
        <w:contextualSpacing/>
        <w:rPr>
          <w:rFonts w:ascii="Verdana" w:hAnsi="Verdana" w:cs="Arial"/>
          <w:b/>
          <w:sz w:val="18"/>
          <w:szCs w:val="18"/>
        </w:rPr>
      </w:pPr>
    </w:p>
    <w:p w:rsidR="00B20925" w:rsidRDefault="00B20925" w:rsidP="00B20925">
      <w:pPr>
        <w:contextualSpacing/>
        <w:rPr>
          <w:rFonts w:ascii="Verdana" w:hAnsi="Verdana" w:cs="Arial"/>
          <w:b/>
          <w:sz w:val="18"/>
          <w:szCs w:val="18"/>
        </w:rPr>
      </w:pPr>
    </w:p>
    <w:p w:rsidR="00B20925" w:rsidRPr="00281224" w:rsidRDefault="00B20925" w:rsidP="00B20925">
      <w:pPr>
        <w:contextualSpacing/>
        <w:rPr>
          <w:rFonts w:ascii="Verdana" w:hAnsi="Verdana" w:cs="Arial"/>
          <w:b/>
          <w:sz w:val="18"/>
          <w:szCs w:val="18"/>
        </w:rPr>
      </w:pPr>
      <w:r w:rsidRPr="00281224">
        <w:rPr>
          <w:rFonts w:ascii="Verdana" w:hAnsi="Verdana" w:cs="Arial"/>
          <w:b/>
          <w:sz w:val="18"/>
          <w:szCs w:val="18"/>
        </w:rPr>
        <w:t>Mutaties ontvangsten</w:t>
      </w:r>
    </w:p>
    <w:p w:rsidR="00B20925" w:rsidRPr="00281224" w:rsidRDefault="00B20925" w:rsidP="00B20925">
      <w:pPr>
        <w:contextualSpacing/>
        <w:rPr>
          <w:rFonts w:ascii="Verdana" w:hAnsi="Verdana"/>
          <w:sz w:val="18"/>
          <w:szCs w:val="18"/>
        </w:rPr>
      </w:pPr>
      <w:r w:rsidRPr="00F46D69">
        <w:rPr>
          <w:rFonts w:ascii="Verdana" w:hAnsi="Verdana" w:cs="Arial"/>
          <w:sz w:val="18"/>
          <w:szCs w:val="18"/>
        </w:rPr>
        <w:t xml:space="preserve">Bij het jaarverslag 2013 is de administratiekostenvergoeding geboekt via de </w:t>
      </w:r>
      <w:proofErr w:type="spellStart"/>
      <w:r w:rsidRPr="00F46D69">
        <w:rPr>
          <w:rFonts w:ascii="Verdana" w:hAnsi="Verdana" w:cs="Arial"/>
          <w:sz w:val="18"/>
          <w:szCs w:val="18"/>
        </w:rPr>
        <w:t>VenJ</w:t>
      </w:r>
      <w:proofErr w:type="spellEnd"/>
      <w:r w:rsidRPr="00F46D69">
        <w:rPr>
          <w:rFonts w:ascii="Verdana" w:hAnsi="Verdana" w:cs="Arial"/>
          <w:sz w:val="18"/>
          <w:szCs w:val="18"/>
        </w:rPr>
        <w:t xml:space="preserve">-begroting. Deze wijze van budgettaire verwerking wordt nu ook gehanteerd voor 2014 en verder. </w:t>
      </w:r>
      <w:r w:rsidRPr="00281224">
        <w:rPr>
          <w:rFonts w:ascii="Verdana" w:hAnsi="Verdana"/>
          <w:sz w:val="18"/>
          <w:szCs w:val="18"/>
        </w:rPr>
        <w:t xml:space="preserve">Het uitgaven, verplichtingen en ontvangstenkader zijn </w:t>
      </w:r>
      <w:r>
        <w:rPr>
          <w:rFonts w:ascii="Verdana" w:hAnsi="Verdana"/>
          <w:sz w:val="18"/>
          <w:szCs w:val="18"/>
        </w:rPr>
        <w:t xml:space="preserve">hiervoor </w:t>
      </w:r>
      <w:r w:rsidRPr="00281224">
        <w:rPr>
          <w:rFonts w:ascii="Verdana" w:hAnsi="Verdana"/>
          <w:sz w:val="18"/>
          <w:szCs w:val="18"/>
        </w:rPr>
        <w:t xml:space="preserve">meerjarig verhoogd met € 70,2 mln. Het betreft de ontvangen vergoeding voor administratiekosten bij boeten en transacties. Deze ontvangsten zijn </w:t>
      </w:r>
      <w:r>
        <w:rPr>
          <w:rFonts w:ascii="Verdana" w:hAnsi="Verdana"/>
          <w:sz w:val="18"/>
          <w:szCs w:val="18"/>
        </w:rPr>
        <w:t xml:space="preserve">door het departement </w:t>
      </w:r>
      <w:r w:rsidRPr="00281224">
        <w:rPr>
          <w:rFonts w:ascii="Verdana" w:hAnsi="Verdana"/>
          <w:sz w:val="18"/>
          <w:szCs w:val="18"/>
        </w:rPr>
        <w:t xml:space="preserve">beschikbaar gesteld aan het Centraal Justitieel Incassobureau ter dekking van de gemaakte kosten bij WAHV-zaken, </w:t>
      </w:r>
      <w:proofErr w:type="spellStart"/>
      <w:r w:rsidRPr="00281224">
        <w:rPr>
          <w:rFonts w:ascii="Verdana" w:hAnsi="Verdana"/>
          <w:sz w:val="18"/>
          <w:szCs w:val="18"/>
        </w:rPr>
        <w:t>boetevonissen</w:t>
      </w:r>
      <w:proofErr w:type="spellEnd"/>
      <w:r w:rsidRPr="00281224">
        <w:rPr>
          <w:rFonts w:ascii="Verdana" w:hAnsi="Verdana"/>
          <w:sz w:val="18"/>
          <w:szCs w:val="18"/>
        </w:rPr>
        <w:t xml:space="preserve"> en OM-afdoeningen.</w:t>
      </w:r>
    </w:p>
    <w:p w:rsidR="00B20925" w:rsidRDefault="00B20925" w:rsidP="00B20925">
      <w:pPr>
        <w:contextualSpacing/>
        <w:rPr>
          <w:rFonts w:ascii="Verdana" w:hAnsi="Verdana" w:cs="Arial"/>
          <w:i/>
          <w:sz w:val="18"/>
          <w:szCs w:val="18"/>
        </w:rPr>
      </w:pPr>
    </w:p>
    <w:p w:rsidR="00B20925" w:rsidRDefault="00B20925" w:rsidP="00B20925">
      <w:pPr>
        <w:rPr>
          <w:rFonts w:ascii="Verdana" w:hAnsi="Verdana" w:cs="Arial"/>
          <w:b/>
        </w:rPr>
      </w:pPr>
      <w:r w:rsidRPr="00BC1BB1">
        <w:rPr>
          <w:rFonts w:ascii="Verdana" w:hAnsi="Verdana"/>
        </w:rPr>
        <w:br w:type="page"/>
      </w:r>
      <w:r w:rsidRPr="00BC1BB1">
        <w:rPr>
          <w:rFonts w:ascii="Verdana" w:hAnsi="Verdana" w:cs="Arial"/>
          <w:b/>
        </w:rPr>
        <w:lastRenderedPageBreak/>
        <w:t xml:space="preserve">35 Jeugd </w:t>
      </w:r>
    </w:p>
    <w:p w:rsidR="00B20925" w:rsidRDefault="00B20925" w:rsidP="00B20925">
      <w:pPr>
        <w:rPr>
          <w:rFonts w:ascii="Verdana" w:hAnsi="Verdana" w:cs="Arial"/>
          <w:b/>
        </w:rPr>
      </w:pPr>
    </w:p>
    <w:tbl>
      <w:tblPr>
        <w:tblW w:w="5000" w:type="pct"/>
        <w:tblCellMar>
          <w:left w:w="70" w:type="dxa"/>
          <w:right w:w="70" w:type="dxa"/>
        </w:tblCellMar>
        <w:tblLook w:val="04A0" w:firstRow="1" w:lastRow="0" w:firstColumn="1" w:lastColumn="0" w:noHBand="0" w:noVBand="1"/>
      </w:tblPr>
      <w:tblGrid>
        <w:gridCol w:w="177"/>
        <w:gridCol w:w="4876"/>
        <w:gridCol w:w="912"/>
        <w:gridCol w:w="831"/>
        <w:gridCol w:w="831"/>
        <w:gridCol w:w="829"/>
      </w:tblGrid>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Budgettaire gevolgen van beleid</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x € 1.000</w:t>
            </w:r>
          </w:p>
        </w:tc>
      </w:tr>
      <w:tr w:rsidR="00B20925" w:rsidRPr="00321903" w:rsidTr="00250DD1">
        <w:trPr>
          <w:trHeight w:val="675"/>
        </w:trPr>
        <w:tc>
          <w:tcPr>
            <w:tcW w:w="86" w:type="pct"/>
            <w:tcBorders>
              <w:top w:val="single" w:sz="4" w:space="0" w:color="auto"/>
              <w:left w:val="nil"/>
              <w:bottom w:val="single" w:sz="4" w:space="0" w:color="auto"/>
              <w:right w:val="nil"/>
            </w:tcBorders>
            <w:shd w:val="clear" w:color="000000" w:fill="FFFFCC"/>
            <w:noWrap/>
            <w:hideMark/>
          </w:tcPr>
          <w:p w:rsidR="00B20925" w:rsidRPr="00321903" w:rsidRDefault="00B20925" w:rsidP="00250DD1">
            <w:pPr>
              <w:rPr>
                <w:rFonts w:cs="Arial"/>
                <w:b/>
                <w:bCs/>
                <w:sz w:val="16"/>
                <w:szCs w:val="16"/>
              </w:rPr>
            </w:pPr>
            <w:r w:rsidRPr="00321903">
              <w:rPr>
                <w:rFonts w:cs="Arial"/>
                <w:b/>
                <w:bCs/>
                <w:sz w:val="16"/>
                <w:szCs w:val="16"/>
              </w:rPr>
              <w:t> </w:t>
            </w:r>
          </w:p>
        </w:tc>
        <w:tc>
          <w:tcPr>
            <w:tcW w:w="2887" w:type="pct"/>
            <w:tcBorders>
              <w:top w:val="single" w:sz="4" w:space="0" w:color="auto"/>
              <w:left w:val="nil"/>
              <w:bottom w:val="single" w:sz="4" w:space="0" w:color="auto"/>
              <w:right w:val="nil"/>
            </w:tcBorders>
            <w:shd w:val="clear" w:color="000000" w:fill="FFFFCC"/>
            <w:hideMark/>
          </w:tcPr>
          <w:p w:rsidR="00B20925" w:rsidRPr="00321903" w:rsidRDefault="00B20925" w:rsidP="00250DD1">
            <w:pPr>
              <w:jc w:val="right"/>
              <w:rPr>
                <w:rFonts w:cs="Arial"/>
                <w:sz w:val="16"/>
                <w:szCs w:val="16"/>
              </w:rPr>
            </w:pPr>
            <w:r w:rsidRPr="00321903">
              <w:rPr>
                <w:rFonts w:cs="Arial"/>
                <w:sz w:val="16"/>
                <w:szCs w:val="16"/>
              </w:rPr>
              <w:t> </w:t>
            </w:r>
          </w:p>
        </w:tc>
        <w:tc>
          <w:tcPr>
            <w:tcW w:w="543" w:type="pct"/>
            <w:tcBorders>
              <w:top w:val="single" w:sz="4" w:space="0" w:color="auto"/>
              <w:left w:val="nil"/>
              <w:bottom w:val="single" w:sz="4" w:space="0" w:color="auto"/>
              <w:right w:val="nil"/>
            </w:tcBorders>
            <w:shd w:val="clear" w:color="000000" w:fill="FFFFCC"/>
            <w:hideMark/>
          </w:tcPr>
          <w:p w:rsidR="00B20925" w:rsidRPr="00321903" w:rsidRDefault="00B20925" w:rsidP="00250DD1">
            <w:pPr>
              <w:jc w:val="right"/>
              <w:rPr>
                <w:rFonts w:cs="Arial"/>
                <w:sz w:val="16"/>
                <w:szCs w:val="16"/>
              </w:rPr>
            </w:pPr>
            <w:r w:rsidRPr="00321903">
              <w:rPr>
                <w:rFonts w:cs="Arial"/>
                <w:sz w:val="16"/>
                <w:szCs w:val="16"/>
              </w:rPr>
              <w:t xml:space="preserve">Stand vastgestelde begroting </w:t>
            </w:r>
          </w:p>
        </w:tc>
        <w:tc>
          <w:tcPr>
            <w:tcW w:w="495" w:type="pct"/>
            <w:tcBorders>
              <w:top w:val="single" w:sz="4" w:space="0" w:color="auto"/>
              <w:left w:val="nil"/>
              <w:bottom w:val="single" w:sz="4" w:space="0" w:color="auto"/>
              <w:right w:val="nil"/>
            </w:tcBorders>
            <w:shd w:val="clear" w:color="000000" w:fill="FFFFCC"/>
            <w:hideMark/>
          </w:tcPr>
          <w:p w:rsidR="00B20925" w:rsidRPr="00321903" w:rsidRDefault="00B20925" w:rsidP="00250DD1">
            <w:pPr>
              <w:jc w:val="right"/>
              <w:rPr>
                <w:rFonts w:cs="Arial"/>
                <w:sz w:val="16"/>
                <w:szCs w:val="16"/>
              </w:rPr>
            </w:pPr>
            <w:r w:rsidRPr="00321903">
              <w:rPr>
                <w:rFonts w:cs="Arial"/>
                <w:sz w:val="16"/>
                <w:szCs w:val="16"/>
              </w:rPr>
              <w:t>Stand 1e suppletoire begroting</w:t>
            </w:r>
          </w:p>
        </w:tc>
        <w:tc>
          <w:tcPr>
            <w:tcW w:w="495" w:type="pct"/>
            <w:tcBorders>
              <w:top w:val="single" w:sz="4" w:space="0" w:color="auto"/>
              <w:left w:val="nil"/>
              <w:bottom w:val="single" w:sz="4" w:space="0" w:color="auto"/>
              <w:right w:val="nil"/>
            </w:tcBorders>
            <w:shd w:val="clear" w:color="000000" w:fill="FFFFCC"/>
            <w:hideMark/>
          </w:tcPr>
          <w:p w:rsidR="00B20925" w:rsidRPr="00321903" w:rsidRDefault="00B20925" w:rsidP="00250DD1">
            <w:pPr>
              <w:jc w:val="right"/>
              <w:rPr>
                <w:rFonts w:cs="Arial"/>
                <w:sz w:val="16"/>
                <w:szCs w:val="16"/>
              </w:rPr>
            </w:pPr>
            <w:r w:rsidRPr="00321903">
              <w:rPr>
                <w:rFonts w:cs="Arial"/>
                <w:sz w:val="16"/>
                <w:szCs w:val="16"/>
              </w:rPr>
              <w:t>Mutaties 2e suppletoire begroting</w:t>
            </w:r>
          </w:p>
        </w:tc>
        <w:tc>
          <w:tcPr>
            <w:tcW w:w="495" w:type="pct"/>
            <w:tcBorders>
              <w:top w:val="single" w:sz="4" w:space="0" w:color="auto"/>
              <w:left w:val="nil"/>
              <w:bottom w:val="single" w:sz="4" w:space="0" w:color="auto"/>
              <w:right w:val="nil"/>
            </w:tcBorders>
            <w:shd w:val="clear" w:color="000000" w:fill="FFFFCC"/>
            <w:hideMark/>
          </w:tcPr>
          <w:p w:rsidR="00B20925" w:rsidRPr="00321903" w:rsidRDefault="00B20925" w:rsidP="00250DD1">
            <w:pPr>
              <w:jc w:val="right"/>
              <w:rPr>
                <w:rFonts w:cs="Arial"/>
                <w:sz w:val="16"/>
                <w:szCs w:val="16"/>
              </w:rPr>
            </w:pPr>
            <w:r w:rsidRPr="00321903">
              <w:rPr>
                <w:rFonts w:cs="Arial"/>
                <w:sz w:val="16"/>
                <w:szCs w:val="16"/>
              </w:rPr>
              <w:t>Stand 2e suppletoire begroting</w:t>
            </w: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Verplichtingen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738.464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730.430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-3.916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726.514</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35.1 Apparaatsuitgaven Raad voor de Kinderbescherming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b/>
                <w:bCs/>
                <w:sz w:val="16"/>
                <w:szCs w:val="16"/>
              </w:rPr>
            </w:pPr>
            <w:r w:rsidRPr="00321903">
              <w:rPr>
                <w:rFonts w:ascii="Arial" w:hAnsi="Arial" w:cs="Arial"/>
                <w:b/>
                <w:bCs/>
                <w:sz w:val="16"/>
                <w:szCs w:val="16"/>
              </w:rPr>
              <w:t>Personeel</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126.554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136.662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2.955</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139.617</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waarvan eigen personeel</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112.563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129.777</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1.258</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131.035</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waarvan externe inhuur</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12.400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5.604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1.900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7.504</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waarvan overig personeel</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1.591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1.281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-203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1.078</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b/>
                <w:bCs/>
                <w:sz w:val="16"/>
                <w:szCs w:val="16"/>
              </w:rPr>
            </w:pPr>
            <w:r w:rsidRPr="00321903">
              <w:rPr>
                <w:rFonts w:ascii="Arial" w:hAnsi="Arial" w:cs="Arial"/>
                <w:b/>
                <w:bCs/>
                <w:sz w:val="16"/>
                <w:szCs w:val="16"/>
              </w:rPr>
              <w:t>Materieel</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33.562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36.778</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-4.030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32.748</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waarvan ICT</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5.903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6.405</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-1.130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5.275</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 xml:space="preserve">waarvan </w:t>
            </w:r>
            <w:proofErr w:type="spellStart"/>
            <w:r w:rsidRPr="00321903">
              <w:rPr>
                <w:rFonts w:ascii="Arial" w:hAnsi="Arial" w:cs="Arial"/>
                <w:sz w:val="16"/>
                <w:szCs w:val="16"/>
              </w:rPr>
              <w:t>SSO's</w:t>
            </w:r>
            <w:proofErr w:type="spellEnd"/>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17.296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16.012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16.412</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ascii="Arial" w:hAnsi="Arial" w:cs="Arial"/>
                <w:sz w:val="16"/>
                <w:szCs w:val="16"/>
              </w:rPr>
            </w:pPr>
            <w:r w:rsidRPr="00321903">
              <w:rPr>
                <w:rFonts w:ascii="Arial" w:hAnsi="Arial" w:cs="Arial"/>
                <w:sz w:val="16"/>
                <w:szCs w:val="16"/>
              </w:rPr>
              <w:t>waarvan overig materieel</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10.363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14.361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-3.300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11.061</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Programma-uitgaven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578.348</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556.990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-2.841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554.149</w:t>
            </w: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i/>
                <w:iCs/>
                <w:sz w:val="16"/>
                <w:szCs w:val="16"/>
              </w:rPr>
            </w:pPr>
            <w:r w:rsidRPr="00321903">
              <w:rPr>
                <w:rFonts w:cs="Arial"/>
                <w:i/>
                <w:iCs/>
                <w:sz w:val="16"/>
                <w:szCs w:val="16"/>
              </w:rPr>
              <w:t>Waarvan juridisch verplicht</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i/>
                <w:iCs/>
                <w:sz w:val="16"/>
                <w:szCs w:val="16"/>
              </w:rPr>
            </w:pPr>
            <w:r w:rsidRPr="00321903">
              <w:rPr>
                <w:rFonts w:cs="Arial"/>
                <w:i/>
                <w:iCs/>
                <w:sz w:val="16"/>
                <w:szCs w:val="16"/>
              </w:rPr>
              <w:t>97,93%</w:t>
            </w: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 xml:space="preserve">35.2 Uitvoering jeugdbescherming en voogdij </w:t>
            </w:r>
            <w:proofErr w:type="spellStart"/>
            <w:r w:rsidRPr="00321903">
              <w:rPr>
                <w:rFonts w:cs="Arial"/>
                <w:sz w:val="16"/>
                <w:szCs w:val="16"/>
              </w:rPr>
              <w:t>AMV's</w:t>
            </w:r>
            <w:proofErr w:type="spellEnd"/>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Bijdragen aan ZBO's/</w:t>
            </w:r>
            <w:proofErr w:type="spellStart"/>
            <w:r w:rsidRPr="00321903">
              <w:rPr>
                <w:rFonts w:cs="Arial"/>
                <w:b/>
                <w:bCs/>
                <w:sz w:val="16"/>
                <w:szCs w:val="16"/>
              </w:rPr>
              <w:t>RWT's</w:t>
            </w:r>
            <w:proofErr w:type="spellEnd"/>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Landelijk Bureau inning Onderhoudsbijdrage (LBIO)</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3.511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4.506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1.245</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5.751</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NIDOS - opvang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25.096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Bijdragen aan medeoverheden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Bureaus jeugdzorg - jeugdbescherming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278.194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280.732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4.184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284.916</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BES Voogdijraad</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1.225</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1.213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-47</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1.166</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Subsidies</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Jeugdbescherming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2.872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6.051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-2.494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3.557</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 xml:space="preserve">Overig Uitvoering jeugdbescherming en voogdij </w:t>
            </w:r>
            <w:proofErr w:type="spellStart"/>
            <w:r w:rsidRPr="00321903">
              <w:rPr>
                <w:rFonts w:cs="Arial"/>
                <w:sz w:val="16"/>
                <w:szCs w:val="16"/>
              </w:rPr>
              <w:t>AMV's</w:t>
            </w:r>
            <w:proofErr w:type="spellEnd"/>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1.713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1.713</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Opdrachten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Jeugdbescherming - Regeling tegemoetkoming adoptiekosten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490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500</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Stelsel Jeugdzorg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2.100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2.400</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Bestrijding huiselijke geweld en kindermisbruik</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449</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510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552</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2973" w:type="pct"/>
            <w:gridSpan w:val="2"/>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35.3 Tenuitvoerlegging justitiële sancties jeugd</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Bijdragen aan agentschappen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DJI - jeugd</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163.877</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169.226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462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169.688</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Bijdragen aan ZBO's/</w:t>
            </w:r>
            <w:proofErr w:type="spellStart"/>
            <w:r w:rsidRPr="00321903">
              <w:rPr>
                <w:rFonts w:cs="Arial"/>
                <w:b/>
                <w:bCs/>
                <w:sz w:val="16"/>
                <w:szCs w:val="16"/>
              </w:rPr>
              <w:t>RWT's</w:t>
            </w:r>
            <w:proofErr w:type="spellEnd"/>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HALT</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12.567</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12.482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-152</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12.330</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Bijdragen aan medeoverheden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Bureaus jeugdzorg - jeugdreclassering</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69.299</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66.206</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-2.464</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63.742</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Opdrachten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Risicojeugd &amp; jeugdgroepen</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5.305</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2.879</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-27</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2.852</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Projecten jeugd straf</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15.463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11.053</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-9.771</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1.282</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r w:rsidRPr="00321903">
              <w:rPr>
                <w:rFonts w:cs="Arial"/>
                <w:sz w:val="16"/>
                <w:szCs w:val="16"/>
              </w:rPr>
              <w:t>Taakstraffen/erkende gedragsinterventies</w:t>
            </w:r>
          </w:p>
        </w:tc>
        <w:tc>
          <w:tcPr>
            <w:tcW w:w="543"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3.700</w:t>
            </w:r>
          </w:p>
        </w:tc>
        <w:tc>
          <w:tcPr>
            <w:tcW w:w="495" w:type="pct"/>
            <w:tcBorders>
              <w:top w:val="nil"/>
              <w:left w:val="nil"/>
              <w:bottom w:val="nil"/>
              <w:right w:val="nil"/>
            </w:tcBorders>
            <w:shd w:val="clear" w:color="auto" w:fill="auto"/>
            <w:noWrap/>
            <w:vAlign w:val="bottom"/>
            <w:hideMark/>
          </w:tcPr>
          <w:p w:rsidR="00B20925" w:rsidRPr="00321903" w:rsidRDefault="00B20925" w:rsidP="00250DD1">
            <w:pPr>
              <w:jc w:val="right"/>
              <w:rPr>
                <w:rFonts w:cs="Arial"/>
                <w:sz w:val="16"/>
                <w:szCs w:val="16"/>
              </w:rPr>
            </w:pPr>
            <w:r w:rsidRPr="00321903">
              <w:rPr>
                <w:rFonts w:cs="Arial"/>
                <w:sz w:val="16"/>
                <w:szCs w:val="16"/>
              </w:rPr>
              <w:t>3.700</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r w:rsidR="00B20925" w:rsidRPr="00321903" w:rsidTr="00250DD1">
        <w:trPr>
          <w:trHeight w:val="225"/>
        </w:trPr>
        <w:tc>
          <w:tcPr>
            <w:tcW w:w="2973" w:type="pct"/>
            <w:gridSpan w:val="2"/>
            <w:tcBorders>
              <w:top w:val="nil"/>
              <w:left w:val="nil"/>
              <w:bottom w:val="single" w:sz="4" w:space="0" w:color="auto"/>
              <w:right w:val="nil"/>
            </w:tcBorders>
            <w:shd w:val="clear" w:color="auto" w:fill="auto"/>
            <w:noWrap/>
            <w:vAlign w:val="bottom"/>
            <w:hideMark/>
          </w:tcPr>
          <w:p w:rsidR="00B20925" w:rsidRPr="00321903" w:rsidRDefault="00B20925" w:rsidP="00250DD1">
            <w:pPr>
              <w:rPr>
                <w:rFonts w:cs="Arial"/>
                <w:b/>
                <w:bCs/>
                <w:sz w:val="16"/>
                <w:szCs w:val="16"/>
              </w:rPr>
            </w:pPr>
            <w:r w:rsidRPr="00321903">
              <w:rPr>
                <w:rFonts w:cs="Arial"/>
                <w:b/>
                <w:bCs/>
                <w:sz w:val="16"/>
                <w:szCs w:val="16"/>
              </w:rPr>
              <w:t>Ontvangsten</w:t>
            </w:r>
          </w:p>
        </w:tc>
        <w:tc>
          <w:tcPr>
            <w:tcW w:w="543" w:type="pct"/>
            <w:tcBorders>
              <w:top w:val="nil"/>
              <w:left w:val="nil"/>
              <w:bottom w:val="single" w:sz="4" w:space="0" w:color="auto"/>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1.487</w:t>
            </w:r>
          </w:p>
        </w:tc>
        <w:tc>
          <w:tcPr>
            <w:tcW w:w="495" w:type="pct"/>
            <w:tcBorders>
              <w:top w:val="nil"/>
              <w:left w:val="nil"/>
              <w:bottom w:val="single" w:sz="4" w:space="0" w:color="auto"/>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4.678</w:t>
            </w:r>
          </w:p>
        </w:tc>
        <w:tc>
          <w:tcPr>
            <w:tcW w:w="495" w:type="pct"/>
            <w:tcBorders>
              <w:top w:val="nil"/>
              <w:left w:val="nil"/>
              <w:bottom w:val="single" w:sz="4" w:space="0" w:color="auto"/>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11.020</w:t>
            </w:r>
          </w:p>
        </w:tc>
        <w:tc>
          <w:tcPr>
            <w:tcW w:w="495" w:type="pct"/>
            <w:tcBorders>
              <w:top w:val="nil"/>
              <w:left w:val="nil"/>
              <w:bottom w:val="single" w:sz="4" w:space="0" w:color="auto"/>
              <w:right w:val="nil"/>
            </w:tcBorders>
            <w:shd w:val="clear" w:color="auto" w:fill="auto"/>
            <w:noWrap/>
            <w:vAlign w:val="bottom"/>
            <w:hideMark/>
          </w:tcPr>
          <w:p w:rsidR="00B20925" w:rsidRPr="00321903" w:rsidRDefault="00B20925" w:rsidP="00250DD1">
            <w:pPr>
              <w:jc w:val="right"/>
              <w:rPr>
                <w:rFonts w:cs="Arial"/>
                <w:b/>
                <w:bCs/>
                <w:sz w:val="16"/>
                <w:szCs w:val="16"/>
              </w:rPr>
            </w:pPr>
            <w:r w:rsidRPr="00321903">
              <w:rPr>
                <w:rFonts w:cs="Arial"/>
                <w:b/>
                <w:bCs/>
                <w:sz w:val="16"/>
                <w:szCs w:val="16"/>
              </w:rPr>
              <w:t>15.698</w:t>
            </w:r>
          </w:p>
        </w:tc>
      </w:tr>
      <w:tr w:rsidR="00B20925" w:rsidRPr="00321903" w:rsidTr="00250DD1">
        <w:trPr>
          <w:trHeight w:val="225"/>
        </w:trPr>
        <w:tc>
          <w:tcPr>
            <w:tcW w:w="86"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2887"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543"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c>
          <w:tcPr>
            <w:tcW w:w="495" w:type="pct"/>
            <w:tcBorders>
              <w:top w:val="nil"/>
              <w:left w:val="nil"/>
              <w:bottom w:val="nil"/>
              <w:right w:val="nil"/>
            </w:tcBorders>
            <w:shd w:val="clear" w:color="auto" w:fill="auto"/>
            <w:noWrap/>
            <w:vAlign w:val="bottom"/>
            <w:hideMark/>
          </w:tcPr>
          <w:p w:rsidR="00B20925" w:rsidRPr="00321903" w:rsidRDefault="00B20925" w:rsidP="00250DD1">
            <w:pPr>
              <w:rPr>
                <w:rFonts w:cs="Arial"/>
                <w:sz w:val="16"/>
                <w:szCs w:val="16"/>
              </w:rPr>
            </w:pPr>
          </w:p>
        </w:tc>
      </w:tr>
    </w:tbl>
    <w:p w:rsidR="00B20925" w:rsidRPr="00B81A0B" w:rsidRDefault="00B20925" w:rsidP="00B20925">
      <w:pPr>
        <w:rPr>
          <w:rFonts w:ascii="Verdana" w:hAnsi="Verdana" w:cs="Arial"/>
          <w:b/>
          <w:sz w:val="22"/>
          <w:szCs w:val="22"/>
        </w:rPr>
      </w:pPr>
    </w:p>
    <w:p w:rsidR="00B20925" w:rsidRDefault="00B20925" w:rsidP="00B20925">
      <w:pPr>
        <w:rPr>
          <w:rFonts w:ascii="Verdana" w:hAnsi="Verdana" w:cs="Arial"/>
          <w:sz w:val="22"/>
          <w:szCs w:val="22"/>
        </w:rPr>
      </w:pPr>
    </w:p>
    <w:p w:rsidR="00B20925" w:rsidRPr="00BC1BB1" w:rsidRDefault="00B20925" w:rsidP="00B20925">
      <w:pPr>
        <w:tabs>
          <w:tab w:val="left" w:pos="851"/>
        </w:tabs>
        <w:rPr>
          <w:rFonts w:ascii="Verdana" w:hAnsi="Verdana" w:cs="Arial"/>
          <w:b/>
        </w:rPr>
      </w:pPr>
      <w:r w:rsidRPr="00BC1BB1">
        <w:rPr>
          <w:rFonts w:ascii="Verdana" w:hAnsi="Verdana" w:cs="Arial"/>
          <w:b/>
        </w:rPr>
        <w:t>Toelichting op beleidsartikel 35</w:t>
      </w:r>
    </w:p>
    <w:p w:rsidR="00B20925" w:rsidRPr="00BC1BB1" w:rsidRDefault="00B20925" w:rsidP="00B20925">
      <w:pPr>
        <w:rPr>
          <w:rFonts w:ascii="Verdana" w:hAnsi="Verdana" w:cs="Arial"/>
        </w:rPr>
      </w:pPr>
    </w:p>
    <w:p w:rsidR="00B20925" w:rsidRPr="00BC1BB1" w:rsidRDefault="00B20925" w:rsidP="00B20925">
      <w:pPr>
        <w:rPr>
          <w:rFonts w:ascii="Verdana" w:hAnsi="Verdana" w:cs="Arial"/>
          <w:b/>
        </w:rPr>
      </w:pPr>
      <w:r w:rsidRPr="00BC1BB1">
        <w:rPr>
          <w:rFonts w:ascii="Verdana" w:hAnsi="Verdana" w:cs="Arial"/>
          <w:b/>
        </w:rPr>
        <w:t>Mutaties uitgaven</w:t>
      </w:r>
    </w:p>
    <w:p w:rsidR="00B20925" w:rsidRPr="00BC1BB1" w:rsidRDefault="00B20925" w:rsidP="00B20925">
      <w:pPr>
        <w:rPr>
          <w:rFonts w:ascii="Verdana" w:hAnsi="Verdana" w:cs="Arial"/>
          <w:b/>
        </w:rPr>
      </w:pPr>
    </w:p>
    <w:p w:rsidR="00B20925" w:rsidRPr="005740A6" w:rsidRDefault="00B20925" w:rsidP="00B20925">
      <w:pPr>
        <w:rPr>
          <w:rFonts w:ascii="Verdana" w:hAnsi="Verdana" w:cs="Arial"/>
          <w:i/>
          <w:sz w:val="18"/>
          <w:szCs w:val="18"/>
        </w:rPr>
      </w:pPr>
      <w:r w:rsidRPr="005740A6">
        <w:rPr>
          <w:rFonts w:ascii="Verdana" w:hAnsi="Verdana" w:cs="Arial"/>
          <w:i/>
          <w:sz w:val="18"/>
          <w:szCs w:val="18"/>
        </w:rPr>
        <w:t xml:space="preserve">35.2 Uitvoering jeugdbescherming en voogdij </w:t>
      </w:r>
      <w:proofErr w:type="spellStart"/>
      <w:r w:rsidRPr="005740A6">
        <w:rPr>
          <w:rFonts w:ascii="Verdana" w:hAnsi="Verdana" w:cs="Arial"/>
          <w:i/>
          <w:sz w:val="18"/>
          <w:szCs w:val="18"/>
        </w:rPr>
        <w:t>AMV's</w:t>
      </w:r>
      <w:proofErr w:type="spellEnd"/>
    </w:p>
    <w:p w:rsidR="00B20925" w:rsidRPr="005740A6" w:rsidRDefault="00B20925" w:rsidP="00B20925">
      <w:pPr>
        <w:contextualSpacing/>
        <w:rPr>
          <w:rFonts w:ascii="Verdana" w:hAnsi="Verdana"/>
          <w:sz w:val="18"/>
          <w:szCs w:val="18"/>
        </w:rPr>
      </w:pPr>
      <w:r w:rsidRPr="005740A6">
        <w:rPr>
          <w:rFonts w:ascii="Verdana" w:hAnsi="Verdana"/>
          <w:sz w:val="18"/>
          <w:szCs w:val="18"/>
        </w:rPr>
        <w:t xml:space="preserve">Op dit artikelonderdeel doen zich alleen kleinere mutaties (&lt; € 5 mln.) voor zoals o.a.: </w:t>
      </w:r>
    </w:p>
    <w:p w:rsidR="00B20925" w:rsidRPr="005740A6" w:rsidRDefault="00B20925" w:rsidP="00B20925">
      <w:pPr>
        <w:numPr>
          <w:ilvl w:val="0"/>
          <w:numId w:val="16"/>
        </w:numPr>
        <w:contextualSpacing/>
        <w:rPr>
          <w:rFonts w:ascii="Verdana" w:hAnsi="Verdana"/>
          <w:sz w:val="18"/>
          <w:szCs w:val="18"/>
        </w:rPr>
      </w:pPr>
      <w:r w:rsidRPr="005740A6">
        <w:rPr>
          <w:rFonts w:ascii="Verdana" w:hAnsi="Verdana"/>
          <w:sz w:val="18"/>
          <w:szCs w:val="18"/>
        </w:rPr>
        <w:t xml:space="preserve">Bijdrage aan </w:t>
      </w:r>
      <w:r>
        <w:rPr>
          <w:rFonts w:ascii="Verdana" w:hAnsi="Verdana"/>
          <w:sz w:val="18"/>
          <w:szCs w:val="18"/>
        </w:rPr>
        <w:t xml:space="preserve">het </w:t>
      </w:r>
      <w:r w:rsidRPr="005740A6">
        <w:rPr>
          <w:rFonts w:ascii="Verdana" w:hAnsi="Verdana"/>
          <w:sz w:val="18"/>
          <w:szCs w:val="18"/>
        </w:rPr>
        <w:t xml:space="preserve">SGM voor </w:t>
      </w:r>
      <w:r>
        <w:rPr>
          <w:rFonts w:ascii="Verdana" w:hAnsi="Verdana"/>
          <w:sz w:val="18"/>
          <w:szCs w:val="18"/>
        </w:rPr>
        <w:t xml:space="preserve">de </w:t>
      </w:r>
      <w:r w:rsidRPr="005740A6">
        <w:rPr>
          <w:rFonts w:ascii="Verdana" w:hAnsi="Verdana"/>
          <w:sz w:val="18"/>
          <w:szCs w:val="18"/>
        </w:rPr>
        <w:t>uitvoering van de regeling Samson</w:t>
      </w:r>
      <w:r>
        <w:rPr>
          <w:rFonts w:ascii="Verdana" w:hAnsi="Verdana"/>
          <w:sz w:val="18"/>
          <w:szCs w:val="18"/>
        </w:rPr>
        <w:t xml:space="preserve"> (betreft de financiële vergoeding die de overheid en jeugdzorg aanbieden aan slachtoffers of hun nabestaanden)</w:t>
      </w:r>
      <w:r w:rsidRPr="005740A6">
        <w:rPr>
          <w:rFonts w:ascii="Verdana" w:hAnsi="Verdana"/>
          <w:sz w:val="18"/>
          <w:szCs w:val="18"/>
        </w:rPr>
        <w:t>;</w:t>
      </w:r>
    </w:p>
    <w:p w:rsidR="00B20925" w:rsidRPr="005740A6" w:rsidRDefault="00B20925" w:rsidP="00B20925">
      <w:pPr>
        <w:numPr>
          <w:ilvl w:val="0"/>
          <w:numId w:val="16"/>
        </w:numPr>
        <w:contextualSpacing/>
        <w:rPr>
          <w:rFonts w:ascii="Verdana" w:hAnsi="Verdana"/>
          <w:sz w:val="18"/>
          <w:szCs w:val="18"/>
        </w:rPr>
      </w:pPr>
      <w:r w:rsidRPr="005740A6">
        <w:rPr>
          <w:rFonts w:ascii="Verdana" w:hAnsi="Verdana"/>
          <w:sz w:val="18"/>
          <w:szCs w:val="18"/>
        </w:rPr>
        <w:lastRenderedPageBreak/>
        <w:t xml:space="preserve">Mee- en tegenvallers binnen </w:t>
      </w:r>
      <w:r>
        <w:rPr>
          <w:rFonts w:ascii="Verdana" w:hAnsi="Verdana"/>
          <w:sz w:val="18"/>
          <w:szCs w:val="18"/>
        </w:rPr>
        <w:t xml:space="preserve">de artikelen 34 </w:t>
      </w:r>
      <w:r w:rsidRPr="005740A6">
        <w:rPr>
          <w:rFonts w:ascii="Verdana" w:hAnsi="Verdana"/>
          <w:sz w:val="18"/>
          <w:szCs w:val="18"/>
        </w:rPr>
        <w:t>Sanctietoepassing</w:t>
      </w:r>
      <w:r>
        <w:rPr>
          <w:rFonts w:ascii="Verdana" w:hAnsi="Verdana"/>
          <w:sz w:val="18"/>
          <w:szCs w:val="18"/>
        </w:rPr>
        <w:t xml:space="preserve"> 35 Jeugd </w:t>
      </w:r>
      <w:r w:rsidRPr="005740A6">
        <w:rPr>
          <w:rFonts w:ascii="Verdana" w:hAnsi="Verdana"/>
          <w:sz w:val="18"/>
          <w:szCs w:val="18"/>
        </w:rPr>
        <w:t xml:space="preserve">(zie ook </w:t>
      </w:r>
      <w:r>
        <w:rPr>
          <w:rFonts w:ascii="Verdana" w:hAnsi="Verdana"/>
          <w:sz w:val="18"/>
          <w:szCs w:val="18"/>
        </w:rPr>
        <w:t xml:space="preserve">de </w:t>
      </w:r>
      <w:r w:rsidRPr="005740A6">
        <w:rPr>
          <w:rFonts w:ascii="Verdana" w:hAnsi="Verdana"/>
          <w:sz w:val="18"/>
          <w:szCs w:val="18"/>
        </w:rPr>
        <w:t>algemene toelichting);</w:t>
      </w:r>
    </w:p>
    <w:p w:rsidR="00B20925" w:rsidRPr="005740A6" w:rsidRDefault="00B20925" w:rsidP="00B20925">
      <w:pPr>
        <w:numPr>
          <w:ilvl w:val="0"/>
          <w:numId w:val="16"/>
        </w:numPr>
        <w:contextualSpacing/>
        <w:rPr>
          <w:rFonts w:ascii="Verdana" w:hAnsi="Verdana"/>
          <w:sz w:val="18"/>
          <w:szCs w:val="18"/>
        </w:rPr>
      </w:pPr>
      <w:r>
        <w:rPr>
          <w:rFonts w:ascii="Verdana" w:hAnsi="Verdana"/>
          <w:sz w:val="18"/>
          <w:szCs w:val="18"/>
        </w:rPr>
        <w:t>E</w:t>
      </w:r>
      <w:r w:rsidRPr="005740A6">
        <w:rPr>
          <w:rFonts w:ascii="Verdana" w:hAnsi="Verdana"/>
          <w:sz w:val="18"/>
          <w:szCs w:val="18"/>
        </w:rPr>
        <w:t>en subsidiebijdrage van VWS voor de stichting</w:t>
      </w:r>
      <w:r>
        <w:rPr>
          <w:rFonts w:ascii="Verdana" w:hAnsi="Verdana"/>
          <w:sz w:val="18"/>
          <w:szCs w:val="18"/>
        </w:rPr>
        <w:t>en</w:t>
      </w:r>
      <w:r w:rsidRPr="005740A6">
        <w:rPr>
          <w:rFonts w:ascii="Verdana" w:hAnsi="Verdana"/>
          <w:sz w:val="18"/>
          <w:szCs w:val="18"/>
        </w:rPr>
        <w:t xml:space="preserve"> De Bocht en</w:t>
      </w:r>
      <w:r>
        <w:rPr>
          <w:rFonts w:ascii="Verdana" w:hAnsi="Verdana"/>
          <w:sz w:val="18"/>
          <w:szCs w:val="18"/>
        </w:rPr>
        <w:t xml:space="preserve"> </w:t>
      </w:r>
      <w:r w:rsidRPr="005740A6">
        <w:rPr>
          <w:rFonts w:ascii="Verdana" w:hAnsi="Verdana"/>
          <w:sz w:val="18"/>
          <w:szCs w:val="18"/>
        </w:rPr>
        <w:t>Fier</w:t>
      </w:r>
      <w:r>
        <w:rPr>
          <w:rFonts w:ascii="Verdana" w:hAnsi="Verdana"/>
          <w:sz w:val="18"/>
          <w:szCs w:val="18"/>
        </w:rPr>
        <w:t xml:space="preserve"> </w:t>
      </w:r>
      <w:proofErr w:type="spellStart"/>
      <w:r>
        <w:rPr>
          <w:rFonts w:ascii="Verdana" w:hAnsi="Verdana"/>
          <w:sz w:val="18"/>
          <w:szCs w:val="18"/>
        </w:rPr>
        <w:t>Fryslan</w:t>
      </w:r>
      <w:proofErr w:type="spellEnd"/>
      <w:r w:rsidRPr="005740A6">
        <w:rPr>
          <w:rFonts w:ascii="Verdana" w:hAnsi="Verdana"/>
          <w:sz w:val="18"/>
          <w:szCs w:val="18"/>
        </w:rPr>
        <w:t>.</w:t>
      </w:r>
    </w:p>
    <w:p w:rsidR="00B20925" w:rsidRPr="00BC1BB1" w:rsidRDefault="00B20925" w:rsidP="00B20925">
      <w:pPr>
        <w:rPr>
          <w:rFonts w:ascii="Verdana" w:hAnsi="Verdana" w:cs="Arial"/>
        </w:rPr>
      </w:pPr>
    </w:p>
    <w:p w:rsidR="00B20925" w:rsidRPr="008A4006" w:rsidRDefault="00B20925" w:rsidP="00B20925">
      <w:pPr>
        <w:rPr>
          <w:rFonts w:ascii="Verdana" w:hAnsi="Verdana" w:cs="Arial"/>
          <w:b/>
          <w:sz w:val="18"/>
          <w:szCs w:val="18"/>
        </w:rPr>
      </w:pPr>
    </w:p>
    <w:p w:rsidR="00B20925" w:rsidRPr="008A4006" w:rsidRDefault="00B20925" w:rsidP="00B20925">
      <w:pPr>
        <w:rPr>
          <w:rFonts w:ascii="Verdana" w:hAnsi="Verdana" w:cs="Arial"/>
          <w:i/>
          <w:sz w:val="18"/>
          <w:szCs w:val="18"/>
        </w:rPr>
      </w:pPr>
      <w:r w:rsidRPr="008A4006">
        <w:rPr>
          <w:rFonts w:ascii="Verdana" w:hAnsi="Verdana" w:cs="Arial"/>
          <w:i/>
          <w:sz w:val="18"/>
          <w:szCs w:val="18"/>
        </w:rPr>
        <w:t>35.3 Tenuitvoerlegging justiti</w:t>
      </w:r>
      <w:r w:rsidRPr="008A4006">
        <w:rPr>
          <w:rFonts w:ascii="Verdana" w:hAnsi="Verdana" w:cs="Arial" w:hint="eastAsia"/>
          <w:i/>
          <w:sz w:val="18"/>
          <w:szCs w:val="18"/>
        </w:rPr>
        <w:t>ë</w:t>
      </w:r>
      <w:r w:rsidRPr="008A4006">
        <w:rPr>
          <w:rFonts w:ascii="Verdana" w:hAnsi="Verdana" w:cs="Arial"/>
          <w:i/>
          <w:sz w:val="18"/>
          <w:szCs w:val="18"/>
        </w:rPr>
        <w:t>le sancties jeugd</w:t>
      </w:r>
    </w:p>
    <w:p w:rsidR="00B20925" w:rsidRPr="008A4006" w:rsidRDefault="00B20925" w:rsidP="00B20925">
      <w:pPr>
        <w:contextualSpacing/>
        <w:rPr>
          <w:rFonts w:ascii="Verdana" w:hAnsi="Verdana"/>
          <w:sz w:val="18"/>
          <w:szCs w:val="18"/>
        </w:rPr>
      </w:pPr>
      <w:r w:rsidRPr="008A4006">
        <w:rPr>
          <w:rFonts w:ascii="Verdana" w:hAnsi="Verdana"/>
          <w:sz w:val="18"/>
          <w:szCs w:val="18"/>
        </w:rPr>
        <w:t>De mutatie op dit artikel onderdeel wordt o.a. veroorzaakt door:</w:t>
      </w:r>
    </w:p>
    <w:p w:rsidR="00B20925" w:rsidRDefault="00B20925" w:rsidP="00B20925">
      <w:pPr>
        <w:numPr>
          <w:ilvl w:val="0"/>
          <w:numId w:val="17"/>
        </w:numPr>
        <w:contextualSpacing/>
        <w:rPr>
          <w:rFonts w:ascii="Verdana" w:hAnsi="Verdana"/>
          <w:sz w:val="18"/>
          <w:szCs w:val="18"/>
        </w:rPr>
      </w:pPr>
      <w:r>
        <w:rPr>
          <w:rFonts w:ascii="Verdana" w:hAnsi="Verdana"/>
          <w:sz w:val="18"/>
          <w:szCs w:val="18"/>
        </w:rPr>
        <w:t xml:space="preserve">Een budgetoverheveling van € 7,8 mln. vanuit OCW naar </w:t>
      </w:r>
      <w:proofErr w:type="spellStart"/>
      <w:r>
        <w:rPr>
          <w:rFonts w:ascii="Verdana" w:hAnsi="Verdana"/>
          <w:sz w:val="18"/>
          <w:szCs w:val="18"/>
        </w:rPr>
        <w:t>VenJ</w:t>
      </w:r>
      <w:proofErr w:type="spellEnd"/>
      <w:r>
        <w:rPr>
          <w:rFonts w:ascii="Verdana" w:hAnsi="Verdana"/>
          <w:sz w:val="18"/>
          <w:szCs w:val="18"/>
        </w:rPr>
        <w:t>. Het betreft onderwijsmiddelen die in 2013 zijn</w:t>
      </w:r>
      <w:r w:rsidRPr="008A4006">
        <w:rPr>
          <w:rFonts w:ascii="Verdana" w:hAnsi="Verdana"/>
          <w:sz w:val="18"/>
          <w:szCs w:val="18"/>
        </w:rPr>
        <w:t xml:space="preserve"> overgeheveld naar de OCW-begroting voor onderwijsactiviteiten binnen de beslotenheid van Justitiële Jeugdinrichtingen. Door een neerwaartse bijstelling van de benodigde capaciteit van de </w:t>
      </w:r>
      <w:proofErr w:type="spellStart"/>
      <w:r w:rsidRPr="008A4006">
        <w:rPr>
          <w:rFonts w:ascii="Verdana" w:hAnsi="Verdana"/>
          <w:sz w:val="18"/>
          <w:szCs w:val="18"/>
        </w:rPr>
        <w:t>JJI’s</w:t>
      </w:r>
      <w:proofErr w:type="spellEnd"/>
      <w:r w:rsidRPr="008A4006">
        <w:rPr>
          <w:rFonts w:ascii="Verdana" w:hAnsi="Verdana"/>
          <w:sz w:val="18"/>
          <w:szCs w:val="18"/>
        </w:rPr>
        <w:t xml:space="preserve"> vallen deze middelen deels vrij</w:t>
      </w:r>
      <w:r>
        <w:rPr>
          <w:rFonts w:ascii="Verdana" w:hAnsi="Verdana"/>
          <w:sz w:val="18"/>
          <w:szCs w:val="18"/>
        </w:rPr>
        <w:t>.</w:t>
      </w:r>
    </w:p>
    <w:p w:rsidR="00B20925" w:rsidRPr="008A4006" w:rsidRDefault="00B20925" w:rsidP="00B20925">
      <w:pPr>
        <w:numPr>
          <w:ilvl w:val="0"/>
          <w:numId w:val="30"/>
        </w:numPr>
        <w:ind w:left="360"/>
        <w:contextualSpacing/>
        <w:rPr>
          <w:rFonts w:ascii="Verdana" w:hAnsi="Verdana"/>
          <w:sz w:val="18"/>
          <w:szCs w:val="18"/>
        </w:rPr>
      </w:pPr>
      <w:r>
        <w:rPr>
          <w:rFonts w:ascii="Verdana" w:hAnsi="Verdana"/>
          <w:sz w:val="18"/>
          <w:szCs w:val="18"/>
        </w:rPr>
        <w:t>Diverse m</w:t>
      </w:r>
      <w:r w:rsidRPr="008A4006">
        <w:rPr>
          <w:rFonts w:ascii="Verdana" w:hAnsi="Verdana"/>
          <w:sz w:val="18"/>
          <w:szCs w:val="18"/>
        </w:rPr>
        <w:t xml:space="preserve">ee –en tegenvallers binnen </w:t>
      </w:r>
      <w:r>
        <w:rPr>
          <w:rFonts w:ascii="Verdana" w:hAnsi="Verdana"/>
          <w:sz w:val="18"/>
          <w:szCs w:val="18"/>
        </w:rPr>
        <w:t xml:space="preserve">de artikelen </w:t>
      </w:r>
      <w:r w:rsidRPr="008A4006">
        <w:rPr>
          <w:rFonts w:ascii="Verdana" w:hAnsi="Verdana"/>
          <w:sz w:val="18"/>
          <w:szCs w:val="18"/>
        </w:rPr>
        <w:t>Sanctietoepassing</w:t>
      </w:r>
      <w:r>
        <w:rPr>
          <w:rFonts w:ascii="Verdana" w:hAnsi="Verdana"/>
          <w:sz w:val="18"/>
          <w:szCs w:val="18"/>
        </w:rPr>
        <w:t xml:space="preserve"> en Jeugd </w:t>
      </w:r>
      <w:r w:rsidRPr="008A4006">
        <w:rPr>
          <w:rFonts w:ascii="Verdana" w:hAnsi="Verdana"/>
          <w:sz w:val="18"/>
          <w:szCs w:val="18"/>
        </w:rPr>
        <w:t>(zie ook</w:t>
      </w:r>
      <w:r>
        <w:rPr>
          <w:rFonts w:ascii="Verdana" w:hAnsi="Verdana"/>
          <w:sz w:val="18"/>
          <w:szCs w:val="18"/>
        </w:rPr>
        <w:t xml:space="preserve"> de </w:t>
      </w:r>
      <w:r w:rsidRPr="008A4006">
        <w:rPr>
          <w:rFonts w:ascii="Verdana" w:hAnsi="Verdana"/>
          <w:sz w:val="18"/>
          <w:szCs w:val="18"/>
        </w:rPr>
        <w:t>algemene toelichting).</w:t>
      </w:r>
    </w:p>
    <w:p w:rsidR="00B20925" w:rsidRDefault="00B20925" w:rsidP="00B20925">
      <w:pPr>
        <w:rPr>
          <w:rFonts w:ascii="Verdana" w:hAnsi="Verdana" w:cs="Arial"/>
          <w:i/>
        </w:rPr>
      </w:pPr>
    </w:p>
    <w:p w:rsidR="00B20925" w:rsidRDefault="00B20925" w:rsidP="00B20925">
      <w:pPr>
        <w:rPr>
          <w:rFonts w:ascii="Verdana" w:hAnsi="Verdana" w:cs="Arial"/>
          <w:i/>
        </w:rPr>
      </w:pPr>
    </w:p>
    <w:p w:rsidR="00B20925" w:rsidRPr="00BC1BB1" w:rsidRDefault="00B20925" w:rsidP="00B20925">
      <w:pPr>
        <w:rPr>
          <w:rFonts w:ascii="Verdana" w:hAnsi="Verdana" w:cs="Arial"/>
          <w:b/>
        </w:rPr>
      </w:pPr>
    </w:p>
    <w:p w:rsidR="00B20925" w:rsidRPr="00BC1BB1" w:rsidRDefault="00B20925" w:rsidP="00B20925">
      <w:pPr>
        <w:rPr>
          <w:rFonts w:ascii="Verdana" w:hAnsi="Verdana" w:cs="Arial"/>
        </w:rPr>
      </w:pPr>
    </w:p>
    <w:p w:rsidR="00B20925" w:rsidRPr="00BC1BB1" w:rsidRDefault="00B20925" w:rsidP="00B20925">
      <w:pPr>
        <w:rPr>
          <w:rFonts w:ascii="Verdana" w:hAnsi="Verdana" w:cs="Arial"/>
        </w:rPr>
      </w:pPr>
    </w:p>
    <w:p w:rsidR="00B20925" w:rsidRPr="00F24E6D" w:rsidRDefault="00B20925" w:rsidP="00B20925">
      <w:pPr>
        <w:rPr>
          <w:rFonts w:ascii="Verdana" w:hAnsi="Verdana" w:cs="Arial"/>
          <w:b/>
        </w:rPr>
      </w:pPr>
      <w:r w:rsidRPr="00F24E6D">
        <w:rPr>
          <w:rFonts w:ascii="Verdana" w:hAnsi="Verdana" w:cs="Arial"/>
          <w:b/>
        </w:rPr>
        <w:t>Mutaties ontvangsten</w:t>
      </w:r>
    </w:p>
    <w:p w:rsidR="00B20925" w:rsidRPr="003304A7" w:rsidRDefault="00B20925" w:rsidP="00B20925">
      <w:pPr>
        <w:rPr>
          <w:rFonts w:ascii="Verdana" w:hAnsi="Verdana" w:cs="Arial"/>
          <w:b/>
          <w:sz w:val="18"/>
          <w:szCs w:val="18"/>
        </w:rPr>
      </w:pPr>
    </w:p>
    <w:p w:rsidR="00B20925" w:rsidRPr="00473E38" w:rsidRDefault="00B20925" w:rsidP="00B20925">
      <w:pPr>
        <w:rPr>
          <w:rFonts w:ascii="Verdana" w:hAnsi="Verdana" w:cs="Arial"/>
          <w:sz w:val="18"/>
          <w:szCs w:val="18"/>
        </w:rPr>
      </w:pPr>
      <w:r w:rsidRPr="00473E38">
        <w:rPr>
          <w:rFonts w:ascii="Verdana" w:hAnsi="Verdana" w:cs="Arial"/>
          <w:sz w:val="18"/>
          <w:szCs w:val="18"/>
        </w:rPr>
        <w:t>Het budget op dit artikelonderdeel wordt verhoogd als gevolg van met name de volgende mutaties:</w:t>
      </w:r>
    </w:p>
    <w:p w:rsidR="00B20925" w:rsidRPr="00473E38" w:rsidRDefault="00B20925" w:rsidP="00B20925">
      <w:pPr>
        <w:numPr>
          <w:ilvl w:val="0"/>
          <w:numId w:val="18"/>
        </w:numPr>
        <w:rPr>
          <w:rFonts w:ascii="Verdana" w:hAnsi="Verdana" w:cs="Arial"/>
          <w:sz w:val="18"/>
          <w:szCs w:val="18"/>
        </w:rPr>
      </w:pPr>
      <w:r w:rsidRPr="00473E38">
        <w:rPr>
          <w:rFonts w:ascii="Verdana" w:hAnsi="Verdana" w:cs="Arial"/>
          <w:sz w:val="18"/>
          <w:szCs w:val="18"/>
        </w:rPr>
        <w:t xml:space="preserve">De ontvangstenmeevaller € 7mln. op dit artikel </w:t>
      </w:r>
      <w:r>
        <w:rPr>
          <w:rFonts w:ascii="Verdana" w:hAnsi="Verdana" w:cs="Arial"/>
          <w:sz w:val="18"/>
          <w:szCs w:val="18"/>
        </w:rPr>
        <w:t xml:space="preserve">die </w:t>
      </w:r>
      <w:r w:rsidRPr="00473E38">
        <w:rPr>
          <w:rFonts w:ascii="Verdana" w:hAnsi="Verdana" w:cs="Arial"/>
          <w:sz w:val="18"/>
          <w:szCs w:val="18"/>
        </w:rPr>
        <w:t>wordt ingezet om de tekorten binnen Jeugd en Sanctietoepassing te dekken (zie ook de algemene toelichting);</w:t>
      </w:r>
    </w:p>
    <w:p w:rsidR="00B20925" w:rsidRPr="00473E38" w:rsidRDefault="00B20925" w:rsidP="00B20925">
      <w:pPr>
        <w:numPr>
          <w:ilvl w:val="0"/>
          <w:numId w:val="18"/>
        </w:numPr>
        <w:rPr>
          <w:rFonts w:ascii="Verdana" w:hAnsi="Verdana" w:cs="Arial"/>
          <w:sz w:val="18"/>
          <w:szCs w:val="18"/>
        </w:rPr>
      </w:pPr>
      <w:r w:rsidRPr="00473E38">
        <w:rPr>
          <w:rFonts w:ascii="Verdana" w:hAnsi="Verdana" w:cs="Arial"/>
          <w:sz w:val="18"/>
          <w:szCs w:val="18"/>
        </w:rPr>
        <w:t>Op dit artikel doen zich verder alleen kleinere mutaties (&lt; € 5 mln.) voor zoals o.a. :</w:t>
      </w:r>
    </w:p>
    <w:p w:rsidR="00B20925" w:rsidRPr="00473E38" w:rsidRDefault="00B20925" w:rsidP="00B20925">
      <w:pPr>
        <w:numPr>
          <w:ilvl w:val="0"/>
          <w:numId w:val="16"/>
        </w:numPr>
        <w:rPr>
          <w:rFonts w:ascii="Verdana" w:hAnsi="Verdana" w:cs="Arial"/>
          <w:sz w:val="18"/>
          <w:szCs w:val="18"/>
        </w:rPr>
      </w:pPr>
      <w:r w:rsidRPr="00473E38">
        <w:rPr>
          <w:rFonts w:ascii="Verdana" w:hAnsi="Verdana" w:cs="Arial"/>
          <w:sz w:val="18"/>
          <w:szCs w:val="18"/>
        </w:rPr>
        <w:t xml:space="preserve">een meevaller bij de Raad van de Kinderbescherming die </w:t>
      </w:r>
      <w:r>
        <w:rPr>
          <w:rFonts w:ascii="Verdana" w:hAnsi="Verdana" w:cs="Arial"/>
          <w:sz w:val="18"/>
          <w:szCs w:val="18"/>
        </w:rPr>
        <w:t xml:space="preserve">voor het </w:t>
      </w:r>
      <w:r w:rsidRPr="00473E38">
        <w:rPr>
          <w:rFonts w:ascii="Verdana" w:hAnsi="Verdana" w:cs="Arial"/>
          <w:sz w:val="18"/>
          <w:szCs w:val="18"/>
        </w:rPr>
        <w:t xml:space="preserve">merendeel bestaat uit extra ontvangsten in het kader van IF-contracten/ detacheringen van eigen personeel bij andere onderdelen van </w:t>
      </w:r>
      <w:proofErr w:type="spellStart"/>
      <w:r w:rsidRPr="00473E38">
        <w:rPr>
          <w:rFonts w:ascii="Verdana" w:hAnsi="Verdana" w:cs="Arial"/>
          <w:sz w:val="18"/>
          <w:szCs w:val="18"/>
        </w:rPr>
        <w:t>VenJ</w:t>
      </w:r>
      <w:proofErr w:type="spellEnd"/>
      <w:r>
        <w:rPr>
          <w:rFonts w:ascii="Verdana" w:hAnsi="Verdana" w:cs="Arial"/>
          <w:sz w:val="18"/>
          <w:szCs w:val="18"/>
        </w:rPr>
        <w:t>.</w:t>
      </w:r>
    </w:p>
    <w:p w:rsidR="00B20925" w:rsidRPr="00473E38" w:rsidRDefault="00B20925" w:rsidP="00B20925">
      <w:pPr>
        <w:numPr>
          <w:ilvl w:val="0"/>
          <w:numId w:val="16"/>
        </w:numPr>
        <w:rPr>
          <w:rFonts w:ascii="Verdana" w:hAnsi="Verdana" w:cs="Arial"/>
          <w:sz w:val="18"/>
          <w:szCs w:val="18"/>
        </w:rPr>
      </w:pPr>
      <w:r w:rsidRPr="00473E38">
        <w:rPr>
          <w:rFonts w:ascii="Verdana" w:hAnsi="Verdana" w:cs="Arial"/>
          <w:sz w:val="18"/>
          <w:szCs w:val="18"/>
        </w:rPr>
        <w:t>een meevaller bij de Landelijke Bureau Inning Onderhoudsbijdrage (LBIO) die wordt veroorzaakt door de definitieve vaststelling subsidie 2013.</w:t>
      </w:r>
    </w:p>
    <w:p w:rsidR="00B20925" w:rsidRPr="00C94906" w:rsidRDefault="00B20925" w:rsidP="00B20925">
      <w:pPr>
        <w:rPr>
          <w:rFonts w:ascii="Verdana" w:hAnsi="Verdana" w:cs="Arial"/>
          <w:b/>
          <w:sz w:val="22"/>
          <w:szCs w:val="22"/>
        </w:rPr>
      </w:pPr>
      <w:r w:rsidRPr="003304A7">
        <w:rPr>
          <w:rFonts w:ascii="Verdana" w:hAnsi="Verdana" w:cs="Arial"/>
          <w:b/>
          <w:sz w:val="18"/>
          <w:szCs w:val="18"/>
        </w:rPr>
        <w:br w:type="page"/>
      </w:r>
      <w:r w:rsidRPr="00BC1BB1">
        <w:rPr>
          <w:rFonts w:ascii="Verdana" w:hAnsi="Verdana" w:cs="Arial"/>
          <w:b/>
        </w:rPr>
        <w:lastRenderedPageBreak/>
        <w:t>36 Contraterrorisme en Nationaal Veiligheidsbe</w:t>
      </w:r>
      <w:r>
        <w:rPr>
          <w:rFonts w:ascii="Verdana" w:hAnsi="Verdana" w:cs="Arial"/>
          <w:b/>
        </w:rPr>
        <w:t>leid</w:t>
      </w:r>
      <w:r w:rsidRPr="00BC1BB1">
        <w:rPr>
          <w:rFonts w:ascii="Verdana" w:hAnsi="Verdana" w:cs="Arial"/>
          <w:b/>
        </w:rPr>
        <w:t xml:space="preserve"> </w:t>
      </w:r>
    </w:p>
    <w:p w:rsidR="00B20925" w:rsidRDefault="00B20925" w:rsidP="00B20925">
      <w:pPr>
        <w:rPr>
          <w:rFonts w:ascii="Verdana" w:hAnsi="Verdana" w:cs="Arial"/>
          <w:b/>
          <w:sz w:val="22"/>
          <w:szCs w:val="22"/>
        </w:rPr>
      </w:pPr>
    </w:p>
    <w:tbl>
      <w:tblPr>
        <w:tblW w:w="5000" w:type="pct"/>
        <w:tblCellMar>
          <w:left w:w="70" w:type="dxa"/>
          <w:right w:w="70" w:type="dxa"/>
        </w:tblCellMar>
        <w:tblLook w:val="04A0" w:firstRow="1" w:lastRow="0" w:firstColumn="1" w:lastColumn="0" w:noHBand="0" w:noVBand="1"/>
      </w:tblPr>
      <w:tblGrid>
        <w:gridCol w:w="177"/>
        <w:gridCol w:w="4909"/>
        <w:gridCol w:w="903"/>
        <w:gridCol w:w="822"/>
        <w:gridCol w:w="822"/>
        <w:gridCol w:w="823"/>
      </w:tblGrid>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Budgettaire gevolgen van beleid</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x € 1.000</w:t>
            </w:r>
          </w:p>
        </w:tc>
      </w:tr>
      <w:tr w:rsidR="00B20925" w:rsidRPr="00B43668" w:rsidTr="00250DD1">
        <w:trPr>
          <w:trHeight w:val="675"/>
        </w:trPr>
        <w:tc>
          <w:tcPr>
            <w:tcW w:w="85" w:type="pct"/>
            <w:tcBorders>
              <w:top w:val="single" w:sz="4" w:space="0" w:color="auto"/>
              <w:left w:val="nil"/>
              <w:bottom w:val="single" w:sz="4" w:space="0" w:color="auto"/>
              <w:right w:val="nil"/>
            </w:tcBorders>
            <w:shd w:val="clear" w:color="000000" w:fill="FFFFCC"/>
            <w:noWrap/>
            <w:hideMark/>
          </w:tcPr>
          <w:p w:rsidR="00B20925" w:rsidRPr="00B43668" w:rsidRDefault="00B20925" w:rsidP="00250DD1">
            <w:pPr>
              <w:rPr>
                <w:rFonts w:cs="Arial"/>
                <w:b/>
                <w:bCs/>
                <w:sz w:val="16"/>
                <w:szCs w:val="16"/>
              </w:rPr>
            </w:pPr>
            <w:r w:rsidRPr="00B43668">
              <w:rPr>
                <w:rFonts w:cs="Arial"/>
                <w:b/>
                <w:bCs/>
                <w:sz w:val="16"/>
                <w:szCs w:val="16"/>
              </w:rPr>
              <w:t> </w:t>
            </w:r>
          </w:p>
        </w:tc>
        <w:tc>
          <w:tcPr>
            <w:tcW w:w="2906" w:type="pct"/>
            <w:tcBorders>
              <w:top w:val="single" w:sz="4" w:space="0" w:color="auto"/>
              <w:left w:val="nil"/>
              <w:bottom w:val="single" w:sz="4" w:space="0" w:color="auto"/>
              <w:right w:val="nil"/>
            </w:tcBorders>
            <w:shd w:val="clear" w:color="000000" w:fill="FFFFCC"/>
            <w:hideMark/>
          </w:tcPr>
          <w:p w:rsidR="00B20925" w:rsidRPr="00B43668" w:rsidRDefault="00B20925" w:rsidP="00250DD1">
            <w:pPr>
              <w:jc w:val="right"/>
              <w:rPr>
                <w:rFonts w:cs="Arial"/>
                <w:sz w:val="16"/>
                <w:szCs w:val="16"/>
              </w:rPr>
            </w:pPr>
            <w:r w:rsidRPr="00B43668">
              <w:rPr>
                <w:rFonts w:cs="Arial"/>
                <w:sz w:val="16"/>
                <w:szCs w:val="16"/>
              </w:rPr>
              <w:t> </w:t>
            </w:r>
          </w:p>
        </w:tc>
        <w:tc>
          <w:tcPr>
            <w:tcW w:w="538" w:type="pct"/>
            <w:tcBorders>
              <w:top w:val="single" w:sz="4" w:space="0" w:color="auto"/>
              <w:left w:val="nil"/>
              <w:bottom w:val="single" w:sz="4" w:space="0" w:color="auto"/>
              <w:right w:val="nil"/>
            </w:tcBorders>
            <w:shd w:val="clear" w:color="000000" w:fill="FFFFCC"/>
            <w:hideMark/>
          </w:tcPr>
          <w:p w:rsidR="00B20925" w:rsidRPr="00B43668" w:rsidRDefault="00B20925" w:rsidP="00250DD1">
            <w:pPr>
              <w:jc w:val="right"/>
              <w:rPr>
                <w:rFonts w:cs="Arial"/>
                <w:sz w:val="16"/>
                <w:szCs w:val="16"/>
              </w:rPr>
            </w:pPr>
            <w:r w:rsidRPr="00B43668">
              <w:rPr>
                <w:rFonts w:cs="Arial"/>
                <w:sz w:val="16"/>
                <w:szCs w:val="16"/>
              </w:rPr>
              <w:t xml:space="preserve">Stand vastgestelde begroting </w:t>
            </w:r>
          </w:p>
        </w:tc>
        <w:tc>
          <w:tcPr>
            <w:tcW w:w="490" w:type="pct"/>
            <w:tcBorders>
              <w:top w:val="single" w:sz="4" w:space="0" w:color="auto"/>
              <w:left w:val="nil"/>
              <w:bottom w:val="single" w:sz="4" w:space="0" w:color="auto"/>
              <w:right w:val="nil"/>
            </w:tcBorders>
            <w:shd w:val="clear" w:color="000000" w:fill="FFFFCC"/>
            <w:hideMark/>
          </w:tcPr>
          <w:p w:rsidR="00B20925" w:rsidRPr="00B43668" w:rsidRDefault="00B20925" w:rsidP="00250DD1">
            <w:pPr>
              <w:jc w:val="right"/>
              <w:rPr>
                <w:rFonts w:cs="Arial"/>
                <w:sz w:val="16"/>
                <w:szCs w:val="16"/>
              </w:rPr>
            </w:pPr>
            <w:r w:rsidRPr="00B43668">
              <w:rPr>
                <w:rFonts w:cs="Arial"/>
                <w:sz w:val="16"/>
                <w:szCs w:val="16"/>
              </w:rPr>
              <w:t>Stand 1e suppletoire begroting</w:t>
            </w:r>
          </w:p>
        </w:tc>
        <w:tc>
          <w:tcPr>
            <w:tcW w:w="490" w:type="pct"/>
            <w:tcBorders>
              <w:top w:val="single" w:sz="4" w:space="0" w:color="auto"/>
              <w:left w:val="nil"/>
              <w:bottom w:val="single" w:sz="4" w:space="0" w:color="auto"/>
              <w:right w:val="nil"/>
            </w:tcBorders>
            <w:shd w:val="clear" w:color="000000" w:fill="FFFFCC"/>
            <w:hideMark/>
          </w:tcPr>
          <w:p w:rsidR="00B20925" w:rsidRPr="00B43668" w:rsidRDefault="00B20925" w:rsidP="00250DD1">
            <w:pPr>
              <w:jc w:val="right"/>
              <w:rPr>
                <w:rFonts w:cs="Arial"/>
                <w:sz w:val="16"/>
                <w:szCs w:val="16"/>
              </w:rPr>
            </w:pPr>
            <w:r w:rsidRPr="00B43668">
              <w:rPr>
                <w:rFonts w:cs="Arial"/>
                <w:sz w:val="16"/>
                <w:szCs w:val="16"/>
              </w:rPr>
              <w:t>Mutaties 2e suppletoire begroting</w:t>
            </w:r>
          </w:p>
        </w:tc>
        <w:tc>
          <w:tcPr>
            <w:tcW w:w="490" w:type="pct"/>
            <w:tcBorders>
              <w:top w:val="single" w:sz="4" w:space="0" w:color="auto"/>
              <w:left w:val="nil"/>
              <w:bottom w:val="single" w:sz="4" w:space="0" w:color="auto"/>
              <w:right w:val="nil"/>
            </w:tcBorders>
            <w:shd w:val="clear" w:color="000000" w:fill="FFFFCC"/>
            <w:hideMark/>
          </w:tcPr>
          <w:p w:rsidR="00B20925" w:rsidRPr="00B43668" w:rsidRDefault="00B20925" w:rsidP="00250DD1">
            <w:pPr>
              <w:jc w:val="right"/>
              <w:rPr>
                <w:rFonts w:cs="Arial"/>
                <w:sz w:val="16"/>
                <w:szCs w:val="16"/>
              </w:rPr>
            </w:pPr>
            <w:r w:rsidRPr="00B43668">
              <w:rPr>
                <w:rFonts w:cs="Arial"/>
                <w:sz w:val="16"/>
                <w:szCs w:val="16"/>
              </w:rPr>
              <w:t>Stand 2e suppletoire begroting</w:t>
            </w:r>
          </w:p>
        </w:tc>
      </w:tr>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Verplichtingen</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253.413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253.813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-732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253.081</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Programma-uitgaven</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253.413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253.813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-732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253.081</w:t>
            </w:r>
          </w:p>
        </w:tc>
      </w:tr>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i/>
                <w:iCs/>
                <w:sz w:val="16"/>
                <w:szCs w:val="16"/>
              </w:rPr>
            </w:pPr>
            <w:r w:rsidRPr="00B43668">
              <w:rPr>
                <w:rFonts w:cs="Arial"/>
                <w:i/>
                <w:iCs/>
                <w:sz w:val="16"/>
                <w:szCs w:val="16"/>
              </w:rPr>
              <w:t>Waarvan juridisch verplicht</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i/>
                <w:iCs/>
                <w:sz w:val="16"/>
                <w:szCs w:val="16"/>
              </w:rPr>
            </w:pPr>
            <w:r w:rsidRPr="00B43668">
              <w:rPr>
                <w:rFonts w:cs="Arial"/>
                <w:i/>
                <w:iCs/>
                <w:sz w:val="16"/>
                <w:szCs w:val="16"/>
              </w:rPr>
              <w:t>96,78%</w:t>
            </w:r>
          </w:p>
        </w:tc>
      </w:tr>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36.2 Nationale Veiligheid en terrorismebestrijding</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Bijdragen aan agentschappen</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Overig Nationale Veiligheid en terrorismebestrijding</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320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320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320</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Bijdragen aan ZBO's/</w:t>
            </w:r>
            <w:proofErr w:type="spellStart"/>
            <w:r w:rsidRPr="00B43668">
              <w:rPr>
                <w:rFonts w:cs="Arial"/>
                <w:b/>
                <w:bCs/>
                <w:sz w:val="16"/>
                <w:szCs w:val="16"/>
              </w:rPr>
              <w:t>RWT's</w:t>
            </w:r>
            <w:proofErr w:type="spellEnd"/>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Instituut Fysieke Veiligheid (IFV)</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30.236</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30.772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30.804</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Bijdragen aan medeoverheden</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Brede Doeluitkering Rampenbestrijding (</w:t>
            </w:r>
            <w:proofErr w:type="spellStart"/>
            <w:r w:rsidRPr="00B43668">
              <w:rPr>
                <w:rFonts w:cs="Arial"/>
                <w:sz w:val="16"/>
                <w:szCs w:val="16"/>
              </w:rPr>
              <w:t>BDuR</w:t>
            </w:r>
            <w:proofErr w:type="spellEnd"/>
            <w:r w:rsidRPr="00B43668">
              <w:rPr>
                <w:rFonts w:cs="Arial"/>
                <w:sz w:val="16"/>
                <w:szCs w:val="16"/>
              </w:rPr>
              <w:t>)</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176.770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176.770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125</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176.895</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Overig Nationale Veiligheid en terrorismebestrijding</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2.999</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5.633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6</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5.639</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Subsidies</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Nederlands Rode Kruis</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1.685</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1.685</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8</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1.693</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 xml:space="preserve">Nationaal </w:t>
            </w:r>
            <w:proofErr w:type="spellStart"/>
            <w:r w:rsidRPr="00B43668">
              <w:rPr>
                <w:rFonts w:cs="Arial"/>
                <w:sz w:val="16"/>
                <w:szCs w:val="16"/>
              </w:rPr>
              <w:t>Veiligheids</w:t>
            </w:r>
            <w:proofErr w:type="spellEnd"/>
            <w:r w:rsidRPr="00B43668">
              <w:rPr>
                <w:rFonts w:cs="Arial"/>
                <w:sz w:val="16"/>
                <w:szCs w:val="16"/>
              </w:rPr>
              <w:t xml:space="preserve"> Instituut</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1.305</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1.305</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1.305</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Onderwijs Veiligheidsregio's</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1.930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0</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Overig Nationale Veiligheid en terrorismebestrijding</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4.950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1.394</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1.394</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Opdrachten</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Project NL-Alert</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2.900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6.181</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-250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5.931</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Opdrachten NCSC</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8.343</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3.634</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-500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3.134</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Overig terrorismebestrijding</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2.257</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4.657</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-1.042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3.615</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Overig Nationale Veiligheid</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8.578</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10.322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877</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11.199</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2992" w:type="pct"/>
            <w:gridSpan w:val="2"/>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r w:rsidRPr="00B43668">
              <w:rPr>
                <w:rFonts w:cs="Arial"/>
                <w:sz w:val="16"/>
                <w:szCs w:val="16"/>
              </w:rPr>
              <w:t xml:space="preserve">36.3 </w:t>
            </w:r>
            <w:proofErr w:type="spellStart"/>
            <w:r w:rsidRPr="00B43668">
              <w:rPr>
                <w:rFonts w:cs="Arial"/>
                <w:sz w:val="16"/>
                <w:szCs w:val="16"/>
              </w:rPr>
              <w:t>Onderzoeksraad</w:t>
            </w:r>
            <w:proofErr w:type="spellEnd"/>
            <w:r w:rsidRPr="00B43668">
              <w:rPr>
                <w:rFonts w:cs="Arial"/>
                <w:sz w:val="16"/>
                <w:szCs w:val="16"/>
              </w:rPr>
              <w:t xml:space="preserve"> voor Veiligheid</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Bijdragen aan ZBO's/</w:t>
            </w:r>
            <w:proofErr w:type="spellStart"/>
            <w:r w:rsidRPr="00B43668">
              <w:rPr>
                <w:rFonts w:cs="Arial"/>
                <w:b/>
                <w:bCs/>
                <w:sz w:val="16"/>
                <w:szCs w:val="16"/>
              </w:rPr>
              <w:t>RWT's</w:t>
            </w:r>
            <w:proofErr w:type="spellEnd"/>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roofErr w:type="spellStart"/>
            <w:r w:rsidRPr="00B43668">
              <w:rPr>
                <w:rFonts w:cs="Arial"/>
                <w:sz w:val="16"/>
                <w:szCs w:val="16"/>
              </w:rPr>
              <w:t>Onderzoeksraad</w:t>
            </w:r>
            <w:proofErr w:type="spellEnd"/>
            <w:r w:rsidRPr="00B43668">
              <w:rPr>
                <w:rFonts w:cs="Arial"/>
                <w:sz w:val="16"/>
                <w:szCs w:val="16"/>
              </w:rPr>
              <w:t xml:space="preserve"> voor Veiligheid</w:t>
            </w:r>
          </w:p>
        </w:tc>
        <w:tc>
          <w:tcPr>
            <w:tcW w:w="538"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11.140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11.140</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12</w:t>
            </w:r>
          </w:p>
        </w:tc>
        <w:tc>
          <w:tcPr>
            <w:tcW w:w="490" w:type="pct"/>
            <w:tcBorders>
              <w:top w:val="nil"/>
              <w:left w:val="nil"/>
              <w:bottom w:val="nil"/>
              <w:right w:val="nil"/>
            </w:tcBorders>
            <w:shd w:val="clear" w:color="auto" w:fill="auto"/>
            <w:noWrap/>
            <w:vAlign w:val="bottom"/>
            <w:hideMark/>
          </w:tcPr>
          <w:p w:rsidR="00B20925" w:rsidRPr="00B43668" w:rsidRDefault="00B20925" w:rsidP="00250DD1">
            <w:pPr>
              <w:jc w:val="right"/>
              <w:rPr>
                <w:rFonts w:cs="Arial"/>
                <w:sz w:val="16"/>
                <w:szCs w:val="16"/>
              </w:rPr>
            </w:pPr>
            <w:r w:rsidRPr="00B43668">
              <w:rPr>
                <w:rFonts w:cs="Arial"/>
                <w:sz w:val="16"/>
                <w:szCs w:val="16"/>
              </w:rPr>
              <w:t>11.152</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r w:rsidR="00B20925" w:rsidRPr="00B43668" w:rsidTr="00250DD1">
        <w:trPr>
          <w:trHeight w:val="225"/>
        </w:trPr>
        <w:tc>
          <w:tcPr>
            <w:tcW w:w="2992" w:type="pct"/>
            <w:gridSpan w:val="2"/>
            <w:tcBorders>
              <w:top w:val="nil"/>
              <w:left w:val="nil"/>
              <w:bottom w:val="single" w:sz="4" w:space="0" w:color="auto"/>
              <w:right w:val="nil"/>
            </w:tcBorders>
            <w:shd w:val="clear" w:color="auto" w:fill="auto"/>
            <w:noWrap/>
            <w:vAlign w:val="bottom"/>
            <w:hideMark/>
          </w:tcPr>
          <w:p w:rsidR="00B20925" w:rsidRPr="00B43668" w:rsidRDefault="00B20925" w:rsidP="00250DD1">
            <w:pPr>
              <w:rPr>
                <w:rFonts w:cs="Arial"/>
                <w:b/>
                <w:bCs/>
                <w:sz w:val="16"/>
                <w:szCs w:val="16"/>
              </w:rPr>
            </w:pPr>
            <w:r w:rsidRPr="00B43668">
              <w:rPr>
                <w:rFonts w:cs="Arial"/>
                <w:b/>
                <w:bCs/>
                <w:sz w:val="16"/>
                <w:szCs w:val="16"/>
              </w:rPr>
              <w:t>Ontvangsten</w:t>
            </w:r>
          </w:p>
        </w:tc>
        <w:tc>
          <w:tcPr>
            <w:tcW w:w="538" w:type="pct"/>
            <w:tcBorders>
              <w:top w:val="nil"/>
              <w:left w:val="nil"/>
              <w:bottom w:val="single" w:sz="4" w:space="0" w:color="auto"/>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0</w:t>
            </w:r>
          </w:p>
        </w:tc>
        <w:tc>
          <w:tcPr>
            <w:tcW w:w="490" w:type="pct"/>
            <w:tcBorders>
              <w:top w:val="nil"/>
              <w:left w:val="nil"/>
              <w:bottom w:val="single" w:sz="4" w:space="0" w:color="auto"/>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0</w:t>
            </w:r>
          </w:p>
        </w:tc>
        <w:tc>
          <w:tcPr>
            <w:tcW w:w="490" w:type="pct"/>
            <w:tcBorders>
              <w:top w:val="nil"/>
              <w:left w:val="nil"/>
              <w:bottom w:val="single" w:sz="4" w:space="0" w:color="auto"/>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0</w:t>
            </w:r>
          </w:p>
        </w:tc>
        <w:tc>
          <w:tcPr>
            <w:tcW w:w="490" w:type="pct"/>
            <w:tcBorders>
              <w:top w:val="nil"/>
              <w:left w:val="nil"/>
              <w:bottom w:val="single" w:sz="4" w:space="0" w:color="auto"/>
              <w:right w:val="nil"/>
            </w:tcBorders>
            <w:shd w:val="clear" w:color="auto" w:fill="auto"/>
            <w:noWrap/>
            <w:vAlign w:val="bottom"/>
            <w:hideMark/>
          </w:tcPr>
          <w:p w:rsidR="00B20925" w:rsidRPr="00B43668" w:rsidRDefault="00B20925" w:rsidP="00250DD1">
            <w:pPr>
              <w:jc w:val="right"/>
              <w:rPr>
                <w:rFonts w:cs="Arial"/>
                <w:b/>
                <w:bCs/>
                <w:sz w:val="16"/>
                <w:szCs w:val="16"/>
              </w:rPr>
            </w:pPr>
            <w:r w:rsidRPr="00B43668">
              <w:rPr>
                <w:rFonts w:cs="Arial"/>
                <w:b/>
                <w:bCs/>
                <w:sz w:val="16"/>
                <w:szCs w:val="16"/>
              </w:rPr>
              <w:t>0</w:t>
            </w:r>
          </w:p>
        </w:tc>
      </w:tr>
      <w:tr w:rsidR="00B20925" w:rsidRPr="00B43668" w:rsidTr="00250DD1">
        <w:trPr>
          <w:trHeight w:val="225"/>
        </w:trPr>
        <w:tc>
          <w:tcPr>
            <w:tcW w:w="85"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2906"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538"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c>
          <w:tcPr>
            <w:tcW w:w="490" w:type="pct"/>
            <w:tcBorders>
              <w:top w:val="nil"/>
              <w:left w:val="nil"/>
              <w:bottom w:val="nil"/>
              <w:right w:val="nil"/>
            </w:tcBorders>
            <w:shd w:val="clear" w:color="auto" w:fill="auto"/>
            <w:noWrap/>
            <w:vAlign w:val="bottom"/>
            <w:hideMark/>
          </w:tcPr>
          <w:p w:rsidR="00B20925" w:rsidRPr="00B43668" w:rsidRDefault="00B20925" w:rsidP="00250DD1">
            <w:pPr>
              <w:rPr>
                <w:rFonts w:cs="Arial"/>
                <w:sz w:val="16"/>
                <w:szCs w:val="16"/>
              </w:rPr>
            </w:pPr>
          </w:p>
        </w:tc>
      </w:tr>
    </w:tbl>
    <w:p w:rsidR="00B20925" w:rsidRPr="00B81A0B" w:rsidRDefault="00B20925" w:rsidP="00B20925">
      <w:pPr>
        <w:rPr>
          <w:rFonts w:ascii="Verdana" w:hAnsi="Verdana" w:cs="Arial"/>
        </w:rPr>
      </w:pPr>
    </w:p>
    <w:p w:rsidR="00B20925" w:rsidRPr="0014367F" w:rsidRDefault="00B20925" w:rsidP="00B20925">
      <w:pPr>
        <w:rPr>
          <w:rFonts w:ascii="Verdana" w:hAnsi="Verdana" w:cs="Arial"/>
          <w:b/>
          <w:sz w:val="18"/>
          <w:szCs w:val="18"/>
        </w:rPr>
      </w:pPr>
      <w:r w:rsidRPr="0014367F">
        <w:rPr>
          <w:rFonts w:ascii="Verdana" w:hAnsi="Verdana" w:cs="Arial"/>
          <w:sz w:val="18"/>
          <w:szCs w:val="18"/>
        </w:rPr>
        <w:t>Op dit beleidsterrein hebben geen mutaties plaatsgevonden die een toelichting behoeven.</w:t>
      </w:r>
    </w:p>
    <w:p w:rsidR="00B20925" w:rsidRPr="005C6233" w:rsidRDefault="00B20925" w:rsidP="00B20925">
      <w:pPr>
        <w:ind w:left="1418"/>
        <w:jc w:val="both"/>
        <w:rPr>
          <w:rFonts w:ascii="Verdana" w:hAnsi="Verdana" w:cs="Arial"/>
          <w:b/>
        </w:rPr>
      </w:pPr>
    </w:p>
    <w:p w:rsidR="00B20925" w:rsidRPr="005C6233" w:rsidRDefault="00B20925" w:rsidP="00B20925">
      <w:pPr>
        <w:jc w:val="both"/>
        <w:rPr>
          <w:rFonts w:ascii="Verdana" w:hAnsi="Verdana" w:cs="Arial"/>
          <w:b/>
        </w:rPr>
      </w:pPr>
      <w:r w:rsidRPr="005C6233">
        <w:rPr>
          <w:rFonts w:ascii="Verdana" w:hAnsi="Verdana" w:cs="Arial"/>
          <w:b/>
        </w:rPr>
        <w:br w:type="page"/>
      </w:r>
      <w:r w:rsidRPr="00F24E6D">
        <w:rPr>
          <w:rFonts w:ascii="Verdana" w:hAnsi="Verdana" w:cs="Arial"/>
          <w:b/>
        </w:rPr>
        <w:lastRenderedPageBreak/>
        <w:t>37 Vreemdelingen</w:t>
      </w:r>
    </w:p>
    <w:p w:rsidR="00B20925" w:rsidRPr="005C6233" w:rsidRDefault="00B20925" w:rsidP="00B20925">
      <w:pPr>
        <w:jc w:val="both"/>
        <w:rPr>
          <w:rFonts w:ascii="Verdana" w:hAnsi="Verdana" w:cs="Arial"/>
          <w:b/>
        </w:rPr>
      </w:pPr>
    </w:p>
    <w:tbl>
      <w:tblPr>
        <w:tblW w:w="5000" w:type="pct"/>
        <w:tblCellMar>
          <w:left w:w="70" w:type="dxa"/>
          <w:right w:w="70" w:type="dxa"/>
        </w:tblCellMar>
        <w:tblLook w:val="04A0" w:firstRow="1" w:lastRow="0" w:firstColumn="1" w:lastColumn="0" w:noHBand="0" w:noVBand="1"/>
      </w:tblPr>
      <w:tblGrid>
        <w:gridCol w:w="396"/>
        <w:gridCol w:w="4568"/>
        <w:gridCol w:w="936"/>
        <w:gridCol w:w="852"/>
        <w:gridCol w:w="852"/>
        <w:gridCol w:w="852"/>
      </w:tblGrid>
      <w:tr w:rsidR="00B20925" w:rsidRPr="00F11264" w:rsidTr="00250DD1">
        <w:trPr>
          <w:trHeight w:val="225"/>
        </w:trPr>
        <w:tc>
          <w:tcPr>
            <w:tcW w:w="2913" w:type="pct"/>
            <w:gridSpan w:val="2"/>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Budgettaire gevolgen van beleid</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x € 1.000</w:t>
            </w:r>
          </w:p>
        </w:tc>
      </w:tr>
      <w:tr w:rsidR="00B20925" w:rsidRPr="00F11264" w:rsidTr="00250DD1">
        <w:trPr>
          <w:trHeight w:val="675"/>
        </w:trPr>
        <w:tc>
          <w:tcPr>
            <w:tcW w:w="207" w:type="pct"/>
            <w:tcBorders>
              <w:top w:val="single" w:sz="4" w:space="0" w:color="auto"/>
              <w:left w:val="nil"/>
              <w:bottom w:val="single" w:sz="4" w:space="0" w:color="auto"/>
              <w:right w:val="nil"/>
            </w:tcBorders>
            <w:shd w:val="clear" w:color="000000" w:fill="FFFFCC"/>
            <w:noWrap/>
            <w:hideMark/>
          </w:tcPr>
          <w:p w:rsidR="00B20925" w:rsidRPr="00F11264" w:rsidRDefault="00B20925" w:rsidP="00250DD1">
            <w:pPr>
              <w:rPr>
                <w:rFonts w:cs="Arial"/>
                <w:b/>
                <w:bCs/>
                <w:sz w:val="16"/>
                <w:szCs w:val="16"/>
              </w:rPr>
            </w:pPr>
            <w:r w:rsidRPr="00F11264">
              <w:rPr>
                <w:rFonts w:cs="Arial"/>
                <w:b/>
                <w:bCs/>
                <w:sz w:val="16"/>
                <w:szCs w:val="16"/>
              </w:rPr>
              <w:t> </w:t>
            </w:r>
          </w:p>
        </w:tc>
        <w:tc>
          <w:tcPr>
            <w:tcW w:w="2707" w:type="pct"/>
            <w:tcBorders>
              <w:top w:val="single" w:sz="4" w:space="0" w:color="auto"/>
              <w:left w:val="nil"/>
              <w:bottom w:val="single" w:sz="4" w:space="0" w:color="auto"/>
              <w:right w:val="nil"/>
            </w:tcBorders>
            <w:shd w:val="clear" w:color="000000" w:fill="FFFFCC"/>
            <w:hideMark/>
          </w:tcPr>
          <w:p w:rsidR="00B20925" w:rsidRPr="00F11264" w:rsidRDefault="00B20925" w:rsidP="00250DD1">
            <w:pPr>
              <w:jc w:val="right"/>
              <w:rPr>
                <w:rFonts w:cs="Arial"/>
                <w:sz w:val="16"/>
                <w:szCs w:val="16"/>
              </w:rPr>
            </w:pPr>
            <w:r w:rsidRPr="00F11264">
              <w:rPr>
                <w:rFonts w:cs="Arial"/>
                <w:sz w:val="16"/>
                <w:szCs w:val="16"/>
              </w:rPr>
              <w:t> </w:t>
            </w:r>
          </w:p>
        </w:tc>
        <w:tc>
          <w:tcPr>
            <w:tcW w:w="559" w:type="pct"/>
            <w:tcBorders>
              <w:top w:val="single" w:sz="4" w:space="0" w:color="auto"/>
              <w:left w:val="nil"/>
              <w:bottom w:val="single" w:sz="4" w:space="0" w:color="auto"/>
              <w:right w:val="nil"/>
            </w:tcBorders>
            <w:shd w:val="clear" w:color="000000" w:fill="FFFFCC"/>
            <w:hideMark/>
          </w:tcPr>
          <w:p w:rsidR="00B20925" w:rsidRPr="00F11264" w:rsidRDefault="00B20925" w:rsidP="00250DD1">
            <w:pPr>
              <w:jc w:val="right"/>
              <w:rPr>
                <w:rFonts w:cs="Arial"/>
                <w:sz w:val="16"/>
                <w:szCs w:val="16"/>
              </w:rPr>
            </w:pPr>
            <w:r w:rsidRPr="00F11264">
              <w:rPr>
                <w:rFonts w:cs="Arial"/>
                <w:sz w:val="16"/>
                <w:szCs w:val="16"/>
              </w:rPr>
              <w:t xml:space="preserve">Stand vastgestelde begroting </w:t>
            </w:r>
          </w:p>
        </w:tc>
        <w:tc>
          <w:tcPr>
            <w:tcW w:w="509" w:type="pct"/>
            <w:tcBorders>
              <w:top w:val="single" w:sz="4" w:space="0" w:color="auto"/>
              <w:left w:val="nil"/>
              <w:bottom w:val="single" w:sz="4" w:space="0" w:color="auto"/>
              <w:right w:val="nil"/>
            </w:tcBorders>
            <w:shd w:val="clear" w:color="000000" w:fill="FFFFCC"/>
            <w:hideMark/>
          </w:tcPr>
          <w:p w:rsidR="00B20925" w:rsidRPr="00F11264" w:rsidRDefault="00B20925" w:rsidP="00250DD1">
            <w:pPr>
              <w:jc w:val="right"/>
              <w:rPr>
                <w:rFonts w:cs="Arial"/>
                <w:sz w:val="16"/>
                <w:szCs w:val="16"/>
              </w:rPr>
            </w:pPr>
            <w:r w:rsidRPr="00F11264">
              <w:rPr>
                <w:rFonts w:cs="Arial"/>
                <w:sz w:val="16"/>
                <w:szCs w:val="16"/>
              </w:rPr>
              <w:t>Stand 1e suppletoire begroting</w:t>
            </w:r>
          </w:p>
        </w:tc>
        <w:tc>
          <w:tcPr>
            <w:tcW w:w="509" w:type="pct"/>
            <w:tcBorders>
              <w:top w:val="single" w:sz="4" w:space="0" w:color="auto"/>
              <w:left w:val="nil"/>
              <w:bottom w:val="single" w:sz="4" w:space="0" w:color="auto"/>
              <w:right w:val="nil"/>
            </w:tcBorders>
            <w:shd w:val="clear" w:color="000000" w:fill="FFFFCC"/>
            <w:hideMark/>
          </w:tcPr>
          <w:p w:rsidR="00B20925" w:rsidRPr="00F11264" w:rsidRDefault="00B20925" w:rsidP="00250DD1">
            <w:pPr>
              <w:jc w:val="right"/>
              <w:rPr>
                <w:rFonts w:cs="Arial"/>
                <w:sz w:val="16"/>
                <w:szCs w:val="16"/>
              </w:rPr>
            </w:pPr>
            <w:r w:rsidRPr="00F11264">
              <w:rPr>
                <w:rFonts w:cs="Arial"/>
                <w:sz w:val="16"/>
                <w:szCs w:val="16"/>
              </w:rPr>
              <w:t>Mutaties 2e suppletoire begroting</w:t>
            </w:r>
          </w:p>
        </w:tc>
        <w:tc>
          <w:tcPr>
            <w:tcW w:w="509" w:type="pct"/>
            <w:tcBorders>
              <w:top w:val="single" w:sz="4" w:space="0" w:color="auto"/>
              <w:left w:val="nil"/>
              <w:bottom w:val="single" w:sz="4" w:space="0" w:color="auto"/>
              <w:right w:val="nil"/>
            </w:tcBorders>
            <w:shd w:val="clear" w:color="000000" w:fill="FFFFCC"/>
            <w:hideMark/>
          </w:tcPr>
          <w:p w:rsidR="00B20925" w:rsidRPr="00F11264" w:rsidRDefault="00B20925" w:rsidP="00250DD1">
            <w:pPr>
              <w:jc w:val="right"/>
              <w:rPr>
                <w:rFonts w:cs="Arial"/>
                <w:sz w:val="16"/>
                <w:szCs w:val="16"/>
              </w:rPr>
            </w:pPr>
            <w:r w:rsidRPr="00F11264">
              <w:rPr>
                <w:rFonts w:cs="Arial"/>
                <w:sz w:val="16"/>
                <w:szCs w:val="16"/>
              </w:rPr>
              <w:t>Stand 2e suppletoire begroting</w:t>
            </w:r>
          </w:p>
        </w:tc>
      </w:tr>
      <w:tr w:rsidR="00B20925" w:rsidRPr="00F11264" w:rsidTr="00250DD1">
        <w:trPr>
          <w:trHeight w:val="225"/>
        </w:trPr>
        <w:tc>
          <w:tcPr>
            <w:tcW w:w="2913" w:type="pct"/>
            <w:gridSpan w:val="2"/>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Verplichtingen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681.201</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791.176</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360.445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1.151.621</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913" w:type="pct"/>
            <w:gridSpan w:val="2"/>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Programma-uitgaven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681.201</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791.176</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360.445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1.151.622</w:t>
            </w:r>
          </w:p>
        </w:tc>
      </w:tr>
      <w:tr w:rsidR="00B20925" w:rsidRPr="00F11264" w:rsidTr="00250DD1">
        <w:trPr>
          <w:trHeight w:val="225"/>
        </w:trPr>
        <w:tc>
          <w:tcPr>
            <w:tcW w:w="2913" w:type="pct"/>
            <w:gridSpan w:val="2"/>
            <w:tcBorders>
              <w:top w:val="nil"/>
              <w:left w:val="nil"/>
              <w:bottom w:val="nil"/>
              <w:right w:val="nil"/>
            </w:tcBorders>
            <w:shd w:val="clear" w:color="auto" w:fill="auto"/>
            <w:noWrap/>
            <w:vAlign w:val="bottom"/>
            <w:hideMark/>
          </w:tcPr>
          <w:p w:rsidR="00B20925" w:rsidRPr="00F11264" w:rsidRDefault="00B20925" w:rsidP="00250DD1">
            <w:pPr>
              <w:rPr>
                <w:rFonts w:cs="Arial"/>
                <w:i/>
                <w:iCs/>
                <w:sz w:val="16"/>
                <w:szCs w:val="16"/>
              </w:rPr>
            </w:pPr>
            <w:r w:rsidRPr="00F11264">
              <w:rPr>
                <w:rFonts w:cs="Arial"/>
                <w:i/>
                <w:iCs/>
                <w:sz w:val="16"/>
                <w:szCs w:val="16"/>
              </w:rPr>
              <w:t>Waarvan juridisch verplicht</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i/>
                <w:iCs/>
                <w:sz w:val="16"/>
                <w:szCs w:val="16"/>
              </w:rPr>
            </w:pPr>
            <w:r w:rsidRPr="00F11264">
              <w:rPr>
                <w:rFonts w:cs="Arial"/>
                <w:i/>
                <w:iCs/>
                <w:sz w:val="16"/>
                <w:szCs w:val="16"/>
              </w:rPr>
              <w:t>99,16%</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37.2</w:t>
            </w: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Toegang, toelating en opvang vreemdelingen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Bijdragen aan agentschappen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Immigratie- en Naturalisatiedienst</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290.598</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299.487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24.055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323.542</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Bijdragen aan ZBO's/</w:t>
            </w:r>
            <w:proofErr w:type="spellStart"/>
            <w:r w:rsidRPr="00F11264">
              <w:rPr>
                <w:rFonts w:cs="Arial"/>
                <w:b/>
                <w:bCs/>
                <w:sz w:val="16"/>
                <w:szCs w:val="16"/>
              </w:rPr>
              <w:t>RWT's</w:t>
            </w:r>
            <w:proofErr w:type="spellEnd"/>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Centraal Orgaan opvang asielzoekers (COA)</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322.413</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407.302</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336.272</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743.574</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roofErr w:type="spellStart"/>
            <w:r w:rsidRPr="00F11264">
              <w:rPr>
                <w:rFonts w:cs="Arial"/>
                <w:sz w:val="16"/>
                <w:szCs w:val="16"/>
              </w:rPr>
              <w:t>Nidos</w:t>
            </w:r>
            <w:proofErr w:type="spellEnd"/>
            <w:r w:rsidRPr="00F11264">
              <w:rPr>
                <w:rFonts w:cs="Arial"/>
                <w:sz w:val="16"/>
                <w:szCs w:val="16"/>
              </w:rPr>
              <w:t>-opvang</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25.397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393</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25.790</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Subsidies</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 xml:space="preserve">Vluchtelingenwerk Nederland (VWN) </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5.743</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5.743</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1.025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6.768</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Overig toegang, toelating en opvang vreemdelingen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662</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662</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632</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Opdrachten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Biometrie</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7.310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7.310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-327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6.983</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Vernieuwing Grensmanagement</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3.017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1.217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1.218</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keteninformatisering</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19.415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11.415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12</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11.427</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Versterking vreemdelingenketen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3.970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4.570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-1.567</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3.003</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37.3</w:t>
            </w: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Terugkeer</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Bijdragen aan agentschappen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DJI (</w:t>
            </w:r>
            <w:proofErr w:type="spellStart"/>
            <w:r w:rsidRPr="00F11264">
              <w:rPr>
                <w:rFonts w:cs="Arial"/>
                <w:sz w:val="16"/>
                <w:szCs w:val="16"/>
              </w:rPr>
              <w:t>DVenO</w:t>
            </w:r>
            <w:proofErr w:type="spellEnd"/>
            <w:r w:rsidRPr="00F11264">
              <w:rPr>
                <w:rFonts w:cs="Arial"/>
                <w:sz w:val="16"/>
                <w:szCs w:val="16"/>
              </w:rPr>
              <w:t>)</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8.399</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8.399</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0</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8.399</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Subsidies</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 xml:space="preserve">REAN-regeling </w:t>
            </w:r>
            <w:proofErr w:type="spellStart"/>
            <w:r w:rsidRPr="00F11264">
              <w:rPr>
                <w:rFonts w:cs="Arial"/>
                <w:sz w:val="16"/>
                <w:szCs w:val="16"/>
              </w:rPr>
              <w:t>ea</w:t>
            </w:r>
            <w:proofErr w:type="spellEnd"/>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6.599</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6.599</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1.025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7.624</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Opdrachten</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r w:rsidRPr="00F11264">
              <w:rPr>
                <w:rFonts w:cs="Arial"/>
                <w:sz w:val="16"/>
                <w:szCs w:val="16"/>
              </w:rPr>
              <w:t>Vreemdelingen vertrek</w:t>
            </w:r>
          </w:p>
        </w:tc>
        <w:tc>
          <w:tcPr>
            <w:tcW w:w="55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13.075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13.075</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-414</w:t>
            </w:r>
          </w:p>
        </w:tc>
        <w:tc>
          <w:tcPr>
            <w:tcW w:w="509" w:type="pct"/>
            <w:tcBorders>
              <w:top w:val="nil"/>
              <w:left w:val="nil"/>
              <w:bottom w:val="nil"/>
              <w:right w:val="nil"/>
            </w:tcBorders>
            <w:shd w:val="clear" w:color="auto" w:fill="auto"/>
            <w:noWrap/>
            <w:vAlign w:val="bottom"/>
            <w:hideMark/>
          </w:tcPr>
          <w:p w:rsidR="00B20925" w:rsidRPr="00F11264" w:rsidRDefault="00B20925" w:rsidP="00250DD1">
            <w:pPr>
              <w:jc w:val="right"/>
              <w:rPr>
                <w:rFonts w:cs="Arial"/>
                <w:sz w:val="16"/>
                <w:szCs w:val="16"/>
              </w:rPr>
            </w:pPr>
            <w:r w:rsidRPr="00F11264">
              <w:rPr>
                <w:rFonts w:cs="Arial"/>
                <w:sz w:val="16"/>
                <w:szCs w:val="16"/>
              </w:rPr>
              <w:t>12.661</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r w:rsidR="00B20925" w:rsidRPr="00F11264" w:rsidTr="00250DD1">
        <w:trPr>
          <w:trHeight w:val="225"/>
        </w:trPr>
        <w:tc>
          <w:tcPr>
            <w:tcW w:w="2913" w:type="pct"/>
            <w:gridSpan w:val="2"/>
            <w:tcBorders>
              <w:top w:val="nil"/>
              <w:left w:val="nil"/>
              <w:bottom w:val="single" w:sz="4" w:space="0" w:color="auto"/>
              <w:right w:val="nil"/>
            </w:tcBorders>
            <w:shd w:val="clear" w:color="auto" w:fill="auto"/>
            <w:noWrap/>
            <w:vAlign w:val="bottom"/>
            <w:hideMark/>
          </w:tcPr>
          <w:p w:rsidR="00B20925" w:rsidRPr="00F11264" w:rsidRDefault="00B20925" w:rsidP="00250DD1">
            <w:pPr>
              <w:rPr>
                <w:rFonts w:cs="Arial"/>
                <w:b/>
                <w:bCs/>
                <w:sz w:val="16"/>
                <w:szCs w:val="16"/>
              </w:rPr>
            </w:pPr>
            <w:r w:rsidRPr="00F11264">
              <w:rPr>
                <w:rFonts w:cs="Arial"/>
                <w:b/>
                <w:bCs/>
                <w:sz w:val="16"/>
                <w:szCs w:val="16"/>
              </w:rPr>
              <w:t>Ontvangsten</w:t>
            </w:r>
          </w:p>
        </w:tc>
        <w:tc>
          <w:tcPr>
            <w:tcW w:w="559" w:type="pct"/>
            <w:tcBorders>
              <w:top w:val="nil"/>
              <w:left w:val="nil"/>
              <w:bottom w:val="single" w:sz="4" w:space="0" w:color="auto"/>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0</w:t>
            </w:r>
          </w:p>
        </w:tc>
        <w:tc>
          <w:tcPr>
            <w:tcW w:w="509" w:type="pct"/>
            <w:tcBorders>
              <w:top w:val="nil"/>
              <w:left w:val="nil"/>
              <w:bottom w:val="single" w:sz="4" w:space="0" w:color="auto"/>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10.800</w:t>
            </w:r>
          </w:p>
        </w:tc>
        <w:tc>
          <w:tcPr>
            <w:tcW w:w="509" w:type="pct"/>
            <w:tcBorders>
              <w:top w:val="nil"/>
              <w:left w:val="nil"/>
              <w:bottom w:val="single" w:sz="4" w:space="0" w:color="auto"/>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-10.800</w:t>
            </w:r>
          </w:p>
        </w:tc>
        <w:tc>
          <w:tcPr>
            <w:tcW w:w="509" w:type="pct"/>
            <w:tcBorders>
              <w:top w:val="nil"/>
              <w:left w:val="nil"/>
              <w:bottom w:val="single" w:sz="4" w:space="0" w:color="auto"/>
              <w:right w:val="nil"/>
            </w:tcBorders>
            <w:shd w:val="clear" w:color="auto" w:fill="auto"/>
            <w:noWrap/>
            <w:vAlign w:val="bottom"/>
            <w:hideMark/>
          </w:tcPr>
          <w:p w:rsidR="00B20925" w:rsidRPr="00F11264" w:rsidRDefault="00B20925" w:rsidP="00250DD1">
            <w:pPr>
              <w:jc w:val="right"/>
              <w:rPr>
                <w:rFonts w:cs="Arial"/>
                <w:b/>
                <w:bCs/>
                <w:sz w:val="16"/>
                <w:szCs w:val="16"/>
              </w:rPr>
            </w:pPr>
            <w:r w:rsidRPr="00F11264">
              <w:rPr>
                <w:rFonts w:cs="Arial"/>
                <w:b/>
                <w:bCs/>
                <w:sz w:val="16"/>
                <w:szCs w:val="16"/>
              </w:rPr>
              <w:t>0</w:t>
            </w:r>
          </w:p>
        </w:tc>
      </w:tr>
      <w:tr w:rsidR="00B20925" w:rsidRPr="00F11264" w:rsidTr="00250DD1">
        <w:trPr>
          <w:trHeight w:val="225"/>
        </w:trPr>
        <w:tc>
          <w:tcPr>
            <w:tcW w:w="2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2707"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5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c>
          <w:tcPr>
            <w:tcW w:w="509" w:type="pct"/>
            <w:tcBorders>
              <w:top w:val="nil"/>
              <w:left w:val="nil"/>
              <w:bottom w:val="nil"/>
              <w:right w:val="nil"/>
            </w:tcBorders>
            <w:shd w:val="clear" w:color="auto" w:fill="auto"/>
            <w:noWrap/>
            <w:vAlign w:val="bottom"/>
            <w:hideMark/>
          </w:tcPr>
          <w:p w:rsidR="00B20925" w:rsidRPr="00F11264" w:rsidRDefault="00B20925" w:rsidP="00250DD1">
            <w:pPr>
              <w:rPr>
                <w:rFonts w:cs="Arial"/>
                <w:sz w:val="16"/>
                <w:szCs w:val="16"/>
              </w:rPr>
            </w:pPr>
          </w:p>
        </w:tc>
      </w:tr>
    </w:tbl>
    <w:p w:rsidR="00B20925" w:rsidRDefault="00B20925" w:rsidP="00B20925">
      <w:pPr>
        <w:jc w:val="both"/>
        <w:rPr>
          <w:rFonts w:ascii="Verdana" w:hAnsi="Verdana" w:cs="Arial"/>
          <w:b/>
          <w:sz w:val="22"/>
          <w:szCs w:val="22"/>
        </w:rPr>
      </w:pPr>
    </w:p>
    <w:p w:rsidR="00B20925" w:rsidRPr="005C6233" w:rsidRDefault="00B20925" w:rsidP="00B20925">
      <w:pPr>
        <w:tabs>
          <w:tab w:val="left" w:pos="851"/>
        </w:tabs>
        <w:rPr>
          <w:rFonts w:ascii="Verdana" w:hAnsi="Verdana" w:cs="Arial"/>
          <w:b/>
        </w:rPr>
      </w:pPr>
      <w:r w:rsidRPr="005C6233">
        <w:rPr>
          <w:rFonts w:ascii="Verdana" w:hAnsi="Verdana" w:cs="Arial"/>
          <w:b/>
        </w:rPr>
        <w:t>Toelichting op beleidsartikel 37</w:t>
      </w:r>
    </w:p>
    <w:p w:rsidR="00B20925" w:rsidRPr="005C6233" w:rsidRDefault="00B20925" w:rsidP="00B20925">
      <w:pPr>
        <w:jc w:val="both"/>
        <w:rPr>
          <w:rFonts w:ascii="Verdana" w:hAnsi="Verdana" w:cs="Arial"/>
          <w:b/>
        </w:rPr>
      </w:pPr>
    </w:p>
    <w:p w:rsidR="00B20925" w:rsidRPr="005C6233" w:rsidRDefault="00B20925" w:rsidP="00B20925">
      <w:pPr>
        <w:rPr>
          <w:rFonts w:ascii="Verdana" w:hAnsi="Verdana" w:cs="Arial"/>
          <w:b/>
        </w:rPr>
      </w:pPr>
      <w:r w:rsidRPr="005C6233">
        <w:rPr>
          <w:rFonts w:ascii="Verdana" w:hAnsi="Verdana" w:cs="Arial"/>
          <w:b/>
        </w:rPr>
        <w:t>Mutaties uitgaven</w:t>
      </w:r>
    </w:p>
    <w:p w:rsidR="00B20925" w:rsidRPr="005C6233" w:rsidRDefault="00B20925" w:rsidP="00B20925">
      <w:pPr>
        <w:rPr>
          <w:rFonts w:ascii="Verdana" w:hAnsi="Verdana" w:cs="Arial"/>
        </w:rPr>
      </w:pPr>
    </w:p>
    <w:p w:rsidR="00B20925" w:rsidRPr="00FC6914" w:rsidRDefault="00B20925" w:rsidP="00B20925">
      <w:pPr>
        <w:rPr>
          <w:rFonts w:ascii="Verdana" w:hAnsi="Verdana" w:cs="Arial"/>
          <w:i/>
          <w:sz w:val="18"/>
          <w:szCs w:val="18"/>
        </w:rPr>
      </w:pPr>
      <w:r w:rsidRPr="00FC6914">
        <w:rPr>
          <w:rFonts w:ascii="Verdana" w:hAnsi="Verdana" w:cs="Arial"/>
          <w:i/>
          <w:sz w:val="18"/>
          <w:szCs w:val="18"/>
        </w:rPr>
        <w:t>37.2 Toegang, toelating en opvang vreemdelingen</w:t>
      </w:r>
    </w:p>
    <w:p w:rsidR="00B20925" w:rsidRPr="00FC6914" w:rsidRDefault="00B20925" w:rsidP="00B20925">
      <w:pPr>
        <w:rPr>
          <w:rFonts w:ascii="Verdana" w:eastAsia="Calibri" w:hAnsi="Verdana"/>
          <w:sz w:val="18"/>
          <w:szCs w:val="18"/>
          <w:lang w:eastAsia="en-US"/>
        </w:rPr>
      </w:pPr>
      <w:r w:rsidRPr="00FC6914">
        <w:rPr>
          <w:rFonts w:ascii="Verdana" w:eastAsia="Calibri" w:hAnsi="Verdana"/>
          <w:sz w:val="18"/>
          <w:szCs w:val="18"/>
          <w:lang w:eastAsia="en-US"/>
        </w:rPr>
        <w:t>De mutaties in dit budget word</w:t>
      </w:r>
      <w:r>
        <w:rPr>
          <w:rFonts w:ascii="Verdana" w:eastAsia="Calibri" w:hAnsi="Verdana"/>
          <w:sz w:val="18"/>
          <w:szCs w:val="18"/>
          <w:lang w:eastAsia="en-US"/>
        </w:rPr>
        <w:t>en</w:t>
      </w:r>
      <w:r w:rsidRPr="00FC6914">
        <w:rPr>
          <w:rFonts w:ascii="Verdana" w:eastAsia="Calibri" w:hAnsi="Verdana"/>
          <w:sz w:val="18"/>
          <w:szCs w:val="18"/>
          <w:lang w:eastAsia="en-US"/>
        </w:rPr>
        <w:t xml:space="preserve"> met name verklaard door:</w:t>
      </w:r>
    </w:p>
    <w:p w:rsidR="00B20925" w:rsidRPr="00FC6914" w:rsidRDefault="00B20925" w:rsidP="00B20925">
      <w:pPr>
        <w:numPr>
          <w:ilvl w:val="0"/>
          <w:numId w:val="19"/>
        </w:numPr>
        <w:rPr>
          <w:rFonts w:ascii="Verdana" w:hAnsi="Verdana" w:cs="Arial"/>
          <w:sz w:val="18"/>
          <w:szCs w:val="18"/>
        </w:rPr>
      </w:pPr>
      <w:r w:rsidRPr="00FC6914">
        <w:rPr>
          <w:rFonts w:ascii="Verdana" w:eastAsia="Calibri" w:hAnsi="Verdana"/>
          <w:sz w:val="18"/>
          <w:szCs w:val="18"/>
          <w:lang w:eastAsia="en-US"/>
        </w:rPr>
        <w:t xml:space="preserve">Bijdrage agentschappen IND: door de sterk verhoogde asielinstroom in 2014 moet de IND meer productie maken wat leidt tot meerkosten. De IND wordt hiervoor </w:t>
      </w:r>
      <w:proofErr w:type="spellStart"/>
      <w:r w:rsidRPr="00FC6914">
        <w:rPr>
          <w:rFonts w:ascii="Verdana" w:eastAsia="Calibri" w:hAnsi="Verdana"/>
          <w:sz w:val="18"/>
          <w:szCs w:val="18"/>
          <w:lang w:eastAsia="en-US"/>
        </w:rPr>
        <w:t>pxq</w:t>
      </w:r>
      <w:proofErr w:type="spellEnd"/>
      <w:r w:rsidRPr="00FC6914">
        <w:rPr>
          <w:rFonts w:ascii="Verdana" w:eastAsia="Calibri" w:hAnsi="Verdana"/>
          <w:sz w:val="18"/>
          <w:szCs w:val="18"/>
          <w:lang w:eastAsia="en-US"/>
        </w:rPr>
        <w:t xml:space="preserve"> gefinancierd door </w:t>
      </w:r>
      <w:proofErr w:type="spellStart"/>
      <w:r w:rsidRPr="00FC6914">
        <w:rPr>
          <w:rFonts w:ascii="Verdana" w:eastAsia="Calibri" w:hAnsi="Verdana"/>
          <w:sz w:val="18"/>
          <w:szCs w:val="18"/>
          <w:lang w:eastAsia="en-US"/>
        </w:rPr>
        <w:t>VenJ</w:t>
      </w:r>
      <w:proofErr w:type="spellEnd"/>
      <w:r w:rsidRPr="00FC6914">
        <w:rPr>
          <w:rFonts w:ascii="Verdana" w:eastAsia="Calibri" w:hAnsi="Verdana"/>
          <w:sz w:val="18"/>
          <w:szCs w:val="18"/>
          <w:lang w:eastAsia="en-US"/>
        </w:rPr>
        <w:t>. Deze extra financiering bedraagt € 22,1 mln.</w:t>
      </w:r>
      <w:r>
        <w:rPr>
          <w:rFonts w:ascii="Verdana" w:eastAsia="Calibri" w:hAnsi="Verdana"/>
          <w:sz w:val="18"/>
          <w:szCs w:val="18"/>
          <w:lang w:eastAsia="en-US"/>
        </w:rPr>
        <w:t xml:space="preserve"> Zie ook tabel belangrijkste mutaties.</w:t>
      </w:r>
    </w:p>
    <w:p w:rsidR="00B20925" w:rsidRPr="00FC6914" w:rsidRDefault="00B20925" w:rsidP="00B20925">
      <w:pPr>
        <w:numPr>
          <w:ilvl w:val="0"/>
          <w:numId w:val="19"/>
        </w:numPr>
        <w:rPr>
          <w:rFonts w:ascii="Verdana" w:hAnsi="Verdana" w:cs="Arial"/>
          <w:sz w:val="18"/>
          <w:szCs w:val="18"/>
        </w:rPr>
      </w:pPr>
      <w:r w:rsidRPr="00FC6914">
        <w:rPr>
          <w:rFonts w:ascii="Verdana" w:eastAsia="Calibri" w:hAnsi="Verdana"/>
          <w:sz w:val="18"/>
          <w:szCs w:val="18"/>
          <w:lang w:eastAsia="en-US"/>
        </w:rPr>
        <w:t xml:space="preserve">Bijdrage COA: verhoging instroom asiel eerstejaarsopvang. </w:t>
      </w:r>
      <w:r w:rsidRPr="00FC6914">
        <w:rPr>
          <w:rFonts w:ascii="Verdana" w:hAnsi="Verdana" w:cs="Arial"/>
          <w:sz w:val="18"/>
          <w:szCs w:val="18"/>
        </w:rPr>
        <w:t>De instroom van asielzoekers uit ontwikkelingslanden loopt in 2014 op. Om aan de kosten die gepaard gaan met de hoge toestroom tegemoet te komen heeft het kabinet in 2014 € 375 mln. extra beschikbaar gesteld voor de eerstejaarsopvang van asielzoekers</w:t>
      </w:r>
      <w:r>
        <w:rPr>
          <w:rFonts w:ascii="Verdana" w:hAnsi="Verdana" w:cs="Arial"/>
          <w:sz w:val="18"/>
          <w:szCs w:val="18"/>
        </w:rPr>
        <w:t xml:space="preserve"> in 2014 en 2015</w:t>
      </w:r>
      <w:r w:rsidRPr="00FC6914">
        <w:rPr>
          <w:rFonts w:ascii="Verdana" w:hAnsi="Verdana" w:cs="Arial"/>
          <w:sz w:val="18"/>
          <w:szCs w:val="18"/>
        </w:rPr>
        <w:t>. Dit bedrag is bij miljoenennota 201</w:t>
      </w:r>
      <w:r>
        <w:rPr>
          <w:rFonts w:ascii="Verdana" w:hAnsi="Verdana" w:cs="Arial"/>
          <w:sz w:val="18"/>
          <w:szCs w:val="18"/>
        </w:rPr>
        <w:t>5</w:t>
      </w:r>
      <w:r w:rsidRPr="00FC6914">
        <w:rPr>
          <w:rFonts w:ascii="Verdana" w:hAnsi="Verdana" w:cs="Arial"/>
          <w:sz w:val="18"/>
          <w:szCs w:val="18"/>
        </w:rPr>
        <w:t xml:space="preserve"> aan </w:t>
      </w:r>
      <w:r>
        <w:rPr>
          <w:rFonts w:ascii="Verdana" w:hAnsi="Verdana" w:cs="Arial"/>
          <w:sz w:val="18"/>
          <w:szCs w:val="18"/>
        </w:rPr>
        <w:t xml:space="preserve">het budget in </w:t>
      </w:r>
      <w:r w:rsidRPr="00FC6914">
        <w:rPr>
          <w:rFonts w:ascii="Verdana" w:hAnsi="Verdana" w:cs="Arial"/>
          <w:sz w:val="18"/>
          <w:szCs w:val="18"/>
        </w:rPr>
        <w:t xml:space="preserve">de begroting </w:t>
      </w:r>
      <w:r>
        <w:rPr>
          <w:rFonts w:ascii="Verdana" w:hAnsi="Verdana" w:cs="Arial"/>
          <w:sz w:val="18"/>
          <w:szCs w:val="18"/>
        </w:rPr>
        <w:t xml:space="preserve">2014 </w:t>
      </w:r>
      <w:r w:rsidRPr="00FC6914">
        <w:rPr>
          <w:rFonts w:ascii="Verdana" w:hAnsi="Verdana" w:cs="Arial"/>
          <w:sz w:val="18"/>
          <w:szCs w:val="18"/>
        </w:rPr>
        <w:t xml:space="preserve">van </w:t>
      </w:r>
      <w:proofErr w:type="spellStart"/>
      <w:r w:rsidRPr="00FC6914">
        <w:rPr>
          <w:rFonts w:ascii="Verdana" w:hAnsi="Verdana" w:cs="Arial"/>
          <w:sz w:val="18"/>
          <w:szCs w:val="18"/>
        </w:rPr>
        <w:t>VenJ</w:t>
      </w:r>
      <w:proofErr w:type="spellEnd"/>
      <w:r w:rsidRPr="00FC6914">
        <w:rPr>
          <w:rFonts w:ascii="Verdana" w:hAnsi="Verdana" w:cs="Arial"/>
          <w:sz w:val="18"/>
          <w:szCs w:val="18"/>
        </w:rPr>
        <w:t xml:space="preserve"> toegevoegd. </w:t>
      </w:r>
    </w:p>
    <w:p w:rsidR="00B20925" w:rsidRPr="000A3401" w:rsidRDefault="00B20925" w:rsidP="00B20925">
      <w:pPr>
        <w:numPr>
          <w:ilvl w:val="0"/>
          <w:numId w:val="19"/>
        </w:numPr>
        <w:rPr>
          <w:rFonts w:ascii="Verdana" w:hAnsi="Verdana" w:cs="Arial"/>
          <w:sz w:val="18"/>
          <w:szCs w:val="18"/>
        </w:rPr>
      </w:pPr>
      <w:r w:rsidRPr="00FC6914">
        <w:rPr>
          <w:rFonts w:ascii="Verdana" w:hAnsi="Verdana" w:cs="Arial"/>
          <w:sz w:val="18"/>
          <w:szCs w:val="18"/>
        </w:rPr>
        <w:t xml:space="preserve">Terugdraaien inzet asielreserve: bij voorjaarsnota is </w:t>
      </w:r>
      <w:r w:rsidRPr="00FC6914">
        <w:rPr>
          <w:rFonts w:ascii="Verdana" w:hAnsi="Verdana" w:cs="Arial" w:hint="eastAsia"/>
          <w:sz w:val="18"/>
          <w:szCs w:val="18"/>
        </w:rPr>
        <w:t>€</w:t>
      </w:r>
      <w:r w:rsidRPr="00FC6914">
        <w:rPr>
          <w:rFonts w:ascii="Verdana" w:hAnsi="Verdana" w:cs="Arial"/>
          <w:sz w:val="18"/>
          <w:szCs w:val="18"/>
        </w:rPr>
        <w:t xml:space="preserve"> 10,8 mln. vanuit de asielreserve ingezet om de extra kosten bij de IND te dekken die zijn veroorzaakt door stijging van de asielinstroom. Bij de augustusbrief</w:t>
      </w:r>
      <w:r>
        <w:rPr>
          <w:rFonts w:ascii="Verdana" w:hAnsi="Verdana" w:cs="Arial"/>
          <w:sz w:val="18"/>
          <w:szCs w:val="18"/>
        </w:rPr>
        <w:t xml:space="preserve"> </w:t>
      </w:r>
      <w:r w:rsidRPr="00FC6914">
        <w:rPr>
          <w:rFonts w:ascii="Verdana" w:hAnsi="Verdana" w:cs="Arial"/>
          <w:sz w:val="18"/>
          <w:szCs w:val="18"/>
        </w:rPr>
        <w:t xml:space="preserve">besluitvorming is </w:t>
      </w:r>
      <w:r w:rsidRPr="00FC6914">
        <w:rPr>
          <w:rFonts w:ascii="Verdana" w:hAnsi="Verdana" w:cs="Arial" w:hint="eastAsia"/>
          <w:sz w:val="18"/>
          <w:szCs w:val="18"/>
        </w:rPr>
        <w:t>€</w:t>
      </w:r>
      <w:r w:rsidRPr="00FC6914">
        <w:rPr>
          <w:rFonts w:ascii="Verdana" w:hAnsi="Verdana" w:cs="Arial"/>
          <w:sz w:val="18"/>
          <w:szCs w:val="18"/>
        </w:rPr>
        <w:t xml:space="preserve"> 375 mln. door het</w:t>
      </w:r>
      <w:r w:rsidRPr="00405F4E">
        <w:rPr>
          <w:rFonts w:ascii="Verdana" w:hAnsi="Verdana" w:cs="Arial"/>
          <w:sz w:val="18"/>
          <w:szCs w:val="18"/>
        </w:rPr>
        <w:t xml:space="preserve"> </w:t>
      </w:r>
      <w:r w:rsidRPr="000A3401">
        <w:rPr>
          <w:rFonts w:ascii="Verdana" w:hAnsi="Verdana" w:cs="Arial"/>
          <w:sz w:val="18"/>
          <w:szCs w:val="18"/>
        </w:rPr>
        <w:t xml:space="preserve">kabinet beschikbaar gesteld om deze kosten op te vangen. De inzet vanuit de asielreserve is hierdoor niet meer noodzakelijk. </w:t>
      </w:r>
    </w:p>
    <w:p w:rsidR="00B20925" w:rsidRPr="000A3401" w:rsidRDefault="00B20925" w:rsidP="00B20925">
      <w:pPr>
        <w:tabs>
          <w:tab w:val="left" w:pos="851"/>
        </w:tabs>
        <w:rPr>
          <w:rFonts w:ascii="Verdana" w:hAnsi="Verdana" w:cs="Arial"/>
          <w:sz w:val="18"/>
          <w:szCs w:val="18"/>
        </w:rPr>
      </w:pPr>
    </w:p>
    <w:p w:rsidR="00B20925" w:rsidRPr="000A3401" w:rsidRDefault="00B20925" w:rsidP="00B20925">
      <w:pPr>
        <w:rPr>
          <w:rFonts w:ascii="Verdana" w:eastAsia="Calibri" w:hAnsi="Verdana"/>
          <w:sz w:val="18"/>
          <w:szCs w:val="18"/>
          <w:lang w:eastAsia="en-US"/>
        </w:rPr>
      </w:pPr>
      <w:r w:rsidRPr="000A3401">
        <w:rPr>
          <w:rFonts w:ascii="Verdana" w:eastAsia="Calibri" w:hAnsi="Verdana"/>
          <w:sz w:val="18"/>
          <w:szCs w:val="18"/>
          <w:lang w:eastAsia="en-US"/>
        </w:rPr>
        <w:t xml:space="preserve"> </w:t>
      </w:r>
    </w:p>
    <w:p w:rsidR="00B20925" w:rsidRDefault="00B20925" w:rsidP="00B20925">
      <w:pPr>
        <w:rPr>
          <w:rFonts w:ascii="Verdana" w:eastAsia="Calibri" w:hAnsi="Verdana"/>
          <w:sz w:val="18"/>
          <w:szCs w:val="18"/>
          <w:lang w:eastAsia="en-US"/>
        </w:rPr>
      </w:pPr>
    </w:p>
    <w:p w:rsidR="00B20925" w:rsidRPr="000A3401" w:rsidRDefault="00B20925" w:rsidP="00B20925">
      <w:pPr>
        <w:rPr>
          <w:rFonts w:ascii="Verdana" w:eastAsia="Calibri" w:hAnsi="Verdana"/>
          <w:sz w:val="18"/>
          <w:szCs w:val="18"/>
          <w:lang w:eastAsia="en-US"/>
        </w:rPr>
      </w:pPr>
    </w:p>
    <w:p w:rsidR="00B20925" w:rsidRPr="000A3401" w:rsidRDefault="00B20925" w:rsidP="00B20925">
      <w:pPr>
        <w:ind w:right="567"/>
        <w:rPr>
          <w:rFonts w:ascii="Verdana" w:hAnsi="Verdana" w:cs="Arial"/>
          <w:b/>
          <w:sz w:val="18"/>
          <w:szCs w:val="18"/>
        </w:rPr>
      </w:pPr>
    </w:p>
    <w:p w:rsidR="00B20925" w:rsidRPr="000A3401" w:rsidRDefault="00B20925" w:rsidP="00B20925">
      <w:pPr>
        <w:tabs>
          <w:tab w:val="left" w:pos="426"/>
        </w:tabs>
        <w:rPr>
          <w:rFonts w:ascii="Verdana" w:hAnsi="Verdana" w:cs="Arial"/>
          <w:b/>
          <w:sz w:val="18"/>
          <w:szCs w:val="18"/>
        </w:rPr>
      </w:pPr>
    </w:p>
    <w:p w:rsidR="00B20925" w:rsidRPr="00F24E6D" w:rsidRDefault="00B20925" w:rsidP="00B20925">
      <w:pPr>
        <w:rPr>
          <w:rFonts w:ascii="Verdana" w:hAnsi="Verdana" w:cs="Arial"/>
          <w:b/>
        </w:rPr>
      </w:pPr>
      <w:r w:rsidRPr="00F24E6D">
        <w:rPr>
          <w:rFonts w:ascii="Verdana" w:hAnsi="Verdana" w:cs="Arial"/>
          <w:b/>
        </w:rPr>
        <w:t>Mutaties ontvangsten</w:t>
      </w:r>
    </w:p>
    <w:p w:rsidR="00B20925" w:rsidRPr="000A3401" w:rsidRDefault="00B20925" w:rsidP="00B20925">
      <w:pPr>
        <w:rPr>
          <w:rFonts w:ascii="Verdana" w:hAnsi="Verdana" w:cs="Arial"/>
          <w:i/>
          <w:sz w:val="18"/>
          <w:szCs w:val="18"/>
        </w:rPr>
      </w:pPr>
    </w:p>
    <w:p w:rsidR="00B20925" w:rsidRPr="000A3401" w:rsidRDefault="00B20925" w:rsidP="00B20925">
      <w:pPr>
        <w:rPr>
          <w:rFonts w:ascii="Verdana" w:hAnsi="Verdana" w:cs="Arial"/>
          <w:i/>
          <w:sz w:val="18"/>
          <w:szCs w:val="18"/>
        </w:rPr>
      </w:pPr>
      <w:r w:rsidRPr="000A3401">
        <w:rPr>
          <w:rFonts w:ascii="Verdana" w:hAnsi="Verdana" w:cs="Arial"/>
          <w:i/>
          <w:sz w:val="18"/>
          <w:szCs w:val="18"/>
        </w:rPr>
        <w:t>37.2 Toegang, toelating en opvang vreemdelingen</w:t>
      </w:r>
    </w:p>
    <w:p w:rsidR="00B20925" w:rsidRPr="000A3401" w:rsidRDefault="00B20925" w:rsidP="00B20925">
      <w:pPr>
        <w:tabs>
          <w:tab w:val="left" w:pos="851"/>
        </w:tabs>
        <w:rPr>
          <w:rFonts w:ascii="Verdana" w:hAnsi="Verdana" w:cs="Arial"/>
          <w:sz w:val="18"/>
          <w:szCs w:val="18"/>
        </w:rPr>
      </w:pPr>
      <w:r w:rsidRPr="000A3401">
        <w:rPr>
          <w:rFonts w:ascii="Verdana" w:hAnsi="Verdana" w:cs="Arial"/>
          <w:sz w:val="18"/>
          <w:szCs w:val="18"/>
        </w:rPr>
        <w:t>Terugdraaien inzet asielreserve: bij voorjaarsnota is het budgettaire kader (uitgaven e</w:t>
      </w:r>
      <w:r>
        <w:rPr>
          <w:rFonts w:ascii="Verdana" w:hAnsi="Verdana" w:cs="Arial"/>
          <w:sz w:val="18"/>
          <w:szCs w:val="18"/>
        </w:rPr>
        <w:t>n</w:t>
      </w:r>
      <w:r w:rsidRPr="000A3401">
        <w:rPr>
          <w:rFonts w:ascii="Verdana" w:hAnsi="Verdana" w:cs="Arial"/>
          <w:sz w:val="18"/>
          <w:szCs w:val="18"/>
        </w:rPr>
        <w:t xml:space="preserve"> ontvangsten) verhoogd met € 10,8 mln. vanuit de asielreserve en ingezet om de extra kosten bij de IND te dekken die zijn veroorzaakt door stijging van de asielinstroom. Bij de augustusbrief besluitvorming is € 375 mln. door het kabinet beschikbaar gesteld om deze kosten op te vangen. De inzet vanuit de asielreserve is hierdoor niet meer noodzakelijk. </w:t>
      </w:r>
    </w:p>
    <w:p w:rsidR="00B20925" w:rsidRPr="005C6233" w:rsidRDefault="00B20925" w:rsidP="00B20925">
      <w:pPr>
        <w:tabs>
          <w:tab w:val="left" w:pos="426"/>
        </w:tabs>
        <w:rPr>
          <w:rFonts w:ascii="Verdana" w:hAnsi="Verdana" w:cs="Arial"/>
          <w:b/>
          <w:caps/>
        </w:rPr>
      </w:pPr>
      <w:r w:rsidRPr="000A3401">
        <w:rPr>
          <w:rFonts w:ascii="Verdana" w:hAnsi="Verdana" w:cs="Arial"/>
          <w:b/>
          <w:sz w:val="18"/>
          <w:szCs w:val="18"/>
        </w:rPr>
        <w:br w:type="page"/>
      </w:r>
      <w:r w:rsidRPr="005C6233">
        <w:rPr>
          <w:rFonts w:ascii="Verdana" w:hAnsi="Verdana" w:cs="Arial"/>
          <w:b/>
          <w:caps/>
        </w:rPr>
        <w:lastRenderedPageBreak/>
        <w:t>2.3 niet-beleidsartikelen</w:t>
      </w:r>
    </w:p>
    <w:p w:rsidR="00B20925" w:rsidRPr="005C6233" w:rsidRDefault="00B20925" w:rsidP="00B20925">
      <w:pPr>
        <w:tabs>
          <w:tab w:val="left" w:pos="426"/>
        </w:tabs>
        <w:ind w:right="567"/>
        <w:rPr>
          <w:rFonts w:ascii="Verdana" w:hAnsi="Verdana" w:cs="Arial"/>
          <w:b/>
        </w:rPr>
      </w:pPr>
    </w:p>
    <w:p w:rsidR="00B20925" w:rsidRPr="00B81A0B" w:rsidRDefault="00B20925" w:rsidP="00B20925">
      <w:pPr>
        <w:tabs>
          <w:tab w:val="left" w:pos="426"/>
        </w:tabs>
        <w:ind w:right="567"/>
        <w:rPr>
          <w:rFonts w:ascii="Verdana" w:hAnsi="Verdana" w:cs="Arial"/>
          <w:b/>
          <w:sz w:val="22"/>
          <w:szCs w:val="22"/>
        </w:rPr>
      </w:pPr>
      <w:r w:rsidRPr="005C6233">
        <w:rPr>
          <w:rFonts w:ascii="Verdana" w:hAnsi="Verdana" w:cs="Arial"/>
          <w:b/>
        </w:rPr>
        <w:t>91 APPARAATSUITGAVEN KERNDEPARTEMENT</w:t>
      </w:r>
    </w:p>
    <w:p w:rsidR="00B20925" w:rsidRDefault="00B20925" w:rsidP="00B20925">
      <w:pPr>
        <w:tabs>
          <w:tab w:val="left" w:pos="426"/>
        </w:tabs>
        <w:ind w:right="567"/>
        <w:rPr>
          <w:rFonts w:ascii="Verdana" w:hAnsi="Verdana" w:cs="Arial"/>
          <w:b/>
          <w:sz w:val="22"/>
          <w:szCs w:val="22"/>
        </w:rPr>
      </w:pPr>
    </w:p>
    <w:tbl>
      <w:tblPr>
        <w:tblW w:w="5000" w:type="pct"/>
        <w:tblCellMar>
          <w:left w:w="70" w:type="dxa"/>
          <w:right w:w="70" w:type="dxa"/>
        </w:tblCellMar>
        <w:tblLook w:val="04A0" w:firstRow="1" w:lastRow="0" w:firstColumn="1" w:lastColumn="0" w:noHBand="0" w:noVBand="1"/>
      </w:tblPr>
      <w:tblGrid>
        <w:gridCol w:w="179"/>
        <w:gridCol w:w="4117"/>
        <w:gridCol w:w="1114"/>
        <w:gridCol w:w="1015"/>
        <w:gridCol w:w="1016"/>
        <w:gridCol w:w="1015"/>
      </w:tblGrid>
      <w:tr w:rsidR="00B20925" w:rsidRPr="00545A77" w:rsidTr="00250DD1">
        <w:trPr>
          <w:trHeight w:val="225"/>
        </w:trPr>
        <w:tc>
          <w:tcPr>
            <w:tcW w:w="2539" w:type="pct"/>
            <w:gridSpan w:val="2"/>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r w:rsidRPr="00545A77">
              <w:rPr>
                <w:rFonts w:cs="Arial"/>
                <w:b/>
                <w:bCs/>
                <w:sz w:val="16"/>
                <w:szCs w:val="16"/>
              </w:rPr>
              <w:t>Budgettaire gevolgen van beleid</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x € 1.000</w:t>
            </w:r>
          </w:p>
        </w:tc>
      </w:tr>
      <w:tr w:rsidR="00B20925" w:rsidRPr="00545A77" w:rsidTr="00250DD1">
        <w:trPr>
          <w:trHeight w:val="675"/>
        </w:trPr>
        <w:tc>
          <w:tcPr>
            <w:tcW w:w="104" w:type="pct"/>
            <w:tcBorders>
              <w:top w:val="single" w:sz="4" w:space="0" w:color="auto"/>
              <w:left w:val="nil"/>
              <w:bottom w:val="single" w:sz="4" w:space="0" w:color="auto"/>
              <w:right w:val="nil"/>
            </w:tcBorders>
            <w:shd w:val="clear" w:color="000000" w:fill="FFFFCC"/>
            <w:noWrap/>
            <w:hideMark/>
          </w:tcPr>
          <w:p w:rsidR="00B20925" w:rsidRPr="00545A77" w:rsidRDefault="00B20925" w:rsidP="00250DD1">
            <w:pPr>
              <w:rPr>
                <w:rFonts w:cs="Arial"/>
                <w:b/>
                <w:bCs/>
                <w:sz w:val="16"/>
                <w:szCs w:val="16"/>
              </w:rPr>
            </w:pPr>
            <w:r w:rsidRPr="00545A77">
              <w:rPr>
                <w:rFonts w:cs="Arial"/>
                <w:b/>
                <w:bCs/>
                <w:sz w:val="16"/>
                <w:szCs w:val="16"/>
              </w:rPr>
              <w:t> </w:t>
            </w:r>
          </w:p>
        </w:tc>
        <w:tc>
          <w:tcPr>
            <w:tcW w:w="2434" w:type="pct"/>
            <w:tcBorders>
              <w:top w:val="single" w:sz="4" w:space="0" w:color="auto"/>
              <w:left w:val="nil"/>
              <w:bottom w:val="single" w:sz="4" w:space="0" w:color="auto"/>
              <w:right w:val="nil"/>
            </w:tcBorders>
            <w:shd w:val="clear" w:color="000000" w:fill="FFFFCC"/>
            <w:hideMark/>
          </w:tcPr>
          <w:p w:rsidR="00B20925" w:rsidRPr="00545A77" w:rsidRDefault="00B20925" w:rsidP="00250DD1">
            <w:pPr>
              <w:jc w:val="right"/>
              <w:rPr>
                <w:rFonts w:cs="Arial"/>
                <w:sz w:val="16"/>
                <w:szCs w:val="16"/>
              </w:rPr>
            </w:pPr>
            <w:r w:rsidRPr="00545A77">
              <w:rPr>
                <w:rFonts w:cs="Arial"/>
                <w:sz w:val="16"/>
                <w:szCs w:val="16"/>
              </w:rPr>
              <w:t> </w:t>
            </w:r>
          </w:p>
        </w:tc>
        <w:tc>
          <w:tcPr>
            <w:tcW w:w="659" w:type="pct"/>
            <w:tcBorders>
              <w:top w:val="single" w:sz="4" w:space="0" w:color="auto"/>
              <w:left w:val="nil"/>
              <w:bottom w:val="single" w:sz="4" w:space="0" w:color="auto"/>
              <w:right w:val="nil"/>
            </w:tcBorders>
            <w:shd w:val="clear" w:color="000000" w:fill="FFFFCC"/>
            <w:hideMark/>
          </w:tcPr>
          <w:p w:rsidR="00B20925" w:rsidRPr="00545A77" w:rsidRDefault="00B20925" w:rsidP="00250DD1">
            <w:pPr>
              <w:jc w:val="right"/>
              <w:rPr>
                <w:rFonts w:cs="Arial"/>
                <w:sz w:val="16"/>
                <w:szCs w:val="16"/>
              </w:rPr>
            </w:pPr>
            <w:r w:rsidRPr="00545A77">
              <w:rPr>
                <w:rFonts w:cs="Arial"/>
                <w:sz w:val="16"/>
                <w:szCs w:val="16"/>
              </w:rPr>
              <w:t xml:space="preserve">Stand vastgestelde begroting </w:t>
            </w:r>
          </w:p>
        </w:tc>
        <w:tc>
          <w:tcPr>
            <w:tcW w:w="601" w:type="pct"/>
            <w:tcBorders>
              <w:top w:val="single" w:sz="4" w:space="0" w:color="auto"/>
              <w:left w:val="nil"/>
              <w:bottom w:val="single" w:sz="4" w:space="0" w:color="auto"/>
              <w:right w:val="nil"/>
            </w:tcBorders>
            <w:shd w:val="clear" w:color="000000" w:fill="FFFFCC"/>
            <w:hideMark/>
          </w:tcPr>
          <w:p w:rsidR="00B20925" w:rsidRPr="00545A77" w:rsidRDefault="00B20925" w:rsidP="00250DD1">
            <w:pPr>
              <w:jc w:val="right"/>
              <w:rPr>
                <w:rFonts w:cs="Arial"/>
                <w:sz w:val="16"/>
                <w:szCs w:val="16"/>
              </w:rPr>
            </w:pPr>
            <w:r w:rsidRPr="00545A77">
              <w:rPr>
                <w:rFonts w:cs="Arial"/>
                <w:sz w:val="16"/>
                <w:szCs w:val="16"/>
              </w:rPr>
              <w:t>Stand 1e suppletoire begroting</w:t>
            </w:r>
          </w:p>
        </w:tc>
        <w:tc>
          <w:tcPr>
            <w:tcW w:w="601" w:type="pct"/>
            <w:tcBorders>
              <w:top w:val="single" w:sz="4" w:space="0" w:color="auto"/>
              <w:left w:val="nil"/>
              <w:bottom w:val="single" w:sz="4" w:space="0" w:color="auto"/>
              <w:right w:val="nil"/>
            </w:tcBorders>
            <w:shd w:val="clear" w:color="000000" w:fill="FFFFCC"/>
            <w:hideMark/>
          </w:tcPr>
          <w:p w:rsidR="00B20925" w:rsidRPr="00545A77" w:rsidRDefault="00B20925" w:rsidP="00250DD1">
            <w:pPr>
              <w:jc w:val="right"/>
              <w:rPr>
                <w:rFonts w:cs="Arial"/>
                <w:sz w:val="16"/>
                <w:szCs w:val="16"/>
              </w:rPr>
            </w:pPr>
            <w:r w:rsidRPr="00545A77">
              <w:rPr>
                <w:rFonts w:cs="Arial"/>
                <w:sz w:val="16"/>
                <w:szCs w:val="16"/>
              </w:rPr>
              <w:t>Mutaties 2e suppletoire begroting</w:t>
            </w:r>
          </w:p>
        </w:tc>
        <w:tc>
          <w:tcPr>
            <w:tcW w:w="601" w:type="pct"/>
            <w:tcBorders>
              <w:top w:val="single" w:sz="4" w:space="0" w:color="auto"/>
              <w:left w:val="nil"/>
              <w:bottom w:val="single" w:sz="4" w:space="0" w:color="auto"/>
              <w:right w:val="nil"/>
            </w:tcBorders>
            <w:shd w:val="clear" w:color="000000" w:fill="FFFFCC"/>
            <w:hideMark/>
          </w:tcPr>
          <w:p w:rsidR="00B20925" w:rsidRPr="00545A77" w:rsidRDefault="00B20925" w:rsidP="00250DD1">
            <w:pPr>
              <w:jc w:val="right"/>
              <w:rPr>
                <w:rFonts w:cs="Arial"/>
                <w:sz w:val="16"/>
                <w:szCs w:val="16"/>
              </w:rPr>
            </w:pPr>
            <w:r w:rsidRPr="00545A77">
              <w:rPr>
                <w:rFonts w:cs="Arial"/>
                <w:sz w:val="16"/>
                <w:szCs w:val="16"/>
              </w:rPr>
              <w:t>Stand 2e suppletoire begroting</w:t>
            </w:r>
          </w:p>
        </w:tc>
      </w:tr>
      <w:tr w:rsidR="00B20925" w:rsidRPr="00545A77" w:rsidTr="00250DD1">
        <w:trPr>
          <w:trHeight w:val="225"/>
        </w:trPr>
        <w:tc>
          <w:tcPr>
            <w:tcW w:w="2539" w:type="pct"/>
            <w:gridSpan w:val="2"/>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r w:rsidRPr="00545A77">
              <w:rPr>
                <w:rFonts w:cs="Arial"/>
                <w:b/>
                <w:bCs/>
                <w:sz w:val="16"/>
                <w:szCs w:val="16"/>
              </w:rPr>
              <w:t>Verplichtingen</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410.369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437.637</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10.485</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4</w:t>
            </w:r>
            <w:r>
              <w:rPr>
                <w:rFonts w:cs="Arial"/>
                <w:b/>
                <w:bCs/>
                <w:sz w:val="16"/>
                <w:szCs w:val="16"/>
              </w:rPr>
              <w:t>48</w:t>
            </w:r>
            <w:r w:rsidRPr="00545A77">
              <w:rPr>
                <w:rFonts w:cs="Arial"/>
                <w:b/>
                <w:bCs/>
                <w:sz w:val="16"/>
                <w:szCs w:val="16"/>
              </w:rPr>
              <w:t>.</w:t>
            </w:r>
            <w:r>
              <w:rPr>
                <w:rFonts w:cs="Arial"/>
                <w:b/>
                <w:bCs/>
                <w:sz w:val="16"/>
                <w:szCs w:val="16"/>
              </w:rPr>
              <w:t>122</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59"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r>
      <w:tr w:rsidR="00B20925" w:rsidRPr="00545A77" w:rsidTr="00250DD1">
        <w:trPr>
          <w:trHeight w:val="225"/>
        </w:trPr>
        <w:tc>
          <w:tcPr>
            <w:tcW w:w="2539" w:type="pct"/>
            <w:gridSpan w:val="2"/>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r w:rsidRPr="00545A77">
              <w:rPr>
                <w:rFonts w:cs="Arial"/>
                <w:b/>
                <w:bCs/>
                <w:sz w:val="16"/>
                <w:szCs w:val="16"/>
              </w:rPr>
              <w:t>91.1 Apparaatsuitgaven kerndepartement</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b/>
                <w:bCs/>
                <w:sz w:val="16"/>
                <w:szCs w:val="16"/>
              </w:rPr>
            </w:pPr>
            <w:r w:rsidRPr="00545A77">
              <w:rPr>
                <w:rFonts w:ascii="Arial" w:hAnsi="Arial" w:cs="Arial"/>
                <w:b/>
                <w:bCs/>
                <w:sz w:val="16"/>
                <w:szCs w:val="16"/>
              </w:rPr>
              <w:t>Personeel</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231.049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252.855</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11.594</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264.449</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waarvan eigen personeel</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192.404</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210.277</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4.923</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215.200</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waarvan externe inhuur</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31.117</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39.618</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6.676</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46.294</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waarvan overig personeel</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7.528</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2.960</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-5</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2.955</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b/>
                <w:bCs/>
                <w:sz w:val="16"/>
                <w:szCs w:val="16"/>
              </w:rPr>
            </w:pPr>
            <w:r w:rsidRPr="00545A77">
              <w:rPr>
                <w:rFonts w:ascii="Arial" w:hAnsi="Arial" w:cs="Arial"/>
                <w:b/>
                <w:bCs/>
                <w:sz w:val="16"/>
                <w:szCs w:val="16"/>
              </w:rPr>
              <w:t>Materieel</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179.320</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195.339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-1.109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194.230</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waarvan ICT</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19.260</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13.868</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2.489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16.357</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 xml:space="preserve">waarvan </w:t>
            </w:r>
            <w:proofErr w:type="spellStart"/>
            <w:r w:rsidRPr="00545A77">
              <w:rPr>
                <w:rFonts w:ascii="Arial" w:hAnsi="Arial" w:cs="Arial"/>
                <w:sz w:val="16"/>
                <w:szCs w:val="16"/>
              </w:rPr>
              <w:t>SSO's</w:t>
            </w:r>
            <w:proofErr w:type="spellEnd"/>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94.986</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137.513</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-6.658</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130.855</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ascii="Arial" w:hAnsi="Arial" w:cs="Arial"/>
                <w:sz w:val="16"/>
                <w:szCs w:val="16"/>
              </w:rPr>
            </w:pPr>
            <w:r w:rsidRPr="00545A77">
              <w:rPr>
                <w:rFonts w:ascii="Arial" w:hAnsi="Arial" w:cs="Arial"/>
                <w:sz w:val="16"/>
                <w:szCs w:val="16"/>
              </w:rPr>
              <w:t>waarvan overig materieel</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65.074</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43.958</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3.060</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sz w:val="16"/>
                <w:szCs w:val="16"/>
              </w:rPr>
            </w:pPr>
            <w:r w:rsidRPr="00545A77">
              <w:rPr>
                <w:rFonts w:cs="Arial"/>
                <w:sz w:val="16"/>
                <w:szCs w:val="16"/>
              </w:rPr>
              <w:t>47.018</w:t>
            </w:r>
          </w:p>
        </w:tc>
      </w:tr>
      <w:tr w:rsidR="00B20925" w:rsidRPr="00545A77" w:rsidTr="00250DD1">
        <w:trPr>
          <w:trHeight w:val="225"/>
        </w:trPr>
        <w:tc>
          <w:tcPr>
            <w:tcW w:w="10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2434"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59"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c>
          <w:tcPr>
            <w:tcW w:w="601" w:type="pct"/>
            <w:tcBorders>
              <w:top w:val="nil"/>
              <w:left w:val="nil"/>
              <w:bottom w:val="nil"/>
              <w:right w:val="nil"/>
            </w:tcBorders>
            <w:shd w:val="clear" w:color="auto" w:fill="auto"/>
            <w:noWrap/>
            <w:vAlign w:val="bottom"/>
            <w:hideMark/>
          </w:tcPr>
          <w:p w:rsidR="00B20925" w:rsidRPr="00545A77" w:rsidRDefault="00B20925" w:rsidP="00250DD1">
            <w:pPr>
              <w:rPr>
                <w:rFonts w:cs="Arial"/>
                <w:sz w:val="16"/>
                <w:szCs w:val="16"/>
              </w:rPr>
            </w:pPr>
          </w:p>
        </w:tc>
      </w:tr>
      <w:tr w:rsidR="00B20925" w:rsidRPr="00545A77" w:rsidTr="00250DD1">
        <w:trPr>
          <w:trHeight w:val="225"/>
        </w:trPr>
        <w:tc>
          <w:tcPr>
            <w:tcW w:w="2539" w:type="pct"/>
            <w:gridSpan w:val="2"/>
            <w:tcBorders>
              <w:top w:val="nil"/>
              <w:left w:val="nil"/>
              <w:bottom w:val="nil"/>
              <w:right w:val="nil"/>
            </w:tcBorders>
            <w:shd w:val="clear" w:color="auto" w:fill="auto"/>
            <w:noWrap/>
            <w:vAlign w:val="bottom"/>
            <w:hideMark/>
          </w:tcPr>
          <w:p w:rsidR="00B20925" w:rsidRPr="00545A77" w:rsidRDefault="00B20925" w:rsidP="00250DD1">
            <w:pPr>
              <w:rPr>
                <w:rFonts w:cs="Arial"/>
                <w:b/>
                <w:bCs/>
                <w:sz w:val="16"/>
                <w:szCs w:val="16"/>
              </w:rPr>
            </w:pPr>
            <w:r w:rsidRPr="00545A77">
              <w:rPr>
                <w:rFonts w:cs="Arial"/>
                <w:b/>
                <w:bCs/>
                <w:sz w:val="16"/>
                <w:szCs w:val="16"/>
              </w:rPr>
              <w:t>Ontvangsten</w:t>
            </w:r>
          </w:p>
        </w:tc>
        <w:tc>
          <w:tcPr>
            <w:tcW w:w="659"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706</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1.149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13.089</w:t>
            </w:r>
          </w:p>
        </w:tc>
        <w:tc>
          <w:tcPr>
            <w:tcW w:w="601" w:type="pct"/>
            <w:tcBorders>
              <w:top w:val="nil"/>
              <w:left w:val="nil"/>
              <w:bottom w:val="nil"/>
              <w:right w:val="nil"/>
            </w:tcBorders>
            <w:shd w:val="clear" w:color="auto" w:fill="auto"/>
            <w:noWrap/>
            <w:vAlign w:val="bottom"/>
            <w:hideMark/>
          </w:tcPr>
          <w:p w:rsidR="00B20925" w:rsidRPr="00545A77" w:rsidRDefault="00B20925" w:rsidP="00250DD1">
            <w:pPr>
              <w:jc w:val="right"/>
              <w:rPr>
                <w:rFonts w:cs="Arial"/>
                <w:b/>
                <w:bCs/>
                <w:sz w:val="16"/>
                <w:szCs w:val="16"/>
              </w:rPr>
            </w:pPr>
            <w:r w:rsidRPr="00545A77">
              <w:rPr>
                <w:rFonts w:cs="Arial"/>
                <w:b/>
                <w:bCs/>
                <w:sz w:val="16"/>
                <w:szCs w:val="16"/>
              </w:rPr>
              <w:t>14.238</w:t>
            </w:r>
          </w:p>
        </w:tc>
      </w:tr>
      <w:tr w:rsidR="00B20925" w:rsidRPr="00545A77" w:rsidTr="00250DD1">
        <w:trPr>
          <w:trHeight w:val="225"/>
        </w:trPr>
        <w:tc>
          <w:tcPr>
            <w:tcW w:w="104"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c>
          <w:tcPr>
            <w:tcW w:w="2434"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c>
          <w:tcPr>
            <w:tcW w:w="659"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c>
          <w:tcPr>
            <w:tcW w:w="601"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c>
          <w:tcPr>
            <w:tcW w:w="601"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c>
          <w:tcPr>
            <w:tcW w:w="601" w:type="pct"/>
            <w:tcBorders>
              <w:top w:val="single" w:sz="4" w:space="0" w:color="auto"/>
              <w:left w:val="nil"/>
              <w:bottom w:val="nil"/>
              <w:right w:val="nil"/>
            </w:tcBorders>
            <w:shd w:val="clear" w:color="auto" w:fill="auto"/>
            <w:noWrap/>
            <w:vAlign w:val="bottom"/>
            <w:hideMark/>
          </w:tcPr>
          <w:p w:rsidR="00B20925" w:rsidRPr="00545A77" w:rsidRDefault="00B20925" w:rsidP="00250DD1">
            <w:pPr>
              <w:rPr>
                <w:rFonts w:cs="Arial"/>
                <w:sz w:val="16"/>
                <w:szCs w:val="16"/>
              </w:rPr>
            </w:pPr>
            <w:r w:rsidRPr="00545A77">
              <w:rPr>
                <w:rFonts w:cs="Arial"/>
                <w:sz w:val="16"/>
                <w:szCs w:val="16"/>
              </w:rPr>
              <w:t> </w:t>
            </w:r>
          </w:p>
        </w:tc>
      </w:tr>
    </w:tbl>
    <w:p w:rsidR="00B20925" w:rsidRDefault="00B20925" w:rsidP="00B20925">
      <w:pPr>
        <w:tabs>
          <w:tab w:val="left" w:pos="851"/>
        </w:tabs>
        <w:rPr>
          <w:rFonts w:ascii="Verdana" w:hAnsi="Verdana" w:cs="Arial"/>
          <w:b/>
        </w:rPr>
      </w:pPr>
    </w:p>
    <w:p w:rsidR="00B20925" w:rsidRPr="005C6233" w:rsidRDefault="00B20925" w:rsidP="00B20925">
      <w:pPr>
        <w:tabs>
          <w:tab w:val="left" w:pos="851"/>
        </w:tabs>
        <w:rPr>
          <w:rFonts w:ascii="Verdana" w:hAnsi="Verdana" w:cs="Arial"/>
          <w:b/>
        </w:rPr>
      </w:pPr>
      <w:r w:rsidRPr="005C6233">
        <w:rPr>
          <w:rFonts w:ascii="Verdana" w:hAnsi="Verdana" w:cs="Arial"/>
          <w:b/>
        </w:rPr>
        <w:t>Toelichting op niet-beleidsartikel 91</w:t>
      </w:r>
    </w:p>
    <w:p w:rsidR="00B20925" w:rsidRPr="005C6233" w:rsidRDefault="00B20925" w:rsidP="00B20925">
      <w:pPr>
        <w:ind w:left="-284" w:right="567"/>
        <w:rPr>
          <w:rFonts w:ascii="Verdana" w:hAnsi="Verdana" w:cs="Arial"/>
          <w:b/>
        </w:rPr>
      </w:pPr>
      <w:r w:rsidRPr="005C6233">
        <w:rPr>
          <w:rFonts w:ascii="Verdana" w:hAnsi="Verdana" w:cs="Arial"/>
          <w:b/>
        </w:rPr>
        <w:tab/>
      </w:r>
    </w:p>
    <w:p w:rsidR="00B20925" w:rsidRPr="005C6233" w:rsidRDefault="00B20925" w:rsidP="00B20925">
      <w:pPr>
        <w:tabs>
          <w:tab w:val="left" w:pos="851"/>
        </w:tabs>
        <w:rPr>
          <w:rFonts w:ascii="Verdana" w:hAnsi="Verdana" w:cs="Arial"/>
          <w:b/>
        </w:rPr>
      </w:pPr>
      <w:r w:rsidRPr="005C6233">
        <w:rPr>
          <w:rFonts w:ascii="Verdana" w:hAnsi="Verdana" w:cs="Arial"/>
          <w:b/>
        </w:rPr>
        <w:t>Mutaties uitgaven</w:t>
      </w:r>
    </w:p>
    <w:p w:rsidR="00B20925" w:rsidRPr="005C6233" w:rsidRDefault="00B20925" w:rsidP="00B20925">
      <w:pPr>
        <w:tabs>
          <w:tab w:val="left" w:pos="851"/>
        </w:tabs>
        <w:rPr>
          <w:rFonts w:ascii="Verdana" w:hAnsi="Verdana" w:cs="Arial"/>
          <w:b/>
        </w:rPr>
      </w:pPr>
    </w:p>
    <w:p w:rsidR="00B20925" w:rsidRPr="00631580" w:rsidRDefault="00B20925" w:rsidP="00B20925">
      <w:pPr>
        <w:tabs>
          <w:tab w:val="left" w:pos="851"/>
        </w:tabs>
        <w:rPr>
          <w:rFonts w:ascii="Verdana" w:hAnsi="Verdana" w:cs="Arial"/>
          <w:i/>
          <w:sz w:val="18"/>
          <w:szCs w:val="18"/>
        </w:rPr>
      </w:pPr>
      <w:r w:rsidRPr="00631580">
        <w:rPr>
          <w:rFonts w:ascii="Verdana" w:hAnsi="Verdana" w:cs="Arial"/>
          <w:i/>
          <w:sz w:val="18"/>
          <w:szCs w:val="18"/>
        </w:rPr>
        <w:t>91.1 Apparaatsuitgaven kerndepartement</w:t>
      </w:r>
    </w:p>
    <w:p w:rsidR="00B20925" w:rsidRPr="00631580" w:rsidRDefault="00B20925" w:rsidP="00B20925">
      <w:pPr>
        <w:tabs>
          <w:tab w:val="left" w:pos="851"/>
        </w:tabs>
        <w:rPr>
          <w:rFonts w:ascii="Verdana" w:hAnsi="Verdana" w:cs="Arial"/>
          <w:b/>
          <w:sz w:val="18"/>
          <w:szCs w:val="18"/>
        </w:rPr>
      </w:pPr>
    </w:p>
    <w:p w:rsidR="00B20925" w:rsidRPr="00631580" w:rsidRDefault="00B20925" w:rsidP="00B20925">
      <w:pPr>
        <w:rPr>
          <w:rFonts w:ascii="Verdana" w:eastAsia="Calibri" w:hAnsi="Verdana"/>
          <w:i/>
          <w:sz w:val="18"/>
          <w:szCs w:val="18"/>
          <w:lang w:eastAsia="en-US"/>
        </w:rPr>
      </w:pPr>
      <w:r w:rsidRPr="00631580">
        <w:rPr>
          <w:rFonts w:ascii="Verdana" w:eastAsia="Calibri" w:hAnsi="Verdana"/>
          <w:i/>
          <w:sz w:val="18"/>
          <w:szCs w:val="18"/>
          <w:lang w:eastAsia="en-US"/>
        </w:rPr>
        <w:t>Waarvan extern</w:t>
      </w:r>
      <w:r>
        <w:rPr>
          <w:rFonts w:ascii="Verdana" w:eastAsia="Calibri" w:hAnsi="Verdana"/>
          <w:i/>
          <w:sz w:val="18"/>
          <w:szCs w:val="18"/>
          <w:lang w:eastAsia="en-US"/>
        </w:rPr>
        <w:t>e</w:t>
      </w:r>
      <w:r w:rsidRPr="00631580">
        <w:rPr>
          <w:rFonts w:ascii="Verdana" w:eastAsia="Calibri" w:hAnsi="Verdana"/>
          <w:i/>
          <w:sz w:val="18"/>
          <w:szCs w:val="18"/>
          <w:lang w:eastAsia="en-US"/>
        </w:rPr>
        <w:t xml:space="preserve"> </w:t>
      </w:r>
      <w:r>
        <w:rPr>
          <w:rFonts w:ascii="Verdana" w:eastAsia="Calibri" w:hAnsi="Verdana"/>
          <w:i/>
          <w:sz w:val="18"/>
          <w:szCs w:val="18"/>
          <w:lang w:eastAsia="en-US"/>
        </w:rPr>
        <w:t>inhuur</w:t>
      </w:r>
    </w:p>
    <w:p w:rsidR="00B20925" w:rsidRPr="00631580" w:rsidRDefault="00B20925" w:rsidP="00B20925">
      <w:pPr>
        <w:rPr>
          <w:rFonts w:ascii="Verdana" w:hAnsi="Verdana" w:cs="Arial"/>
          <w:sz w:val="18"/>
          <w:szCs w:val="18"/>
        </w:rPr>
      </w:pPr>
      <w:r w:rsidRPr="00631580">
        <w:rPr>
          <w:rFonts w:ascii="Verdana" w:hAnsi="Verdana" w:cs="Arial"/>
          <w:sz w:val="18"/>
          <w:szCs w:val="18"/>
        </w:rPr>
        <w:t>Op dit artikel</w:t>
      </w:r>
      <w:r>
        <w:rPr>
          <w:rFonts w:ascii="Verdana" w:hAnsi="Verdana" w:cs="Arial"/>
          <w:sz w:val="18"/>
          <w:szCs w:val="18"/>
        </w:rPr>
        <w:t>onderdeel</w:t>
      </w:r>
      <w:r w:rsidRPr="00631580">
        <w:rPr>
          <w:rFonts w:ascii="Verdana" w:hAnsi="Verdana" w:cs="Arial"/>
          <w:sz w:val="18"/>
          <w:szCs w:val="18"/>
        </w:rPr>
        <w:t xml:space="preserve"> doen zich alleen kleinere mutaties (&lt; </w:t>
      </w:r>
      <w:r w:rsidRPr="00631580">
        <w:rPr>
          <w:rFonts w:ascii="Verdana" w:hAnsi="Verdana" w:cs="Arial" w:hint="eastAsia"/>
          <w:sz w:val="18"/>
          <w:szCs w:val="18"/>
        </w:rPr>
        <w:t>€</w:t>
      </w:r>
      <w:r w:rsidRPr="00631580">
        <w:rPr>
          <w:rFonts w:ascii="Verdana" w:hAnsi="Verdana" w:cs="Arial"/>
          <w:sz w:val="18"/>
          <w:szCs w:val="18"/>
        </w:rPr>
        <w:t xml:space="preserve"> 5 mln.) voor zoals o.a.: </w:t>
      </w:r>
    </w:p>
    <w:p w:rsidR="00B20925" w:rsidRPr="00631580" w:rsidRDefault="00B20925" w:rsidP="00B20925">
      <w:pPr>
        <w:numPr>
          <w:ilvl w:val="0"/>
          <w:numId w:val="24"/>
        </w:numPr>
        <w:rPr>
          <w:rFonts w:ascii="Verdana" w:eastAsia="Calibri" w:hAnsi="Verdana"/>
          <w:i/>
          <w:sz w:val="18"/>
          <w:szCs w:val="18"/>
          <w:lang w:eastAsia="en-US"/>
        </w:rPr>
      </w:pPr>
      <w:r w:rsidRPr="00631580">
        <w:rPr>
          <w:rFonts w:ascii="Verdana" w:hAnsi="Verdana" w:cs="Arial"/>
          <w:sz w:val="18"/>
          <w:szCs w:val="18"/>
        </w:rPr>
        <w:t xml:space="preserve">desaldering </w:t>
      </w:r>
      <w:proofErr w:type="spellStart"/>
      <w:r w:rsidRPr="00631580">
        <w:rPr>
          <w:rFonts w:ascii="Verdana" w:hAnsi="Verdana" w:cs="Arial"/>
          <w:sz w:val="18"/>
          <w:szCs w:val="18"/>
        </w:rPr>
        <w:t>JustID</w:t>
      </w:r>
      <w:proofErr w:type="spellEnd"/>
      <w:r w:rsidRPr="00631580">
        <w:rPr>
          <w:rFonts w:ascii="Verdana" w:hAnsi="Verdana" w:cs="Arial"/>
          <w:sz w:val="18"/>
          <w:szCs w:val="18"/>
        </w:rPr>
        <w:t xml:space="preserve"> (Justitiële Informatiedienst)</w:t>
      </w:r>
    </w:p>
    <w:p w:rsidR="00B20925" w:rsidRPr="00631580" w:rsidRDefault="00B20925" w:rsidP="00B20925">
      <w:pPr>
        <w:numPr>
          <w:ilvl w:val="0"/>
          <w:numId w:val="25"/>
        </w:numPr>
        <w:rPr>
          <w:rFonts w:ascii="Verdana" w:hAnsi="Verdana"/>
          <w:sz w:val="18"/>
          <w:szCs w:val="18"/>
        </w:rPr>
      </w:pPr>
      <w:r>
        <w:rPr>
          <w:rFonts w:ascii="Verdana" w:hAnsi="Verdana"/>
          <w:sz w:val="18"/>
          <w:szCs w:val="18"/>
        </w:rPr>
        <w:t xml:space="preserve">voornamelijk </w:t>
      </w:r>
      <w:r w:rsidRPr="00631580">
        <w:rPr>
          <w:rFonts w:ascii="Verdana" w:hAnsi="Verdana"/>
          <w:sz w:val="18"/>
          <w:szCs w:val="18"/>
        </w:rPr>
        <w:t>technische mutatie</w:t>
      </w:r>
      <w:r>
        <w:rPr>
          <w:rFonts w:ascii="Verdana" w:hAnsi="Verdana"/>
          <w:sz w:val="18"/>
          <w:szCs w:val="18"/>
        </w:rPr>
        <w:t xml:space="preserve">s die </w:t>
      </w:r>
      <w:r w:rsidRPr="00631580">
        <w:rPr>
          <w:rFonts w:ascii="Verdana" w:hAnsi="Verdana"/>
          <w:sz w:val="18"/>
          <w:szCs w:val="18"/>
        </w:rPr>
        <w:t xml:space="preserve">noodzakelijk </w:t>
      </w:r>
      <w:r>
        <w:rPr>
          <w:rFonts w:ascii="Verdana" w:hAnsi="Verdana"/>
          <w:sz w:val="18"/>
          <w:szCs w:val="18"/>
        </w:rPr>
        <w:t xml:space="preserve">zijn om de begrotingsindeling </w:t>
      </w:r>
      <w:r w:rsidRPr="00631580">
        <w:rPr>
          <w:rFonts w:ascii="Verdana" w:hAnsi="Verdana"/>
          <w:sz w:val="18"/>
          <w:szCs w:val="18"/>
        </w:rPr>
        <w:t>in lijn te brengen met de uitgangspunten van Verantwoord Begroten.</w:t>
      </w:r>
    </w:p>
    <w:p w:rsidR="00B20925" w:rsidRPr="00631580" w:rsidRDefault="00B20925" w:rsidP="00B20925">
      <w:pPr>
        <w:tabs>
          <w:tab w:val="left" w:pos="851"/>
        </w:tabs>
        <w:ind w:left="284"/>
        <w:rPr>
          <w:rFonts w:ascii="Verdana" w:hAnsi="Verdana" w:cs="Arial"/>
          <w:b/>
          <w:sz w:val="18"/>
          <w:szCs w:val="18"/>
        </w:rPr>
      </w:pPr>
    </w:p>
    <w:p w:rsidR="00B20925" w:rsidRPr="00631580" w:rsidRDefault="00B20925" w:rsidP="00B20925">
      <w:pPr>
        <w:tabs>
          <w:tab w:val="left" w:pos="851"/>
        </w:tabs>
        <w:rPr>
          <w:rFonts w:ascii="Verdana" w:hAnsi="Verdana" w:cs="Arial"/>
          <w:i/>
          <w:sz w:val="18"/>
          <w:szCs w:val="18"/>
        </w:rPr>
      </w:pPr>
      <w:r w:rsidRPr="00631580">
        <w:rPr>
          <w:rFonts w:ascii="Verdana" w:hAnsi="Verdana" w:cs="Arial"/>
          <w:i/>
          <w:sz w:val="18"/>
          <w:szCs w:val="18"/>
        </w:rPr>
        <w:t xml:space="preserve">Waarvan </w:t>
      </w:r>
      <w:proofErr w:type="spellStart"/>
      <w:r w:rsidRPr="00631580">
        <w:rPr>
          <w:rFonts w:ascii="Verdana" w:hAnsi="Verdana" w:cs="Arial"/>
          <w:i/>
          <w:sz w:val="18"/>
          <w:szCs w:val="18"/>
        </w:rPr>
        <w:t>SSO’s</w:t>
      </w:r>
      <w:proofErr w:type="spellEnd"/>
    </w:p>
    <w:p w:rsidR="00B20925" w:rsidRPr="00631580" w:rsidRDefault="00B20925" w:rsidP="00B20925">
      <w:pPr>
        <w:ind w:right="567"/>
        <w:rPr>
          <w:rFonts w:ascii="Verdana" w:hAnsi="Verdana" w:cs="Arial"/>
          <w:sz w:val="18"/>
          <w:szCs w:val="18"/>
        </w:rPr>
      </w:pPr>
      <w:r>
        <w:rPr>
          <w:rFonts w:ascii="Verdana" w:hAnsi="Verdana" w:cs="Arial"/>
          <w:sz w:val="18"/>
          <w:szCs w:val="18"/>
        </w:rPr>
        <w:t>O</w:t>
      </w:r>
      <w:r w:rsidRPr="00631580">
        <w:rPr>
          <w:rFonts w:ascii="Verdana" w:hAnsi="Verdana" w:cs="Arial"/>
          <w:sz w:val="18"/>
          <w:szCs w:val="18"/>
        </w:rPr>
        <w:t>p het onderdeel Homogene Groep Internationale Samenwerking (HGIS) doet zich een meevaller voor van € 6 mln. Het project Nieuwbouw (</w:t>
      </w:r>
      <w:proofErr w:type="spellStart"/>
      <w:r w:rsidRPr="00631580">
        <w:rPr>
          <w:rFonts w:ascii="Verdana" w:hAnsi="Verdana" w:cs="Arial"/>
          <w:sz w:val="18"/>
          <w:szCs w:val="18"/>
        </w:rPr>
        <w:t>Eurojust</w:t>
      </w:r>
      <w:proofErr w:type="spellEnd"/>
      <w:r w:rsidRPr="00631580">
        <w:rPr>
          <w:rFonts w:ascii="Verdana" w:hAnsi="Verdana" w:cs="Arial"/>
          <w:sz w:val="18"/>
          <w:szCs w:val="18"/>
        </w:rPr>
        <w:t>) is gegund, maar de bouw is vertraagd waardoor</w:t>
      </w:r>
      <w:r>
        <w:rPr>
          <w:rFonts w:ascii="Verdana" w:hAnsi="Verdana" w:cs="Arial"/>
          <w:sz w:val="18"/>
          <w:szCs w:val="18"/>
        </w:rPr>
        <w:t xml:space="preserve"> in 2014 minder wordt uitgegeven. </w:t>
      </w:r>
      <w:r w:rsidRPr="00631580">
        <w:rPr>
          <w:rFonts w:ascii="Verdana" w:hAnsi="Verdana" w:cs="Arial"/>
          <w:sz w:val="18"/>
          <w:szCs w:val="18"/>
        </w:rPr>
        <w:t>Dit leidt tot overloop van</w:t>
      </w:r>
      <w:r>
        <w:rPr>
          <w:rFonts w:ascii="Verdana" w:hAnsi="Verdana" w:cs="Arial"/>
          <w:sz w:val="18"/>
          <w:szCs w:val="18"/>
        </w:rPr>
        <w:t xml:space="preserve"> de uitgaven van </w:t>
      </w:r>
      <w:r w:rsidRPr="00631580">
        <w:rPr>
          <w:rFonts w:ascii="Verdana" w:hAnsi="Verdana" w:cs="Arial"/>
          <w:sz w:val="18"/>
          <w:szCs w:val="18"/>
        </w:rPr>
        <w:t>€ 6 mln. naar 2015.</w:t>
      </w:r>
    </w:p>
    <w:p w:rsidR="00B20925" w:rsidRPr="005C6233" w:rsidRDefault="00B20925" w:rsidP="00B20925">
      <w:pPr>
        <w:ind w:right="567"/>
        <w:rPr>
          <w:rFonts w:ascii="Verdana" w:hAnsi="Verdana" w:cs="Arial"/>
          <w:b/>
        </w:rPr>
      </w:pPr>
    </w:p>
    <w:p w:rsidR="00B20925" w:rsidRDefault="00B20925" w:rsidP="00B20925">
      <w:pPr>
        <w:ind w:right="567"/>
        <w:rPr>
          <w:rFonts w:ascii="Verdana" w:hAnsi="Verdana" w:cs="Arial"/>
          <w:b/>
        </w:rPr>
      </w:pPr>
    </w:p>
    <w:p w:rsidR="00B20925" w:rsidRPr="00525EDA" w:rsidRDefault="00B20925" w:rsidP="00B20925">
      <w:pPr>
        <w:ind w:right="567"/>
        <w:rPr>
          <w:rFonts w:ascii="Verdana" w:hAnsi="Verdana" w:cs="Arial"/>
          <w:b/>
        </w:rPr>
      </w:pPr>
      <w:r w:rsidRPr="00525EDA">
        <w:rPr>
          <w:rFonts w:ascii="Verdana" w:hAnsi="Verdana" w:cs="Arial"/>
          <w:b/>
        </w:rPr>
        <w:t>Mutaties ontvangsten</w:t>
      </w:r>
    </w:p>
    <w:p w:rsidR="00B20925" w:rsidRPr="00CF46DC" w:rsidRDefault="00B20925" w:rsidP="00B20925">
      <w:pPr>
        <w:rPr>
          <w:rFonts w:ascii="Verdana" w:hAnsi="Verdana"/>
          <w:sz w:val="18"/>
          <w:szCs w:val="18"/>
        </w:rPr>
      </w:pPr>
      <w:r w:rsidRPr="00CF46DC">
        <w:rPr>
          <w:rFonts w:ascii="Verdana" w:hAnsi="Verdana" w:cs="Arial"/>
          <w:i/>
          <w:sz w:val="18"/>
          <w:szCs w:val="18"/>
        </w:rPr>
        <w:t>Justitiële Informatiedienst (</w:t>
      </w:r>
      <w:proofErr w:type="spellStart"/>
      <w:r w:rsidRPr="00CF46DC">
        <w:rPr>
          <w:rFonts w:ascii="Verdana" w:hAnsi="Verdana" w:cs="Arial"/>
          <w:i/>
          <w:sz w:val="18"/>
          <w:szCs w:val="18"/>
        </w:rPr>
        <w:t>JustID</w:t>
      </w:r>
      <w:proofErr w:type="spellEnd"/>
      <w:r w:rsidRPr="00CF46DC">
        <w:rPr>
          <w:rFonts w:ascii="Verdana" w:hAnsi="Verdana" w:cs="Arial"/>
          <w:i/>
          <w:sz w:val="18"/>
          <w:szCs w:val="18"/>
        </w:rPr>
        <w:t>)</w:t>
      </w:r>
      <w:r>
        <w:rPr>
          <w:rFonts w:ascii="Verdana" w:hAnsi="Verdana" w:cs="Arial"/>
          <w:i/>
          <w:sz w:val="18"/>
          <w:szCs w:val="18"/>
        </w:rPr>
        <w:t>:</w:t>
      </w:r>
      <w:r w:rsidRPr="00CF46DC">
        <w:rPr>
          <w:rFonts w:ascii="Verdana" w:hAnsi="Verdana" w:cs="Arial"/>
          <w:i/>
          <w:sz w:val="18"/>
          <w:szCs w:val="18"/>
        </w:rPr>
        <w:t xml:space="preserve"> </w:t>
      </w:r>
      <w:proofErr w:type="spellStart"/>
      <w:r w:rsidRPr="00CF46DC">
        <w:rPr>
          <w:rFonts w:ascii="Verdana" w:hAnsi="Verdana"/>
          <w:sz w:val="18"/>
          <w:szCs w:val="18"/>
        </w:rPr>
        <w:t>JustID</w:t>
      </w:r>
      <w:proofErr w:type="spellEnd"/>
      <w:r w:rsidRPr="00CF46DC">
        <w:rPr>
          <w:rFonts w:ascii="Verdana" w:hAnsi="Verdana"/>
          <w:sz w:val="18"/>
          <w:szCs w:val="18"/>
        </w:rPr>
        <w:t xml:space="preserve"> voert naast een aantal reguliere taken ook opdrachten uit voor derden, zoals het beheer van systemen. De vergoedingen voor deze opdrachten worden door middel van een desaldering van € 12 mln. toegevoegd aan het budgettaire kader. Hierbij wordt het uitgaven, verplichtingen en ontvangstenkader verhoogd.</w:t>
      </w:r>
    </w:p>
    <w:p w:rsidR="00B20925" w:rsidRPr="005C6233" w:rsidRDefault="00B20925" w:rsidP="00B20925">
      <w:pPr>
        <w:rPr>
          <w:rFonts w:ascii="Verdana" w:hAnsi="Verdana" w:cs="Arial"/>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Default="00B20925" w:rsidP="00B20925">
      <w:pPr>
        <w:ind w:right="567"/>
        <w:rPr>
          <w:rFonts w:ascii="Verdana" w:hAnsi="Verdana" w:cs="Arial"/>
          <w:b/>
        </w:rPr>
      </w:pPr>
    </w:p>
    <w:p w:rsidR="00B20925" w:rsidRDefault="00B20925" w:rsidP="00B20925">
      <w:pPr>
        <w:ind w:right="567"/>
        <w:rPr>
          <w:rFonts w:ascii="Verdana" w:hAnsi="Verdana" w:cs="Arial"/>
          <w:b/>
        </w:rPr>
      </w:pPr>
    </w:p>
    <w:p w:rsidR="00B20925" w:rsidRDefault="00B20925" w:rsidP="00B20925">
      <w:pPr>
        <w:ind w:right="567"/>
        <w:rPr>
          <w:rFonts w:ascii="Verdana" w:hAnsi="Verdana" w:cs="Arial"/>
          <w:b/>
        </w:rPr>
      </w:pPr>
    </w:p>
    <w:p w:rsidR="00B20925"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p>
    <w:p w:rsidR="00B20925" w:rsidRPr="005C6233" w:rsidRDefault="00B20925" w:rsidP="00B20925">
      <w:pPr>
        <w:ind w:right="567"/>
        <w:rPr>
          <w:rFonts w:ascii="Verdana" w:hAnsi="Verdana" w:cs="Arial"/>
          <w:b/>
        </w:rPr>
      </w:pPr>
      <w:r w:rsidRPr="005C6233">
        <w:rPr>
          <w:rFonts w:ascii="Verdana" w:hAnsi="Verdana" w:cs="Arial"/>
          <w:b/>
        </w:rPr>
        <w:lastRenderedPageBreak/>
        <w:t>92 NOMINAAL EN ONVOORZIEN</w:t>
      </w:r>
    </w:p>
    <w:p w:rsidR="00B20925" w:rsidRPr="00B81A0B" w:rsidRDefault="00B20925" w:rsidP="00B20925">
      <w:pPr>
        <w:ind w:right="567"/>
        <w:rPr>
          <w:rFonts w:ascii="Verdana" w:hAnsi="Verdana" w:cs="Arial"/>
          <w:b/>
          <w:sz w:val="22"/>
          <w:szCs w:val="22"/>
        </w:rPr>
      </w:pPr>
    </w:p>
    <w:p w:rsidR="00B20925" w:rsidRPr="005C6233" w:rsidRDefault="00B20925" w:rsidP="00B20925">
      <w:pPr>
        <w:tabs>
          <w:tab w:val="left" w:pos="851"/>
        </w:tabs>
        <w:rPr>
          <w:rFonts w:ascii="Verdana" w:hAnsi="Verdana" w:cs="Arial"/>
          <w:b/>
        </w:rPr>
      </w:pPr>
      <w:r w:rsidRPr="005C6233">
        <w:rPr>
          <w:rFonts w:ascii="Verdana" w:hAnsi="Verdana" w:cs="Arial"/>
          <w:b/>
        </w:rPr>
        <w:t>Toelichting op niet-beleidsartikel 92</w:t>
      </w:r>
    </w:p>
    <w:p w:rsidR="00B20925" w:rsidRDefault="00B20925" w:rsidP="00B20925">
      <w:pPr>
        <w:tabs>
          <w:tab w:val="left" w:pos="851"/>
        </w:tabs>
        <w:rPr>
          <w:rFonts w:ascii="Verdana" w:hAnsi="Verdana" w:cs="Arial"/>
          <w:b/>
        </w:rPr>
      </w:pPr>
    </w:p>
    <w:tbl>
      <w:tblPr>
        <w:tblW w:w="5000" w:type="pct"/>
        <w:tblCellMar>
          <w:left w:w="70" w:type="dxa"/>
          <w:right w:w="70" w:type="dxa"/>
        </w:tblCellMar>
        <w:tblLook w:val="04A0" w:firstRow="1" w:lastRow="0" w:firstColumn="1" w:lastColumn="0" w:noHBand="0" w:noVBand="1"/>
      </w:tblPr>
      <w:tblGrid>
        <w:gridCol w:w="499"/>
        <w:gridCol w:w="2917"/>
        <w:gridCol w:w="1350"/>
        <w:gridCol w:w="1231"/>
        <w:gridCol w:w="1231"/>
        <w:gridCol w:w="1228"/>
      </w:tblGrid>
      <w:tr w:rsidR="00B20925" w:rsidRPr="00F8718E" w:rsidTr="00250DD1">
        <w:trPr>
          <w:trHeight w:val="225"/>
        </w:trPr>
        <w:tc>
          <w:tcPr>
            <w:tcW w:w="2020" w:type="pct"/>
            <w:gridSpan w:val="2"/>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r w:rsidRPr="00F8718E">
              <w:rPr>
                <w:rFonts w:cs="Arial"/>
                <w:b/>
                <w:bCs/>
                <w:sz w:val="16"/>
                <w:szCs w:val="16"/>
              </w:rPr>
              <w:t>Budgettaire gevolgen van beleid</w:t>
            </w:r>
          </w:p>
        </w:tc>
        <w:tc>
          <w:tcPr>
            <w:tcW w:w="79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x € 1.000</w:t>
            </w:r>
          </w:p>
        </w:tc>
      </w:tr>
      <w:tr w:rsidR="00B20925" w:rsidRPr="00F8718E" w:rsidTr="00250DD1">
        <w:trPr>
          <w:trHeight w:val="675"/>
        </w:trPr>
        <w:tc>
          <w:tcPr>
            <w:tcW w:w="295" w:type="pct"/>
            <w:tcBorders>
              <w:top w:val="single" w:sz="4" w:space="0" w:color="auto"/>
              <w:left w:val="nil"/>
              <w:bottom w:val="single" w:sz="4" w:space="0" w:color="auto"/>
              <w:right w:val="nil"/>
            </w:tcBorders>
            <w:shd w:val="clear" w:color="000000" w:fill="FFFFCC"/>
            <w:noWrap/>
            <w:hideMark/>
          </w:tcPr>
          <w:p w:rsidR="00B20925" w:rsidRPr="00F8718E" w:rsidRDefault="00B20925" w:rsidP="00250DD1">
            <w:pPr>
              <w:rPr>
                <w:rFonts w:cs="Arial"/>
                <w:b/>
                <w:bCs/>
                <w:sz w:val="16"/>
                <w:szCs w:val="16"/>
              </w:rPr>
            </w:pPr>
            <w:r w:rsidRPr="00F8718E">
              <w:rPr>
                <w:rFonts w:cs="Arial"/>
                <w:b/>
                <w:bCs/>
                <w:sz w:val="16"/>
                <w:szCs w:val="16"/>
              </w:rPr>
              <w:t> </w:t>
            </w:r>
          </w:p>
        </w:tc>
        <w:tc>
          <w:tcPr>
            <w:tcW w:w="1725" w:type="pct"/>
            <w:tcBorders>
              <w:top w:val="single" w:sz="4" w:space="0" w:color="auto"/>
              <w:left w:val="nil"/>
              <w:bottom w:val="single" w:sz="4" w:space="0" w:color="auto"/>
              <w:right w:val="nil"/>
            </w:tcBorders>
            <w:shd w:val="clear" w:color="000000" w:fill="FFFFCC"/>
            <w:hideMark/>
          </w:tcPr>
          <w:p w:rsidR="00B20925" w:rsidRPr="00F8718E" w:rsidRDefault="00B20925" w:rsidP="00250DD1">
            <w:pPr>
              <w:jc w:val="right"/>
              <w:rPr>
                <w:rFonts w:cs="Arial"/>
                <w:sz w:val="16"/>
                <w:szCs w:val="16"/>
              </w:rPr>
            </w:pPr>
            <w:r w:rsidRPr="00F8718E">
              <w:rPr>
                <w:rFonts w:cs="Arial"/>
                <w:sz w:val="16"/>
                <w:szCs w:val="16"/>
              </w:rPr>
              <w:t> </w:t>
            </w:r>
          </w:p>
        </w:tc>
        <w:tc>
          <w:tcPr>
            <w:tcW w:w="798" w:type="pct"/>
            <w:tcBorders>
              <w:top w:val="single" w:sz="4" w:space="0" w:color="auto"/>
              <w:left w:val="nil"/>
              <w:bottom w:val="single" w:sz="4" w:space="0" w:color="auto"/>
              <w:right w:val="nil"/>
            </w:tcBorders>
            <w:shd w:val="clear" w:color="000000" w:fill="FFFFCC"/>
            <w:hideMark/>
          </w:tcPr>
          <w:p w:rsidR="00B20925" w:rsidRPr="00F8718E" w:rsidRDefault="00B20925" w:rsidP="00250DD1">
            <w:pPr>
              <w:jc w:val="right"/>
              <w:rPr>
                <w:rFonts w:cs="Arial"/>
                <w:sz w:val="16"/>
                <w:szCs w:val="16"/>
              </w:rPr>
            </w:pPr>
            <w:r w:rsidRPr="00F8718E">
              <w:rPr>
                <w:rFonts w:cs="Arial"/>
                <w:sz w:val="16"/>
                <w:szCs w:val="16"/>
              </w:rPr>
              <w:t xml:space="preserve">Stand vastgestelde begroting </w:t>
            </w:r>
          </w:p>
        </w:tc>
        <w:tc>
          <w:tcPr>
            <w:tcW w:w="728" w:type="pct"/>
            <w:tcBorders>
              <w:top w:val="single" w:sz="4" w:space="0" w:color="auto"/>
              <w:left w:val="nil"/>
              <w:bottom w:val="single" w:sz="4" w:space="0" w:color="auto"/>
              <w:right w:val="nil"/>
            </w:tcBorders>
            <w:shd w:val="clear" w:color="000000" w:fill="FFFFCC"/>
            <w:hideMark/>
          </w:tcPr>
          <w:p w:rsidR="00B20925" w:rsidRPr="00F8718E" w:rsidRDefault="00B20925" w:rsidP="00250DD1">
            <w:pPr>
              <w:jc w:val="right"/>
              <w:rPr>
                <w:rFonts w:cs="Arial"/>
                <w:sz w:val="16"/>
                <w:szCs w:val="16"/>
              </w:rPr>
            </w:pPr>
            <w:r w:rsidRPr="00F8718E">
              <w:rPr>
                <w:rFonts w:cs="Arial"/>
                <w:sz w:val="16"/>
                <w:szCs w:val="16"/>
              </w:rPr>
              <w:t>Stand 1e suppletoire begroting</w:t>
            </w:r>
          </w:p>
        </w:tc>
        <w:tc>
          <w:tcPr>
            <w:tcW w:w="728" w:type="pct"/>
            <w:tcBorders>
              <w:top w:val="single" w:sz="4" w:space="0" w:color="auto"/>
              <w:left w:val="nil"/>
              <w:bottom w:val="single" w:sz="4" w:space="0" w:color="auto"/>
              <w:right w:val="nil"/>
            </w:tcBorders>
            <w:shd w:val="clear" w:color="000000" w:fill="FFFFCC"/>
            <w:hideMark/>
          </w:tcPr>
          <w:p w:rsidR="00B20925" w:rsidRPr="00F8718E" w:rsidRDefault="00B20925" w:rsidP="00250DD1">
            <w:pPr>
              <w:jc w:val="right"/>
              <w:rPr>
                <w:rFonts w:cs="Arial"/>
                <w:sz w:val="16"/>
                <w:szCs w:val="16"/>
              </w:rPr>
            </w:pPr>
            <w:r w:rsidRPr="00F8718E">
              <w:rPr>
                <w:rFonts w:cs="Arial"/>
                <w:sz w:val="16"/>
                <w:szCs w:val="16"/>
              </w:rPr>
              <w:t>Mutaties 2e suppletoire begroting</w:t>
            </w:r>
          </w:p>
        </w:tc>
        <w:tc>
          <w:tcPr>
            <w:tcW w:w="728" w:type="pct"/>
            <w:tcBorders>
              <w:top w:val="single" w:sz="4" w:space="0" w:color="auto"/>
              <w:left w:val="nil"/>
              <w:bottom w:val="single" w:sz="4" w:space="0" w:color="auto"/>
              <w:right w:val="nil"/>
            </w:tcBorders>
            <w:shd w:val="clear" w:color="000000" w:fill="FFFFCC"/>
            <w:hideMark/>
          </w:tcPr>
          <w:p w:rsidR="00B20925" w:rsidRPr="00F8718E" w:rsidRDefault="00B20925" w:rsidP="00250DD1">
            <w:pPr>
              <w:jc w:val="right"/>
              <w:rPr>
                <w:rFonts w:cs="Arial"/>
                <w:sz w:val="16"/>
                <w:szCs w:val="16"/>
              </w:rPr>
            </w:pPr>
            <w:r w:rsidRPr="00F8718E">
              <w:rPr>
                <w:rFonts w:cs="Arial"/>
                <w:sz w:val="16"/>
                <w:szCs w:val="16"/>
              </w:rPr>
              <w:t>Stand 2e suppletoire begroting</w:t>
            </w:r>
          </w:p>
        </w:tc>
      </w:tr>
      <w:tr w:rsidR="00B20925" w:rsidRPr="00F8718E" w:rsidTr="00250DD1">
        <w:trPr>
          <w:trHeight w:val="225"/>
        </w:trPr>
        <w:tc>
          <w:tcPr>
            <w:tcW w:w="2020" w:type="pct"/>
            <w:gridSpan w:val="2"/>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r w:rsidRPr="00F8718E">
              <w:rPr>
                <w:rFonts w:cs="Arial"/>
                <w:b/>
                <w:bCs/>
                <w:sz w:val="16"/>
                <w:szCs w:val="16"/>
              </w:rPr>
              <w:t>Verplichtingen</w:t>
            </w:r>
          </w:p>
        </w:tc>
        <w:tc>
          <w:tcPr>
            <w:tcW w:w="79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41.965</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r>
      <w:tr w:rsidR="00B20925" w:rsidRPr="00F8718E" w:rsidTr="00250DD1">
        <w:trPr>
          <w:trHeight w:val="225"/>
        </w:trPr>
        <w:tc>
          <w:tcPr>
            <w:tcW w:w="29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172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9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r>
      <w:tr w:rsidR="00B20925" w:rsidRPr="00F8718E" w:rsidTr="00250DD1">
        <w:trPr>
          <w:trHeight w:val="225"/>
        </w:trPr>
        <w:tc>
          <w:tcPr>
            <w:tcW w:w="29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172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9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r>
      <w:tr w:rsidR="00B20925" w:rsidRPr="00F8718E" w:rsidTr="00250DD1">
        <w:trPr>
          <w:trHeight w:val="225"/>
        </w:trPr>
        <w:tc>
          <w:tcPr>
            <w:tcW w:w="295"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r w:rsidRPr="00F8718E">
              <w:rPr>
                <w:rFonts w:cs="Arial"/>
                <w:b/>
                <w:bCs/>
                <w:sz w:val="16"/>
                <w:szCs w:val="16"/>
              </w:rPr>
              <w:t xml:space="preserve">92.1 </w:t>
            </w:r>
          </w:p>
        </w:tc>
        <w:tc>
          <w:tcPr>
            <w:tcW w:w="1725"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r w:rsidRPr="00F8718E">
              <w:rPr>
                <w:rFonts w:cs="Arial"/>
                <w:b/>
                <w:bCs/>
                <w:sz w:val="16"/>
                <w:szCs w:val="16"/>
              </w:rPr>
              <w:t>Nominaal en onvoorzien</w:t>
            </w:r>
          </w:p>
        </w:tc>
        <w:tc>
          <w:tcPr>
            <w:tcW w:w="79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41.965</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r>
      <w:tr w:rsidR="00B20925" w:rsidRPr="00F8718E" w:rsidTr="00250DD1">
        <w:trPr>
          <w:trHeight w:val="225"/>
        </w:trPr>
        <w:tc>
          <w:tcPr>
            <w:tcW w:w="29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172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Nominaal en onvoorzien</w:t>
            </w:r>
          </w:p>
        </w:tc>
        <w:tc>
          <w:tcPr>
            <w:tcW w:w="79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sz w:val="16"/>
                <w:szCs w:val="16"/>
              </w:rPr>
            </w:pPr>
            <w:r w:rsidRPr="00F8718E">
              <w:rPr>
                <w:rFonts w:cs="Arial"/>
                <w:sz w:val="16"/>
                <w:szCs w:val="16"/>
              </w:rPr>
              <w:t>41.965</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sz w:val="16"/>
                <w:szCs w:val="16"/>
              </w:rPr>
            </w:pPr>
            <w:r w:rsidRPr="00F8718E">
              <w:rPr>
                <w:rFonts w:cs="Arial"/>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sz w:val="16"/>
                <w:szCs w:val="16"/>
              </w:rPr>
            </w:pPr>
            <w:r w:rsidRPr="00F8718E">
              <w:rPr>
                <w:rFonts w:cs="Arial"/>
                <w:sz w:val="16"/>
                <w:szCs w:val="16"/>
              </w:rPr>
              <w:t>-30.058</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sz w:val="16"/>
                <w:szCs w:val="16"/>
              </w:rPr>
            </w:pPr>
            <w:r w:rsidRPr="00F8718E">
              <w:rPr>
                <w:rFonts w:cs="Arial"/>
                <w:sz w:val="16"/>
                <w:szCs w:val="16"/>
              </w:rPr>
              <w:t>0</w:t>
            </w:r>
          </w:p>
        </w:tc>
      </w:tr>
      <w:tr w:rsidR="00B20925" w:rsidRPr="00F8718E" w:rsidTr="00250DD1">
        <w:trPr>
          <w:trHeight w:val="225"/>
        </w:trPr>
        <w:tc>
          <w:tcPr>
            <w:tcW w:w="29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1725" w:type="pct"/>
            <w:tcBorders>
              <w:top w:val="nil"/>
              <w:left w:val="nil"/>
              <w:bottom w:val="nil"/>
              <w:right w:val="nil"/>
            </w:tcBorders>
            <w:shd w:val="clear" w:color="auto" w:fill="auto"/>
            <w:noWrap/>
            <w:vAlign w:val="bottom"/>
            <w:hideMark/>
          </w:tcPr>
          <w:p w:rsidR="00B20925" w:rsidRPr="00F8718E" w:rsidRDefault="00B20925" w:rsidP="00250DD1">
            <w:pPr>
              <w:rPr>
                <w:rFonts w:cs="Arial"/>
                <w:sz w:val="16"/>
                <w:szCs w:val="16"/>
              </w:rPr>
            </w:pPr>
          </w:p>
        </w:tc>
        <w:tc>
          <w:tcPr>
            <w:tcW w:w="79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c>
          <w:tcPr>
            <w:tcW w:w="728" w:type="pct"/>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p>
        </w:tc>
      </w:tr>
      <w:tr w:rsidR="00B20925" w:rsidRPr="00F8718E" w:rsidTr="00250DD1">
        <w:trPr>
          <w:trHeight w:val="225"/>
        </w:trPr>
        <w:tc>
          <w:tcPr>
            <w:tcW w:w="2020" w:type="pct"/>
            <w:gridSpan w:val="2"/>
            <w:tcBorders>
              <w:top w:val="nil"/>
              <w:left w:val="nil"/>
              <w:bottom w:val="nil"/>
              <w:right w:val="nil"/>
            </w:tcBorders>
            <w:shd w:val="clear" w:color="auto" w:fill="auto"/>
            <w:noWrap/>
            <w:vAlign w:val="bottom"/>
            <w:hideMark/>
          </w:tcPr>
          <w:p w:rsidR="00B20925" w:rsidRPr="00F8718E" w:rsidRDefault="00B20925" w:rsidP="00250DD1">
            <w:pPr>
              <w:rPr>
                <w:rFonts w:cs="Arial"/>
                <w:b/>
                <w:bCs/>
                <w:sz w:val="16"/>
                <w:szCs w:val="16"/>
              </w:rPr>
            </w:pPr>
            <w:r w:rsidRPr="00F8718E">
              <w:rPr>
                <w:rFonts w:cs="Arial"/>
                <w:b/>
                <w:bCs/>
                <w:sz w:val="16"/>
                <w:szCs w:val="16"/>
              </w:rPr>
              <w:t>Ontvangsten</w:t>
            </w:r>
          </w:p>
        </w:tc>
        <w:tc>
          <w:tcPr>
            <w:tcW w:w="79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c>
          <w:tcPr>
            <w:tcW w:w="728" w:type="pct"/>
            <w:tcBorders>
              <w:top w:val="nil"/>
              <w:left w:val="nil"/>
              <w:bottom w:val="nil"/>
              <w:right w:val="nil"/>
            </w:tcBorders>
            <w:shd w:val="clear" w:color="auto" w:fill="auto"/>
            <w:noWrap/>
            <w:vAlign w:val="bottom"/>
            <w:hideMark/>
          </w:tcPr>
          <w:p w:rsidR="00B20925" w:rsidRPr="00F8718E" w:rsidRDefault="00B20925" w:rsidP="00250DD1">
            <w:pPr>
              <w:jc w:val="right"/>
              <w:rPr>
                <w:rFonts w:cs="Arial"/>
                <w:b/>
                <w:bCs/>
                <w:sz w:val="16"/>
                <w:szCs w:val="16"/>
              </w:rPr>
            </w:pPr>
            <w:r w:rsidRPr="00F8718E">
              <w:rPr>
                <w:rFonts w:cs="Arial"/>
                <w:b/>
                <w:bCs/>
                <w:sz w:val="16"/>
                <w:szCs w:val="16"/>
              </w:rPr>
              <w:t>0</w:t>
            </w:r>
          </w:p>
        </w:tc>
      </w:tr>
      <w:tr w:rsidR="00B20925" w:rsidRPr="00F8718E" w:rsidTr="00250DD1">
        <w:trPr>
          <w:trHeight w:val="225"/>
        </w:trPr>
        <w:tc>
          <w:tcPr>
            <w:tcW w:w="295"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c>
          <w:tcPr>
            <w:tcW w:w="1725"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c>
          <w:tcPr>
            <w:tcW w:w="798"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c>
          <w:tcPr>
            <w:tcW w:w="728"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c>
          <w:tcPr>
            <w:tcW w:w="728"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c>
          <w:tcPr>
            <w:tcW w:w="728" w:type="pct"/>
            <w:tcBorders>
              <w:top w:val="single" w:sz="4" w:space="0" w:color="auto"/>
              <w:left w:val="nil"/>
              <w:bottom w:val="nil"/>
              <w:right w:val="nil"/>
            </w:tcBorders>
            <w:shd w:val="clear" w:color="auto" w:fill="auto"/>
            <w:noWrap/>
            <w:vAlign w:val="bottom"/>
            <w:hideMark/>
          </w:tcPr>
          <w:p w:rsidR="00B20925" w:rsidRPr="00F8718E" w:rsidRDefault="00B20925" w:rsidP="00250DD1">
            <w:pPr>
              <w:rPr>
                <w:rFonts w:cs="Arial"/>
                <w:sz w:val="16"/>
                <w:szCs w:val="16"/>
              </w:rPr>
            </w:pPr>
            <w:r w:rsidRPr="00F8718E">
              <w:rPr>
                <w:rFonts w:cs="Arial"/>
                <w:sz w:val="16"/>
                <w:szCs w:val="16"/>
              </w:rPr>
              <w:t> </w:t>
            </w:r>
          </w:p>
        </w:tc>
      </w:tr>
    </w:tbl>
    <w:p w:rsidR="00B20925" w:rsidRPr="005C6233" w:rsidRDefault="00B20925" w:rsidP="00B20925">
      <w:pPr>
        <w:tabs>
          <w:tab w:val="left" w:pos="851"/>
        </w:tabs>
        <w:rPr>
          <w:rFonts w:ascii="Verdana" w:hAnsi="Verdana" w:cs="Arial"/>
          <w:b/>
        </w:rPr>
      </w:pPr>
      <w:r w:rsidRPr="005C6233">
        <w:rPr>
          <w:rFonts w:ascii="Verdana" w:hAnsi="Verdana" w:cs="Arial"/>
          <w:b/>
        </w:rPr>
        <w:t>Mutaties uitgaven</w:t>
      </w:r>
    </w:p>
    <w:p w:rsidR="00B20925" w:rsidRPr="005C6233" w:rsidRDefault="00B20925" w:rsidP="00B20925">
      <w:pPr>
        <w:rPr>
          <w:rFonts w:ascii="Verdana" w:hAnsi="Verdana" w:cs="Arial"/>
        </w:rPr>
      </w:pPr>
    </w:p>
    <w:p w:rsidR="00B20925" w:rsidRPr="00DE1243" w:rsidRDefault="00B20925" w:rsidP="00B20925">
      <w:pPr>
        <w:rPr>
          <w:rFonts w:ascii="Verdana" w:hAnsi="Verdana" w:cs="Arial"/>
          <w:i/>
          <w:sz w:val="18"/>
          <w:szCs w:val="18"/>
        </w:rPr>
      </w:pPr>
      <w:r w:rsidRPr="00DE1243">
        <w:rPr>
          <w:rFonts w:ascii="Verdana" w:hAnsi="Verdana" w:cs="Arial"/>
          <w:i/>
          <w:sz w:val="18"/>
          <w:szCs w:val="18"/>
        </w:rPr>
        <w:t>92.1 Nominaal en onvoorzien</w:t>
      </w:r>
    </w:p>
    <w:p w:rsidR="00B20925" w:rsidRPr="00C4401D" w:rsidRDefault="00B20925" w:rsidP="00B20925">
      <w:pPr>
        <w:rPr>
          <w:rFonts w:ascii="Verdana" w:hAnsi="Verdana" w:cs="Arial"/>
          <w:sz w:val="18"/>
          <w:szCs w:val="18"/>
        </w:rPr>
      </w:pPr>
      <w:r w:rsidRPr="00DE1243">
        <w:rPr>
          <w:rFonts w:ascii="Verdana" w:eastAsia="Calibri" w:hAnsi="Verdana"/>
          <w:sz w:val="18"/>
          <w:szCs w:val="18"/>
          <w:lang w:eastAsia="en-US"/>
        </w:rPr>
        <w:t>De mutatie in dit budget wordt met name verklaard door</w:t>
      </w:r>
      <w:r>
        <w:rPr>
          <w:rFonts w:ascii="Verdana" w:eastAsia="Calibri" w:hAnsi="Verdana"/>
          <w:sz w:val="18"/>
          <w:szCs w:val="18"/>
          <w:lang w:eastAsia="en-US"/>
        </w:rPr>
        <w:t xml:space="preserve"> d</w:t>
      </w:r>
      <w:r w:rsidRPr="00C4401D">
        <w:rPr>
          <w:rFonts w:ascii="Verdana" w:hAnsi="Verdana" w:cs="Arial"/>
          <w:sz w:val="18"/>
          <w:szCs w:val="18"/>
        </w:rPr>
        <w:t>e verdeling van de loonbijstelling tranche 2014</w:t>
      </w:r>
      <w:r>
        <w:rPr>
          <w:rFonts w:ascii="Verdana" w:hAnsi="Verdana" w:cs="Arial"/>
          <w:sz w:val="18"/>
          <w:szCs w:val="18"/>
        </w:rPr>
        <w:t>. D</w:t>
      </w:r>
      <w:r w:rsidRPr="00C4401D">
        <w:rPr>
          <w:rFonts w:ascii="Verdana" w:hAnsi="Verdana" w:cs="Arial"/>
          <w:sz w:val="18"/>
          <w:szCs w:val="18"/>
        </w:rPr>
        <w:t xml:space="preserve">e loonbijstelling wordt deels ingezet ter dekking van de budgettaire problematiek binnen </w:t>
      </w:r>
      <w:proofErr w:type="spellStart"/>
      <w:r w:rsidRPr="00C4401D">
        <w:rPr>
          <w:rFonts w:ascii="Verdana" w:hAnsi="Verdana" w:cs="Arial"/>
          <w:sz w:val="18"/>
          <w:szCs w:val="18"/>
        </w:rPr>
        <w:t>VenJ</w:t>
      </w:r>
      <w:proofErr w:type="spellEnd"/>
      <w:r w:rsidRPr="00C4401D">
        <w:rPr>
          <w:rFonts w:ascii="Verdana" w:hAnsi="Verdana" w:cs="Arial"/>
          <w:sz w:val="18"/>
          <w:szCs w:val="18"/>
        </w:rPr>
        <w:t>.</w:t>
      </w:r>
    </w:p>
    <w:p w:rsidR="00B20925" w:rsidRDefault="00B20925" w:rsidP="00B20925">
      <w:pPr>
        <w:rPr>
          <w:rFonts w:ascii="Verdana" w:hAnsi="Verdana" w:cs="Arial"/>
          <w:sz w:val="18"/>
          <w:szCs w:val="18"/>
        </w:rPr>
      </w:pPr>
    </w:p>
    <w:p w:rsidR="00B20925" w:rsidRPr="005C6233" w:rsidRDefault="00B20925" w:rsidP="00B20925">
      <w:pPr>
        <w:tabs>
          <w:tab w:val="left" w:pos="8930"/>
        </w:tabs>
        <w:autoSpaceDE w:val="0"/>
        <w:autoSpaceDN w:val="0"/>
        <w:adjustRightInd w:val="0"/>
        <w:ind w:right="-1"/>
        <w:rPr>
          <w:rFonts w:ascii="Verdana" w:hAnsi="Verdana" w:cs="Arial"/>
          <w:b/>
        </w:rPr>
      </w:pPr>
      <w:r w:rsidRPr="005C6233">
        <w:rPr>
          <w:rFonts w:ascii="Verdana" w:hAnsi="Verdana" w:cs="Arial"/>
        </w:rPr>
        <w:br w:type="page"/>
      </w:r>
      <w:r w:rsidRPr="005C6233">
        <w:rPr>
          <w:rFonts w:ascii="Verdana" w:hAnsi="Verdana" w:cs="Arial"/>
          <w:b/>
        </w:rPr>
        <w:lastRenderedPageBreak/>
        <w:t>93 GEHEIM</w:t>
      </w:r>
    </w:p>
    <w:p w:rsidR="00B20925" w:rsidRPr="00B81A0B" w:rsidRDefault="00B20925" w:rsidP="00B20925">
      <w:pPr>
        <w:tabs>
          <w:tab w:val="left" w:pos="8930"/>
        </w:tabs>
        <w:autoSpaceDE w:val="0"/>
        <w:autoSpaceDN w:val="0"/>
        <w:adjustRightInd w:val="0"/>
        <w:ind w:right="-1"/>
        <w:rPr>
          <w:rFonts w:ascii="Verdana" w:hAnsi="Verdana" w:cs="Arial"/>
          <w:b/>
          <w:sz w:val="22"/>
          <w:szCs w:val="22"/>
        </w:rPr>
      </w:pPr>
    </w:p>
    <w:tbl>
      <w:tblPr>
        <w:tblW w:w="5000" w:type="pct"/>
        <w:tblCellMar>
          <w:left w:w="70" w:type="dxa"/>
          <w:right w:w="70" w:type="dxa"/>
        </w:tblCellMar>
        <w:tblLook w:val="04A0" w:firstRow="1" w:lastRow="0" w:firstColumn="1" w:lastColumn="0" w:noHBand="0" w:noVBand="1"/>
      </w:tblPr>
      <w:tblGrid>
        <w:gridCol w:w="229"/>
        <w:gridCol w:w="2661"/>
        <w:gridCol w:w="1639"/>
        <w:gridCol w:w="1309"/>
        <w:gridCol w:w="1309"/>
        <w:gridCol w:w="1309"/>
      </w:tblGrid>
      <w:tr w:rsidR="00B20925" w:rsidRPr="00351109" w:rsidTr="00250DD1">
        <w:trPr>
          <w:trHeight w:val="225"/>
        </w:trPr>
        <w:tc>
          <w:tcPr>
            <w:tcW w:w="2677" w:type="pct"/>
            <w:gridSpan w:val="3"/>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r w:rsidRPr="00351109">
              <w:rPr>
                <w:rFonts w:cs="Arial"/>
                <w:b/>
                <w:bCs/>
                <w:sz w:val="16"/>
                <w:szCs w:val="16"/>
              </w:rPr>
              <w:t>Budgettaire gevolgen van beleid</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x € 1.000</w:t>
            </w:r>
          </w:p>
        </w:tc>
      </w:tr>
      <w:tr w:rsidR="00B20925" w:rsidRPr="00351109" w:rsidTr="00250DD1">
        <w:trPr>
          <w:trHeight w:val="675"/>
        </w:trPr>
        <w:tc>
          <w:tcPr>
            <w:tcW w:w="135" w:type="pct"/>
            <w:tcBorders>
              <w:top w:val="single" w:sz="4" w:space="0" w:color="auto"/>
              <w:left w:val="nil"/>
              <w:bottom w:val="single" w:sz="4" w:space="0" w:color="auto"/>
              <w:right w:val="nil"/>
            </w:tcBorders>
            <w:shd w:val="clear" w:color="000000" w:fill="FFFFCC"/>
            <w:noWrap/>
            <w:hideMark/>
          </w:tcPr>
          <w:p w:rsidR="00B20925" w:rsidRPr="00351109" w:rsidRDefault="00B20925" w:rsidP="00250DD1">
            <w:pPr>
              <w:rPr>
                <w:rFonts w:cs="Arial"/>
                <w:b/>
                <w:bCs/>
                <w:sz w:val="16"/>
                <w:szCs w:val="16"/>
              </w:rPr>
            </w:pPr>
            <w:r w:rsidRPr="00351109">
              <w:rPr>
                <w:rFonts w:cs="Arial"/>
                <w:b/>
                <w:bCs/>
                <w:sz w:val="16"/>
                <w:szCs w:val="16"/>
              </w:rPr>
              <w:t> </w:t>
            </w:r>
          </w:p>
        </w:tc>
        <w:tc>
          <w:tcPr>
            <w:tcW w:w="1573" w:type="pct"/>
            <w:tcBorders>
              <w:top w:val="single" w:sz="4" w:space="0" w:color="auto"/>
              <w:left w:val="nil"/>
              <w:bottom w:val="single" w:sz="4" w:space="0" w:color="auto"/>
              <w:right w:val="nil"/>
            </w:tcBorders>
            <w:shd w:val="clear" w:color="000000" w:fill="FFFFCC"/>
            <w:hideMark/>
          </w:tcPr>
          <w:p w:rsidR="00B20925" w:rsidRPr="00351109" w:rsidRDefault="00B20925" w:rsidP="00250DD1">
            <w:pPr>
              <w:jc w:val="right"/>
              <w:rPr>
                <w:rFonts w:cs="Arial"/>
                <w:sz w:val="16"/>
                <w:szCs w:val="16"/>
              </w:rPr>
            </w:pPr>
            <w:r w:rsidRPr="00351109">
              <w:rPr>
                <w:rFonts w:cs="Arial"/>
                <w:sz w:val="16"/>
                <w:szCs w:val="16"/>
              </w:rPr>
              <w:t> </w:t>
            </w:r>
          </w:p>
        </w:tc>
        <w:tc>
          <w:tcPr>
            <w:tcW w:w="969" w:type="pct"/>
            <w:tcBorders>
              <w:top w:val="single" w:sz="4" w:space="0" w:color="auto"/>
              <w:left w:val="nil"/>
              <w:bottom w:val="single" w:sz="4" w:space="0" w:color="auto"/>
              <w:right w:val="nil"/>
            </w:tcBorders>
            <w:shd w:val="clear" w:color="000000" w:fill="FFFFCC"/>
            <w:hideMark/>
          </w:tcPr>
          <w:p w:rsidR="00B20925" w:rsidRPr="00351109" w:rsidRDefault="00B20925" w:rsidP="00250DD1">
            <w:pPr>
              <w:jc w:val="right"/>
              <w:rPr>
                <w:rFonts w:cs="Arial"/>
                <w:sz w:val="16"/>
                <w:szCs w:val="16"/>
              </w:rPr>
            </w:pPr>
            <w:r w:rsidRPr="00351109">
              <w:rPr>
                <w:rFonts w:cs="Arial"/>
                <w:sz w:val="16"/>
                <w:szCs w:val="16"/>
              </w:rPr>
              <w:t xml:space="preserve">Stand vastgestelde begroting </w:t>
            </w:r>
          </w:p>
        </w:tc>
        <w:tc>
          <w:tcPr>
            <w:tcW w:w="774" w:type="pct"/>
            <w:tcBorders>
              <w:top w:val="single" w:sz="4" w:space="0" w:color="auto"/>
              <w:left w:val="nil"/>
              <w:bottom w:val="single" w:sz="4" w:space="0" w:color="auto"/>
              <w:right w:val="nil"/>
            </w:tcBorders>
            <w:shd w:val="clear" w:color="000000" w:fill="FFFFCC"/>
            <w:hideMark/>
          </w:tcPr>
          <w:p w:rsidR="00B20925" w:rsidRPr="00351109" w:rsidRDefault="00B20925" w:rsidP="00250DD1">
            <w:pPr>
              <w:jc w:val="right"/>
              <w:rPr>
                <w:rFonts w:cs="Arial"/>
                <w:sz w:val="16"/>
                <w:szCs w:val="16"/>
              </w:rPr>
            </w:pPr>
            <w:r w:rsidRPr="00351109">
              <w:rPr>
                <w:rFonts w:cs="Arial"/>
                <w:sz w:val="16"/>
                <w:szCs w:val="16"/>
              </w:rPr>
              <w:t>Stand 1e suppletoire begroting</w:t>
            </w:r>
          </w:p>
        </w:tc>
        <w:tc>
          <w:tcPr>
            <w:tcW w:w="774" w:type="pct"/>
            <w:tcBorders>
              <w:top w:val="single" w:sz="4" w:space="0" w:color="auto"/>
              <w:left w:val="nil"/>
              <w:bottom w:val="single" w:sz="4" w:space="0" w:color="auto"/>
              <w:right w:val="nil"/>
            </w:tcBorders>
            <w:shd w:val="clear" w:color="000000" w:fill="FFFFCC"/>
            <w:hideMark/>
          </w:tcPr>
          <w:p w:rsidR="00B20925" w:rsidRPr="00351109" w:rsidRDefault="00B20925" w:rsidP="00250DD1">
            <w:pPr>
              <w:jc w:val="right"/>
              <w:rPr>
                <w:rFonts w:cs="Arial"/>
                <w:sz w:val="16"/>
                <w:szCs w:val="16"/>
              </w:rPr>
            </w:pPr>
            <w:r w:rsidRPr="00351109">
              <w:rPr>
                <w:rFonts w:cs="Arial"/>
                <w:sz w:val="16"/>
                <w:szCs w:val="16"/>
              </w:rPr>
              <w:t>Mutaties 2e suppletoire begroting</w:t>
            </w:r>
          </w:p>
        </w:tc>
        <w:tc>
          <w:tcPr>
            <w:tcW w:w="774" w:type="pct"/>
            <w:tcBorders>
              <w:top w:val="single" w:sz="4" w:space="0" w:color="auto"/>
              <w:left w:val="nil"/>
              <w:bottom w:val="single" w:sz="4" w:space="0" w:color="auto"/>
              <w:right w:val="nil"/>
            </w:tcBorders>
            <w:shd w:val="clear" w:color="000000" w:fill="FFFFCC"/>
            <w:hideMark/>
          </w:tcPr>
          <w:p w:rsidR="00B20925" w:rsidRPr="00351109" w:rsidRDefault="00B20925" w:rsidP="00250DD1">
            <w:pPr>
              <w:jc w:val="right"/>
              <w:rPr>
                <w:rFonts w:cs="Arial"/>
                <w:sz w:val="16"/>
                <w:szCs w:val="16"/>
              </w:rPr>
            </w:pPr>
            <w:r w:rsidRPr="00351109">
              <w:rPr>
                <w:rFonts w:cs="Arial"/>
                <w:sz w:val="16"/>
                <w:szCs w:val="16"/>
              </w:rPr>
              <w:t>Stand 2e suppletoire begroting</w:t>
            </w:r>
          </w:p>
        </w:tc>
      </w:tr>
      <w:tr w:rsidR="00B20925" w:rsidRPr="00351109" w:rsidTr="00250DD1">
        <w:trPr>
          <w:trHeight w:val="225"/>
        </w:trPr>
        <w:tc>
          <w:tcPr>
            <w:tcW w:w="1708" w:type="pct"/>
            <w:gridSpan w:val="2"/>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r w:rsidRPr="00351109">
              <w:rPr>
                <w:rFonts w:cs="Arial"/>
                <w:b/>
                <w:bCs/>
                <w:sz w:val="16"/>
                <w:szCs w:val="16"/>
              </w:rPr>
              <w:t>Verplichtingen</w:t>
            </w:r>
          </w:p>
        </w:tc>
        <w:tc>
          <w:tcPr>
            <w:tcW w:w="969"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3.057</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3.057</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0</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3.057</w:t>
            </w:r>
          </w:p>
        </w:tc>
      </w:tr>
      <w:tr w:rsidR="00B20925" w:rsidRPr="00351109" w:rsidTr="00250DD1">
        <w:trPr>
          <w:trHeight w:val="225"/>
        </w:trPr>
        <w:tc>
          <w:tcPr>
            <w:tcW w:w="135"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1573"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969"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r>
      <w:tr w:rsidR="00B20925" w:rsidRPr="00351109" w:rsidTr="00250DD1">
        <w:trPr>
          <w:trHeight w:val="225"/>
        </w:trPr>
        <w:tc>
          <w:tcPr>
            <w:tcW w:w="135"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1573"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969"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r>
      <w:tr w:rsidR="00B20925" w:rsidRPr="00351109" w:rsidTr="00250DD1">
        <w:trPr>
          <w:trHeight w:val="225"/>
        </w:trPr>
        <w:tc>
          <w:tcPr>
            <w:tcW w:w="1708" w:type="pct"/>
            <w:gridSpan w:val="2"/>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r w:rsidRPr="00351109">
              <w:rPr>
                <w:rFonts w:cs="Arial"/>
                <w:b/>
                <w:bCs/>
                <w:sz w:val="16"/>
                <w:szCs w:val="16"/>
              </w:rPr>
              <w:t>93.1 Geheim</w:t>
            </w:r>
          </w:p>
        </w:tc>
        <w:tc>
          <w:tcPr>
            <w:tcW w:w="969"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r>
      <w:tr w:rsidR="00B20925" w:rsidRPr="00351109" w:rsidTr="00250DD1">
        <w:trPr>
          <w:trHeight w:val="225"/>
        </w:trPr>
        <w:tc>
          <w:tcPr>
            <w:tcW w:w="135"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1573"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Geheime uitgaven</w:t>
            </w:r>
          </w:p>
        </w:tc>
        <w:tc>
          <w:tcPr>
            <w:tcW w:w="969"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sz w:val="16"/>
                <w:szCs w:val="16"/>
              </w:rPr>
            </w:pPr>
            <w:r w:rsidRPr="00351109">
              <w:rPr>
                <w:rFonts w:cs="Arial"/>
                <w:sz w:val="16"/>
                <w:szCs w:val="16"/>
              </w:rPr>
              <w:t>3.057</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sz w:val="16"/>
                <w:szCs w:val="16"/>
              </w:rPr>
            </w:pPr>
            <w:r w:rsidRPr="00351109">
              <w:rPr>
                <w:rFonts w:cs="Arial"/>
                <w:sz w:val="16"/>
                <w:szCs w:val="16"/>
              </w:rPr>
              <w:t>3.057</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sz w:val="16"/>
                <w:szCs w:val="16"/>
              </w:rPr>
            </w:pPr>
            <w:r w:rsidRPr="00351109">
              <w:rPr>
                <w:rFonts w:cs="Arial"/>
                <w:sz w:val="16"/>
                <w:szCs w:val="16"/>
              </w:rPr>
              <w:t>0</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sz w:val="16"/>
                <w:szCs w:val="16"/>
              </w:rPr>
            </w:pPr>
            <w:r w:rsidRPr="00351109">
              <w:rPr>
                <w:rFonts w:cs="Arial"/>
                <w:sz w:val="16"/>
                <w:szCs w:val="16"/>
              </w:rPr>
              <w:t>3.057</w:t>
            </w:r>
          </w:p>
        </w:tc>
      </w:tr>
      <w:tr w:rsidR="00B20925" w:rsidRPr="00351109" w:rsidTr="00250DD1">
        <w:trPr>
          <w:trHeight w:val="225"/>
        </w:trPr>
        <w:tc>
          <w:tcPr>
            <w:tcW w:w="135"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1573"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969"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c>
          <w:tcPr>
            <w:tcW w:w="774" w:type="pct"/>
            <w:tcBorders>
              <w:top w:val="nil"/>
              <w:left w:val="nil"/>
              <w:bottom w:val="nil"/>
              <w:right w:val="nil"/>
            </w:tcBorders>
            <w:shd w:val="clear" w:color="auto" w:fill="auto"/>
            <w:noWrap/>
            <w:vAlign w:val="bottom"/>
            <w:hideMark/>
          </w:tcPr>
          <w:p w:rsidR="00B20925" w:rsidRPr="00351109" w:rsidRDefault="00B20925" w:rsidP="00250DD1">
            <w:pPr>
              <w:rPr>
                <w:rFonts w:cs="Arial"/>
                <w:sz w:val="16"/>
                <w:szCs w:val="16"/>
              </w:rPr>
            </w:pPr>
          </w:p>
        </w:tc>
      </w:tr>
      <w:tr w:rsidR="00B20925" w:rsidRPr="00351109" w:rsidTr="00250DD1">
        <w:trPr>
          <w:trHeight w:val="225"/>
        </w:trPr>
        <w:tc>
          <w:tcPr>
            <w:tcW w:w="1708" w:type="pct"/>
            <w:gridSpan w:val="2"/>
            <w:tcBorders>
              <w:top w:val="nil"/>
              <w:left w:val="nil"/>
              <w:bottom w:val="nil"/>
              <w:right w:val="nil"/>
            </w:tcBorders>
            <w:shd w:val="clear" w:color="auto" w:fill="auto"/>
            <w:noWrap/>
            <w:vAlign w:val="bottom"/>
            <w:hideMark/>
          </w:tcPr>
          <w:p w:rsidR="00B20925" w:rsidRPr="00351109" w:rsidRDefault="00B20925" w:rsidP="00250DD1">
            <w:pPr>
              <w:rPr>
                <w:rFonts w:cs="Arial"/>
                <w:b/>
                <w:bCs/>
                <w:sz w:val="16"/>
                <w:szCs w:val="16"/>
              </w:rPr>
            </w:pPr>
            <w:r w:rsidRPr="00351109">
              <w:rPr>
                <w:rFonts w:cs="Arial"/>
                <w:b/>
                <w:bCs/>
                <w:sz w:val="16"/>
                <w:szCs w:val="16"/>
              </w:rPr>
              <w:t>Ontvangsten</w:t>
            </w:r>
          </w:p>
        </w:tc>
        <w:tc>
          <w:tcPr>
            <w:tcW w:w="969"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0</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0</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0</w:t>
            </w:r>
          </w:p>
        </w:tc>
        <w:tc>
          <w:tcPr>
            <w:tcW w:w="774" w:type="pct"/>
            <w:tcBorders>
              <w:top w:val="nil"/>
              <w:left w:val="nil"/>
              <w:bottom w:val="nil"/>
              <w:right w:val="nil"/>
            </w:tcBorders>
            <w:shd w:val="clear" w:color="auto" w:fill="auto"/>
            <w:noWrap/>
            <w:vAlign w:val="bottom"/>
            <w:hideMark/>
          </w:tcPr>
          <w:p w:rsidR="00B20925" w:rsidRPr="00351109" w:rsidRDefault="00B20925" w:rsidP="00250DD1">
            <w:pPr>
              <w:jc w:val="right"/>
              <w:rPr>
                <w:rFonts w:cs="Arial"/>
                <w:b/>
                <w:bCs/>
                <w:sz w:val="16"/>
                <w:szCs w:val="16"/>
              </w:rPr>
            </w:pPr>
            <w:r w:rsidRPr="00351109">
              <w:rPr>
                <w:rFonts w:cs="Arial"/>
                <w:b/>
                <w:bCs/>
                <w:sz w:val="16"/>
                <w:szCs w:val="16"/>
              </w:rPr>
              <w:t>0</w:t>
            </w:r>
          </w:p>
        </w:tc>
      </w:tr>
      <w:tr w:rsidR="00B20925" w:rsidRPr="00351109" w:rsidTr="00250DD1">
        <w:trPr>
          <w:trHeight w:val="225"/>
        </w:trPr>
        <w:tc>
          <w:tcPr>
            <w:tcW w:w="135"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c>
          <w:tcPr>
            <w:tcW w:w="1573"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c>
          <w:tcPr>
            <w:tcW w:w="969"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c>
          <w:tcPr>
            <w:tcW w:w="774"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c>
          <w:tcPr>
            <w:tcW w:w="774"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c>
          <w:tcPr>
            <w:tcW w:w="774" w:type="pct"/>
            <w:tcBorders>
              <w:top w:val="single" w:sz="4" w:space="0" w:color="auto"/>
              <w:left w:val="nil"/>
              <w:bottom w:val="nil"/>
              <w:right w:val="nil"/>
            </w:tcBorders>
            <w:shd w:val="clear" w:color="auto" w:fill="auto"/>
            <w:noWrap/>
            <w:vAlign w:val="bottom"/>
            <w:hideMark/>
          </w:tcPr>
          <w:p w:rsidR="00B20925" w:rsidRPr="00351109" w:rsidRDefault="00B20925" w:rsidP="00250DD1">
            <w:pPr>
              <w:rPr>
                <w:rFonts w:cs="Arial"/>
                <w:sz w:val="16"/>
                <w:szCs w:val="16"/>
              </w:rPr>
            </w:pPr>
            <w:r w:rsidRPr="00351109">
              <w:rPr>
                <w:rFonts w:cs="Arial"/>
                <w:sz w:val="16"/>
                <w:szCs w:val="16"/>
              </w:rPr>
              <w:t> </w:t>
            </w:r>
          </w:p>
        </w:tc>
      </w:tr>
    </w:tbl>
    <w:p w:rsidR="00B20925" w:rsidRPr="00B81A0B" w:rsidRDefault="00B20925" w:rsidP="00B20925">
      <w:pPr>
        <w:rPr>
          <w:rFonts w:ascii="Verdana" w:hAnsi="Verdana" w:cs="Arial"/>
          <w:sz w:val="22"/>
          <w:szCs w:val="22"/>
        </w:rPr>
      </w:pPr>
    </w:p>
    <w:p w:rsidR="00B20925" w:rsidRPr="00E83FD3" w:rsidRDefault="00B20925" w:rsidP="00B20925">
      <w:pPr>
        <w:rPr>
          <w:rFonts w:ascii="Verdana" w:hAnsi="Verdana" w:cs="Arial"/>
          <w:sz w:val="18"/>
          <w:szCs w:val="18"/>
        </w:rPr>
      </w:pPr>
      <w:r w:rsidRPr="00E83FD3">
        <w:rPr>
          <w:rFonts w:ascii="Verdana" w:hAnsi="Verdana" w:cs="Arial"/>
          <w:sz w:val="18"/>
          <w:szCs w:val="18"/>
        </w:rPr>
        <w:t xml:space="preserve">Op dit beleidsterrein hebben geen mutaties plaatsgevonden. </w:t>
      </w:r>
    </w:p>
    <w:p w:rsidR="00B20925" w:rsidRPr="00B81A0B" w:rsidRDefault="00B20925" w:rsidP="00B20925">
      <w:pPr>
        <w:ind w:left="-709" w:right="567" w:firstLine="709"/>
        <w:rPr>
          <w:rFonts w:ascii="Verdana" w:hAnsi="Verdana" w:cs="Arial"/>
          <w:b/>
          <w:sz w:val="22"/>
          <w:szCs w:val="22"/>
        </w:rPr>
      </w:pPr>
    </w:p>
    <w:p w:rsidR="006C11B8" w:rsidRDefault="006C11B8"/>
    <w:sectPr w:rsidR="006C11B8" w:rsidSect="00FA3797">
      <w:footerReference w:type="default" r:id="rId6"/>
      <w:footerReference w:type="first" r:id="rId7"/>
      <w:pgSz w:w="11906" w:h="16838" w:code="9"/>
      <w:pgMar w:top="1418" w:right="1418" w:bottom="1418" w:left="2172" w:header="709" w:footer="709"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topia">
    <w:altName w:val="Arial Narrow"/>
    <w:charset w:val="00"/>
    <w:family w:val="swiss"/>
    <w:pitch w:val="variable"/>
    <w:sig w:usb0="80000027"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roman"/>
    <w:notTrueType/>
    <w:pitch w:val="default"/>
    <w:sig w:usb0="00000003" w:usb1="0000014F" w:usb2="0012D894" w:usb3="00785450" w:csb0="00000001" w:csb1="021F06B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23" w:rsidRPr="007B75AE" w:rsidRDefault="00B20925" w:rsidP="004F75E3">
    <w:pPr>
      <w:pStyle w:val="Voettekst"/>
      <w:framePr w:wrap="around" w:vAnchor="text" w:hAnchor="margin" w:xAlign="center" w:y="1"/>
      <w:rPr>
        <w:rStyle w:val="Paginanummer"/>
        <w:rFonts w:ascii="Verdana" w:hAnsi="Verdana"/>
      </w:rPr>
    </w:pPr>
    <w:r w:rsidRPr="007B75AE">
      <w:rPr>
        <w:rStyle w:val="Paginanummer"/>
        <w:rFonts w:ascii="Verdana" w:hAnsi="Verdana"/>
      </w:rPr>
      <w:fldChar w:fldCharType="begin"/>
    </w:r>
    <w:r w:rsidRPr="007B75AE">
      <w:rPr>
        <w:rStyle w:val="Paginanummer"/>
        <w:rFonts w:ascii="Verdana" w:hAnsi="Verdana"/>
      </w:rPr>
      <w:instrText xml:space="preserve">PAGE  </w:instrText>
    </w:r>
    <w:r w:rsidRPr="007B75AE">
      <w:rPr>
        <w:rStyle w:val="Paginanummer"/>
        <w:rFonts w:ascii="Verdana" w:hAnsi="Verdana"/>
      </w:rPr>
      <w:fldChar w:fldCharType="separate"/>
    </w:r>
    <w:r>
      <w:rPr>
        <w:rStyle w:val="Paginanummer"/>
        <w:rFonts w:ascii="Verdana" w:hAnsi="Verdana"/>
        <w:noProof/>
      </w:rPr>
      <w:t>2</w:t>
    </w:r>
    <w:r w:rsidRPr="007B75AE">
      <w:rPr>
        <w:rStyle w:val="Paginanummer"/>
        <w:rFonts w:ascii="Verdana" w:hAnsi="Verdana"/>
      </w:rPr>
      <w:fldChar w:fldCharType="end"/>
    </w:r>
  </w:p>
  <w:p w:rsidR="00451823" w:rsidRPr="00FA1080" w:rsidRDefault="00B20925" w:rsidP="00C46854">
    <w:pPr>
      <w:pStyle w:val="Voettekst"/>
      <w:framePr w:wrap="around" w:vAnchor="text" w:hAnchor="margin" w:xAlign="center" w:y="1"/>
      <w:ind w:right="360"/>
      <w:rPr>
        <w:rStyle w:val="Paginanummer"/>
      </w:rPr>
    </w:pPr>
  </w:p>
  <w:p w:rsidR="00451823" w:rsidRDefault="00B20925" w:rsidP="00D62F37">
    <w:pPr>
      <w:pStyle w:val="Voettekst"/>
      <w:framePr w:wrap="around" w:vAnchor="text" w:hAnchor="margin" w:xAlign="outside" w:y="1"/>
      <w:ind w:right="360"/>
      <w:rPr>
        <w:rStyle w:val="Paginanummer"/>
      </w:rPr>
    </w:pPr>
  </w:p>
  <w:p w:rsidR="00451823" w:rsidRDefault="00B20925" w:rsidP="00715015">
    <w:pPr>
      <w:pStyle w:val="Voettekst"/>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823" w:rsidRPr="00FA1080" w:rsidRDefault="00B20925" w:rsidP="00715015">
    <w:pPr>
      <w:pStyle w:val="Voettekst"/>
      <w:jc w:val="center"/>
      <w:rPr>
        <w:rStyle w:val="Paginanummer"/>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33B"/>
    <w:multiLevelType w:val="hybridMultilevel"/>
    <w:tmpl w:val="BED0D1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E895C50"/>
    <w:multiLevelType w:val="hybridMultilevel"/>
    <w:tmpl w:val="0FEE9AF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nsid w:val="10374B06"/>
    <w:multiLevelType w:val="hybridMultilevel"/>
    <w:tmpl w:val="C2EEE1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137121A"/>
    <w:multiLevelType w:val="hybridMultilevel"/>
    <w:tmpl w:val="42D08C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C191638"/>
    <w:multiLevelType w:val="hybridMultilevel"/>
    <w:tmpl w:val="33C45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F180283"/>
    <w:multiLevelType w:val="hybridMultilevel"/>
    <w:tmpl w:val="F1FACF1E"/>
    <w:lvl w:ilvl="0" w:tplc="04130001">
      <w:start w:val="1"/>
      <w:numFmt w:val="bullet"/>
      <w:lvlText w:val=""/>
      <w:lvlJc w:val="left"/>
      <w:pPr>
        <w:ind w:left="1004" w:hanging="360"/>
      </w:pPr>
      <w:rPr>
        <w:rFonts w:ascii="Symbol" w:hAnsi="Symbol"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6">
    <w:nsid w:val="1F901832"/>
    <w:multiLevelType w:val="hybridMultilevel"/>
    <w:tmpl w:val="CD0240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22AB2C40"/>
    <w:multiLevelType w:val="hybridMultilevel"/>
    <w:tmpl w:val="B6B02D82"/>
    <w:lvl w:ilvl="0" w:tplc="82D8F7EC">
      <w:start w:val="6"/>
      <w:numFmt w:val="decimal"/>
      <w:lvlText w:val="%1."/>
      <w:lvlJc w:val="left"/>
      <w:pPr>
        <w:ind w:left="720" w:hanging="360"/>
      </w:pPr>
      <w:rPr>
        <w:rFonts w:eastAsia="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74D66C2"/>
    <w:multiLevelType w:val="hybridMultilevel"/>
    <w:tmpl w:val="C73AB9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85A5128"/>
    <w:multiLevelType w:val="hybridMultilevel"/>
    <w:tmpl w:val="578E5B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8783BCC"/>
    <w:multiLevelType w:val="hybridMultilevel"/>
    <w:tmpl w:val="9B383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497AFC"/>
    <w:multiLevelType w:val="hybridMultilevel"/>
    <w:tmpl w:val="654EFBF8"/>
    <w:lvl w:ilvl="0" w:tplc="EE7A3DDA">
      <w:start w:val="6"/>
      <w:numFmt w:val="decimal"/>
      <w:lvlText w:val="%1."/>
      <w:lvlJc w:val="left"/>
      <w:pPr>
        <w:ind w:left="360" w:hanging="360"/>
      </w:pPr>
      <w:rPr>
        <w:rFonts w:eastAsia="Calibri"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2A4B4890"/>
    <w:multiLevelType w:val="hybridMultilevel"/>
    <w:tmpl w:val="E5F6C5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0D51A33"/>
    <w:multiLevelType w:val="hybridMultilevel"/>
    <w:tmpl w:val="B31A6F48"/>
    <w:lvl w:ilvl="0" w:tplc="9864C262">
      <w:start w:val="1"/>
      <w:numFmt w:val="bullet"/>
      <w:lvlText w:val=""/>
      <w:lvlJc w:val="left"/>
      <w:pPr>
        <w:ind w:left="1004" w:hanging="360"/>
      </w:pPr>
      <w:rPr>
        <w:rFonts w:ascii="Symbol" w:hAnsi="Symbol" w:hint="default"/>
        <w:color w:val="auto"/>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4">
    <w:nsid w:val="32A92E17"/>
    <w:multiLevelType w:val="hybridMultilevel"/>
    <w:tmpl w:val="15D02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7987DDB"/>
    <w:multiLevelType w:val="hybridMultilevel"/>
    <w:tmpl w:val="1D4AE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A81A4D"/>
    <w:multiLevelType w:val="hybridMultilevel"/>
    <w:tmpl w:val="462EE8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245196C"/>
    <w:multiLevelType w:val="hybridMultilevel"/>
    <w:tmpl w:val="ECAE8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2D24294"/>
    <w:multiLevelType w:val="hybridMultilevel"/>
    <w:tmpl w:val="EED8800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9">
    <w:nsid w:val="49F62A7C"/>
    <w:multiLevelType w:val="hybridMultilevel"/>
    <w:tmpl w:val="A1CCAB2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0">
    <w:nsid w:val="4C2F73EB"/>
    <w:multiLevelType w:val="hybridMultilevel"/>
    <w:tmpl w:val="B9AA5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DB277FE"/>
    <w:multiLevelType w:val="hybridMultilevel"/>
    <w:tmpl w:val="521C5C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4F5F4868"/>
    <w:multiLevelType w:val="hybridMultilevel"/>
    <w:tmpl w:val="941C98C2"/>
    <w:lvl w:ilvl="0" w:tplc="7B6ED1A8">
      <w:start w:val="3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16048D"/>
    <w:multiLevelType w:val="hybridMultilevel"/>
    <w:tmpl w:val="183E6784"/>
    <w:lvl w:ilvl="0" w:tplc="5CD85FC2">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4CA2373"/>
    <w:multiLevelType w:val="hybridMultilevel"/>
    <w:tmpl w:val="5232B8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E412FCC"/>
    <w:multiLevelType w:val="hybridMultilevel"/>
    <w:tmpl w:val="BCB60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2FE0156"/>
    <w:multiLevelType w:val="hybridMultilevel"/>
    <w:tmpl w:val="CA42F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65F1C58"/>
    <w:multiLevelType w:val="hybridMultilevel"/>
    <w:tmpl w:val="27786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BB13332"/>
    <w:multiLevelType w:val="hybridMultilevel"/>
    <w:tmpl w:val="1DACBF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6D356036"/>
    <w:multiLevelType w:val="hybridMultilevel"/>
    <w:tmpl w:val="A78A0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EA203FB"/>
    <w:multiLevelType w:val="hybridMultilevel"/>
    <w:tmpl w:val="BE6CD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34B5AA9"/>
    <w:multiLevelType w:val="hybridMultilevel"/>
    <w:tmpl w:val="97481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960D67"/>
    <w:multiLevelType w:val="hybridMultilevel"/>
    <w:tmpl w:val="246CBE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5"/>
  </w:num>
  <w:num w:numId="4">
    <w:abstractNumId w:val="18"/>
  </w:num>
  <w:num w:numId="5">
    <w:abstractNumId w:val="13"/>
  </w:num>
  <w:num w:numId="6">
    <w:abstractNumId w:val="9"/>
  </w:num>
  <w:num w:numId="7">
    <w:abstractNumId w:val="6"/>
  </w:num>
  <w:num w:numId="8">
    <w:abstractNumId w:val="16"/>
  </w:num>
  <w:num w:numId="9">
    <w:abstractNumId w:val="29"/>
  </w:num>
  <w:num w:numId="10">
    <w:abstractNumId w:val="10"/>
  </w:num>
  <w:num w:numId="11">
    <w:abstractNumId w:val="17"/>
  </w:num>
  <w:num w:numId="12">
    <w:abstractNumId w:val="24"/>
  </w:num>
  <w:num w:numId="13">
    <w:abstractNumId w:val="14"/>
  </w:num>
  <w:num w:numId="14">
    <w:abstractNumId w:val="3"/>
  </w:num>
  <w:num w:numId="15">
    <w:abstractNumId w:val="21"/>
  </w:num>
  <w:num w:numId="16">
    <w:abstractNumId w:val="22"/>
  </w:num>
  <w:num w:numId="17">
    <w:abstractNumId w:val="4"/>
  </w:num>
  <w:num w:numId="18">
    <w:abstractNumId w:val="32"/>
  </w:num>
  <w:num w:numId="19">
    <w:abstractNumId w:val="20"/>
  </w:num>
  <w:num w:numId="20">
    <w:abstractNumId w:val="12"/>
  </w:num>
  <w:num w:numId="21">
    <w:abstractNumId w:val="15"/>
  </w:num>
  <w:num w:numId="22">
    <w:abstractNumId w:val="27"/>
  </w:num>
  <w:num w:numId="23">
    <w:abstractNumId w:val="25"/>
  </w:num>
  <w:num w:numId="24">
    <w:abstractNumId w:val="8"/>
  </w:num>
  <w:num w:numId="25">
    <w:abstractNumId w:val="28"/>
  </w:num>
  <w:num w:numId="26">
    <w:abstractNumId w:val="30"/>
  </w:num>
  <w:num w:numId="27">
    <w:abstractNumId w:val="2"/>
  </w:num>
  <w:num w:numId="28">
    <w:abstractNumId w:val="0"/>
  </w:num>
  <w:num w:numId="29">
    <w:abstractNumId w:val="26"/>
  </w:num>
  <w:num w:numId="30">
    <w:abstractNumId w:val="31"/>
  </w:num>
  <w:num w:numId="31">
    <w:abstractNumId w:val="7"/>
  </w:num>
  <w:num w:numId="32">
    <w:abstractNumId w:val="1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25"/>
    <w:rsid w:val="00433D6E"/>
    <w:rsid w:val="006C11B8"/>
    <w:rsid w:val="00B20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20925"/>
    <w:rPr>
      <w:rFonts w:ascii="Utopia" w:hAnsi="Utopia"/>
    </w:rPr>
  </w:style>
  <w:style w:type="paragraph" w:styleId="Kop1">
    <w:name w:val="heading 1"/>
    <w:aliases w:val="Kop 1 Char1,Kop 1 Char Char"/>
    <w:basedOn w:val="Standaard"/>
    <w:next w:val="Standaard"/>
    <w:link w:val="Kop1Char2"/>
    <w:qFormat/>
    <w:rsid w:val="00B20925"/>
    <w:pPr>
      <w:keepNext/>
      <w:tabs>
        <w:tab w:val="left" w:pos="-1440"/>
        <w:tab w:val="left" w:pos="-720"/>
      </w:tabs>
      <w:outlineLvl w:val="0"/>
    </w:pPr>
    <w:rPr>
      <w:b/>
      <w:caps/>
      <w:spacing w:val="-2"/>
      <w:sz w:val="22"/>
      <w:lang w:val="nl"/>
    </w:rPr>
  </w:style>
  <w:style w:type="paragraph" w:styleId="Kop2">
    <w:name w:val="heading 2"/>
    <w:basedOn w:val="Standaard"/>
    <w:next w:val="Standaard"/>
    <w:link w:val="Kop2Char"/>
    <w:qFormat/>
    <w:rsid w:val="00B20925"/>
    <w:pPr>
      <w:keepNext/>
      <w:widowControl w:val="0"/>
      <w:tabs>
        <w:tab w:val="left" w:pos="-1440"/>
        <w:tab w:val="left" w:pos="-720"/>
        <w:tab w:val="left" w:pos="0"/>
        <w:tab w:val="left" w:pos="266"/>
        <w:tab w:val="left" w:pos="720"/>
      </w:tabs>
      <w:jc w:val="both"/>
      <w:outlineLvl w:val="1"/>
    </w:pPr>
    <w:rPr>
      <w:b/>
      <w:snapToGrid w:val="0"/>
      <w:spacing w:val="-2"/>
      <w:sz w:val="22"/>
    </w:rPr>
  </w:style>
  <w:style w:type="paragraph" w:styleId="Kop3">
    <w:name w:val="heading 3"/>
    <w:basedOn w:val="Standaard"/>
    <w:next w:val="Standaard"/>
    <w:link w:val="Kop3Char"/>
    <w:qFormat/>
    <w:rsid w:val="00B20925"/>
    <w:pPr>
      <w:keepNext/>
      <w:outlineLvl w:val="2"/>
    </w:pPr>
    <w:rPr>
      <w:b/>
    </w:rPr>
  </w:style>
  <w:style w:type="paragraph" w:styleId="Kop4">
    <w:name w:val="heading 4"/>
    <w:basedOn w:val="Standaard"/>
    <w:next w:val="Standaard"/>
    <w:link w:val="Kop4Char"/>
    <w:qFormat/>
    <w:rsid w:val="00B20925"/>
    <w:pPr>
      <w:keepNext/>
      <w:outlineLvl w:val="3"/>
    </w:pPr>
    <w:rPr>
      <w:b/>
      <w:sz w:val="28"/>
    </w:rPr>
  </w:style>
  <w:style w:type="paragraph" w:styleId="Kop5">
    <w:name w:val="heading 5"/>
    <w:basedOn w:val="Standaard"/>
    <w:next w:val="Standaard"/>
    <w:link w:val="Kop5Char"/>
    <w:qFormat/>
    <w:rsid w:val="00B20925"/>
    <w:pPr>
      <w:keepNext/>
      <w:outlineLvl w:val="4"/>
    </w:pPr>
    <w:rPr>
      <w:rFonts w:ascii="CG Times" w:hAnsi="CG Times"/>
      <w:i/>
      <w:sz w:val="24"/>
    </w:rPr>
  </w:style>
  <w:style w:type="paragraph" w:styleId="Kop6">
    <w:name w:val="heading 6"/>
    <w:basedOn w:val="Standaard"/>
    <w:next w:val="Standaard"/>
    <w:link w:val="Kop6Char"/>
    <w:qFormat/>
    <w:rsid w:val="00B20925"/>
    <w:pPr>
      <w:keepNext/>
      <w:outlineLvl w:val="5"/>
    </w:pPr>
    <w:rPr>
      <w:i/>
    </w:rPr>
  </w:style>
  <w:style w:type="paragraph" w:styleId="Kop7">
    <w:name w:val="heading 7"/>
    <w:basedOn w:val="Standaard"/>
    <w:next w:val="Standaard"/>
    <w:link w:val="Kop7Char"/>
    <w:qFormat/>
    <w:rsid w:val="00B20925"/>
    <w:pPr>
      <w:keepNext/>
      <w:outlineLvl w:val="6"/>
    </w:pPr>
    <w:rPr>
      <w:i/>
      <w:color w:val="FF0000"/>
    </w:rPr>
  </w:style>
  <w:style w:type="paragraph" w:styleId="Kop8">
    <w:name w:val="heading 8"/>
    <w:basedOn w:val="Standaard"/>
    <w:next w:val="Standaard"/>
    <w:link w:val="Kop8Char"/>
    <w:qFormat/>
    <w:rsid w:val="00B20925"/>
    <w:pPr>
      <w:keepNext/>
      <w:tabs>
        <w:tab w:val="left" w:pos="2268"/>
      </w:tabs>
      <w:ind w:left="1701"/>
      <w:outlineLvl w:val="7"/>
    </w:pPr>
    <w:rPr>
      <w:rFonts w:ascii="Arial" w:hAnsi="Arial"/>
      <w:b/>
      <w:lang w:val="nl"/>
    </w:rPr>
  </w:style>
  <w:style w:type="paragraph" w:styleId="Kop9">
    <w:name w:val="heading 9"/>
    <w:basedOn w:val="Standaard"/>
    <w:next w:val="Standaard"/>
    <w:link w:val="Kop9Char"/>
    <w:qFormat/>
    <w:rsid w:val="00B20925"/>
    <w:pPr>
      <w:keepNext/>
      <w:ind w:right="567"/>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sid w:val="00B2092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B20925"/>
    <w:rPr>
      <w:rFonts w:ascii="Utopia" w:hAnsi="Utopia"/>
      <w:b/>
      <w:snapToGrid w:val="0"/>
      <w:spacing w:val="-2"/>
      <w:sz w:val="22"/>
    </w:rPr>
  </w:style>
  <w:style w:type="character" w:customStyle="1" w:styleId="Kop3Char">
    <w:name w:val="Kop 3 Char"/>
    <w:basedOn w:val="Standaardalinea-lettertype"/>
    <w:link w:val="Kop3"/>
    <w:rsid w:val="00B20925"/>
    <w:rPr>
      <w:rFonts w:ascii="Utopia" w:hAnsi="Utopia"/>
      <w:b/>
    </w:rPr>
  </w:style>
  <w:style w:type="character" w:customStyle="1" w:styleId="Kop4Char">
    <w:name w:val="Kop 4 Char"/>
    <w:basedOn w:val="Standaardalinea-lettertype"/>
    <w:link w:val="Kop4"/>
    <w:rsid w:val="00B20925"/>
    <w:rPr>
      <w:rFonts w:ascii="Utopia" w:hAnsi="Utopia"/>
      <w:b/>
      <w:sz w:val="28"/>
    </w:rPr>
  </w:style>
  <w:style w:type="character" w:customStyle="1" w:styleId="Kop5Char">
    <w:name w:val="Kop 5 Char"/>
    <w:basedOn w:val="Standaardalinea-lettertype"/>
    <w:link w:val="Kop5"/>
    <w:rsid w:val="00B20925"/>
    <w:rPr>
      <w:rFonts w:ascii="CG Times" w:hAnsi="CG Times"/>
      <w:i/>
      <w:sz w:val="24"/>
    </w:rPr>
  </w:style>
  <w:style w:type="character" w:customStyle="1" w:styleId="Kop6Char">
    <w:name w:val="Kop 6 Char"/>
    <w:basedOn w:val="Standaardalinea-lettertype"/>
    <w:link w:val="Kop6"/>
    <w:rsid w:val="00B20925"/>
    <w:rPr>
      <w:rFonts w:ascii="Utopia" w:hAnsi="Utopia"/>
      <w:i/>
    </w:rPr>
  </w:style>
  <w:style w:type="character" w:customStyle="1" w:styleId="Kop7Char">
    <w:name w:val="Kop 7 Char"/>
    <w:basedOn w:val="Standaardalinea-lettertype"/>
    <w:link w:val="Kop7"/>
    <w:rsid w:val="00B20925"/>
    <w:rPr>
      <w:rFonts w:ascii="Utopia" w:hAnsi="Utopia"/>
      <w:i/>
      <w:color w:val="FF0000"/>
    </w:rPr>
  </w:style>
  <w:style w:type="character" w:customStyle="1" w:styleId="Kop8Char">
    <w:name w:val="Kop 8 Char"/>
    <w:basedOn w:val="Standaardalinea-lettertype"/>
    <w:link w:val="Kop8"/>
    <w:rsid w:val="00B20925"/>
    <w:rPr>
      <w:rFonts w:ascii="Arial" w:hAnsi="Arial"/>
      <w:b/>
      <w:lang w:val="nl"/>
    </w:rPr>
  </w:style>
  <w:style w:type="character" w:customStyle="1" w:styleId="Kop9Char">
    <w:name w:val="Kop 9 Char"/>
    <w:basedOn w:val="Standaardalinea-lettertype"/>
    <w:link w:val="Kop9"/>
    <w:rsid w:val="00B20925"/>
    <w:rPr>
      <w:rFonts w:ascii="Utopia" w:hAnsi="Utopia"/>
      <w:b/>
    </w:rPr>
  </w:style>
  <w:style w:type="paragraph" w:customStyle="1" w:styleId="toelichting">
    <w:name w:val="toelichting"/>
    <w:basedOn w:val="Standaard"/>
    <w:autoRedefine/>
    <w:rsid w:val="00B20925"/>
    <w:rPr>
      <w:i/>
      <w:snapToGrid w:val="0"/>
    </w:rPr>
  </w:style>
  <w:style w:type="paragraph" w:customStyle="1" w:styleId="tekstopmerking">
    <w:name w:val="tekstopmerking"/>
    <w:basedOn w:val="Standaard"/>
    <w:autoRedefine/>
    <w:rsid w:val="00B20925"/>
    <w:rPr>
      <w:i/>
      <w:sz w:val="18"/>
    </w:rPr>
  </w:style>
  <w:style w:type="paragraph" w:styleId="Voetnoottekst">
    <w:name w:val="footnote text"/>
    <w:basedOn w:val="Standaard"/>
    <w:next w:val="Standaard"/>
    <w:link w:val="VoetnoottekstChar"/>
    <w:rsid w:val="00B20925"/>
    <w:rPr>
      <w:sz w:val="14"/>
    </w:rPr>
  </w:style>
  <w:style w:type="character" w:customStyle="1" w:styleId="VoetnoottekstChar">
    <w:name w:val="Voetnoottekst Char"/>
    <w:basedOn w:val="Standaardalinea-lettertype"/>
    <w:link w:val="Voetnoottekst"/>
    <w:rsid w:val="00B20925"/>
    <w:rPr>
      <w:rFonts w:ascii="Utopia" w:hAnsi="Utopia"/>
      <w:sz w:val="14"/>
    </w:rPr>
  </w:style>
  <w:style w:type="paragraph" w:customStyle="1" w:styleId="tabel">
    <w:name w:val="tabel"/>
    <w:basedOn w:val="Standaard"/>
    <w:autoRedefine/>
    <w:rsid w:val="00B20925"/>
    <w:rPr>
      <w:rFonts w:ascii="Arial" w:hAnsi="Arial"/>
      <w:sz w:val="16"/>
    </w:rPr>
  </w:style>
  <w:style w:type="paragraph" w:customStyle="1" w:styleId="cursief">
    <w:name w:val="cursief"/>
    <w:basedOn w:val="Standaard"/>
    <w:autoRedefine/>
    <w:rsid w:val="00B20925"/>
    <w:rPr>
      <w:i/>
    </w:rPr>
  </w:style>
  <w:style w:type="paragraph" w:customStyle="1" w:styleId="Tabeltitel">
    <w:name w:val="Tabeltitel"/>
    <w:basedOn w:val="Standaard"/>
    <w:autoRedefine/>
    <w:rsid w:val="00B20925"/>
    <w:pPr>
      <w:jc w:val="right"/>
    </w:pPr>
    <w:rPr>
      <w:rFonts w:ascii="univers (W1)" w:hAnsi="univers (W1)"/>
    </w:rPr>
  </w:style>
  <w:style w:type="paragraph" w:customStyle="1" w:styleId="tabeltitel0">
    <w:name w:val="tabeltitel"/>
    <w:basedOn w:val="Standaard"/>
    <w:rsid w:val="00B20925"/>
    <w:rPr>
      <w:rFonts w:ascii="Univers" w:hAnsi="Univers"/>
      <w:b/>
      <w:snapToGrid w:val="0"/>
      <w:color w:val="000000"/>
    </w:rPr>
  </w:style>
  <w:style w:type="paragraph" w:styleId="Koptekst">
    <w:name w:val="header"/>
    <w:basedOn w:val="Standaard"/>
    <w:link w:val="KoptekstChar"/>
    <w:rsid w:val="00B20925"/>
    <w:pPr>
      <w:widowControl w:val="0"/>
      <w:tabs>
        <w:tab w:val="center" w:pos="4536"/>
        <w:tab w:val="right" w:pos="9072"/>
      </w:tabs>
      <w:spacing w:line="240" w:lineRule="exact"/>
    </w:pPr>
    <w:rPr>
      <w:sz w:val="19"/>
    </w:rPr>
  </w:style>
  <w:style w:type="character" w:customStyle="1" w:styleId="KoptekstChar">
    <w:name w:val="Koptekst Char"/>
    <w:basedOn w:val="Standaardalinea-lettertype"/>
    <w:link w:val="Koptekst"/>
    <w:rsid w:val="00B20925"/>
    <w:rPr>
      <w:rFonts w:ascii="Utopia" w:hAnsi="Utopia"/>
      <w:sz w:val="19"/>
    </w:rPr>
  </w:style>
  <w:style w:type="paragraph" w:styleId="Plattetekst">
    <w:name w:val="Body Text"/>
    <w:basedOn w:val="Standaard"/>
    <w:link w:val="PlattetekstChar"/>
    <w:rsid w:val="00B20925"/>
    <w:pPr>
      <w:ind w:right="567"/>
    </w:pPr>
  </w:style>
  <w:style w:type="character" w:customStyle="1" w:styleId="PlattetekstChar">
    <w:name w:val="Platte tekst Char"/>
    <w:basedOn w:val="Standaardalinea-lettertype"/>
    <w:link w:val="Plattetekst"/>
    <w:rsid w:val="00B20925"/>
    <w:rPr>
      <w:rFonts w:ascii="Utopia" w:hAnsi="Utopia"/>
    </w:rPr>
  </w:style>
  <w:style w:type="paragraph" w:styleId="Plattetekst2">
    <w:name w:val="Body Text 2"/>
    <w:basedOn w:val="Standaard"/>
    <w:link w:val="Plattetekst2Char"/>
    <w:rsid w:val="00B20925"/>
    <w:pPr>
      <w:ind w:right="851"/>
    </w:pPr>
  </w:style>
  <w:style w:type="character" w:customStyle="1" w:styleId="Plattetekst2Char">
    <w:name w:val="Platte tekst 2 Char"/>
    <w:basedOn w:val="Standaardalinea-lettertype"/>
    <w:link w:val="Plattetekst2"/>
    <w:rsid w:val="00B20925"/>
    <w:rPr>
      <w:rFonts w:ascii="Utopia" w:hAnsi="Utopia"/>
    </w:rPr>
  </w:style>
  <w:style w:type="paragraph" w:styleId="Plattetekst3">
    <w:name w:val="Body Text 3"/>
    <w:basedOn w:val="Standaard"/>
    <w:link w:val="Plattetekst3Char"/>
    <w:rsid w:val="00B20925"/>
    <w:pPr>
      <w:ind w:right="425"/>
    </w:pPr>
  </w:style>
  <w:style w:type="character" w:customStyle="1" w:styleId="Plattetekst3Char">
    <w:name w:val="Platte tekst 3 Char"/>
    <w:basedOn w:val="Standaardalinea-lettertype"/>
    <w:link w:val="Plattetekst3"/>
    <w:rsid w:val="00B20925"/>
    <w:rPr>
      <w:rFonts w:ascii="Utopia" w:hAnsi="Utopia"/>
    </w:rPr>
  </w:style>
  <w:style w:type="paragraph" w:styleId="Voettekst">
    <w:name w:val="footer"/>
    <w:basedOn w:val="Standaard"/>
    <w:link w:val="VoettekstChar"/>
    <w:rsid w:val="00B20925"/>
    <w:pPr>
      <w:tabs>
        <w:tab w:val="center" w:pos="4536"/>
        <w:tab w:val="right" w:pos="9072"/>
      </w:tabs>
    </w:pPr>
  </w:style>
  <w:style w:type="character" w:customStyle="1" w:styleId="VoettekstChar">
    <w:name w:val="Voettekst Char"/>
    <w:basedOn w:val="Standaardalinea-lettertype"/>
    <w:link w:val="Voettekst"/>
    <w:rsid w:val="00B20925"/>
    <w:rPr>
      <w:rFonts w:ascii="Utopia" w:hAnsi="Utopia"/>
    </w:rPr>
  </w:style>
  <w:style w:type="character" w:styleId="Paginanummer">
    <w:name w:val="page number"/>
    <w:basedOn w:val="Standaardalinea-lettertype"/>
    <w:rsid w:val="00B20925"/>
  </w:style>
  <w:style w:type="paragraph" w:customStyle="1" w:styleId="StandaardAfw">
    <w:name w:val="StandaardAfw"/>
    <w:basedOn w:val="Standaard"/>
    <w:rsid w:val="00B20925"/>
    <w:pPr>
      <w:tabs>
        <w:tab w:val="left" w:pos="2268"/>
      </w:tabs>
      <w:spacing w:after="120"/>
      <w:ind w:left="2268"/>
    </w:pPr>
    <w:rPr>
      <w:rFonts w:ascii="Arial" w:hAnsi="Arial"/>
    </w:rPr>
  </w:style>
  <w:style w:type="character" w:styleId="Verwijzingopmerking">
    <w:name w:val="annotation reference"/>
    <w:rsid w:val="00B20925"/>
    <w:rPr>
      <w:sz w:val="16"/>
    </w:rPr>
  </w:style>
  <w:style w:type="paragraph" w:styleId="Tekstopmerking0">
    <w:name w:val="annotation text"/>
    <w:basedOn w:val="Standaard"/>
    <w:link w:val="TekstopmerkingChar"/>
    <w:rsid w:val="00B20925"/>
  </w:style>
  <w:style w:type="character" w:customStyle="1" w:styleId="TekstopmerkingChar">
    <w:name w:val="Tekst opmerking Char"/>
    <w:basedOn w:val="Standaardalinea-lettertype"/>
    <w:link w:val="Tekstopmerking0"/>
    <w:rsid w:val="00B20925"/>
    <w:rPr>
      <w:rFonts w:ascii="Utopia" w:hAnsi="Utopia"/>
    </w:rPr>
  </w:style>
  <w:style w:type="paragraph" w:styleId="Bijschrift">
    <w:name w:val="caption"/>
    <w:basedOn w:val="Standaard"/>
    <w:next w:val="Standaard"/>
    <w:qFormat/>
    <w:rsid w:val="00B20925"/>
    <w:rPr>
      <w:b/>
    </w:rPr>
  </w:style>
  <w:style w:type="character" w:customStyle="1" w:styleId="Kop1Char2">
    <w:name w:val="Kop 1 Char2"/>
    <w:aliases w:val="Kop 1 Char1 Char,Kop 1 Char Char Char,Kop 1 Char Char1"/>
    <w:link w:val="Kop1"/>
    <w:rsid w:val="00B20925"/>
    <w:rPr>
      <w:rFonts w:ascii="Utopia" w:hAnsi="Utopia"/>
      <w:b/>
      <w:caps/>
      <w:spacing w:val="-2"/>
      <w:sz w:val="22"/>
      <w:lang w:val="nl"/>
    </w:rPr>
  </w:style>
  <w:style w:type="paragraph" w:styleId="Ballontekst">
    <w:name w:val="Balloon Text"/>
    <w:basedOn w:val="Standaard"/>
    <w:link w:val="BallontekstChar"/>
    <w:rsid w:val="00B20925"/>
    <w:rPr>
      <w:rFonts w:ascii="Tahoma" w:hAnsi="Tahoma" w:cs="Tahoma"/>
      <w:sz w:val="16"/>
      <w:szCs w:val="16"/>
    </w:rPr>
  </w:style>
  <w:style w:type="character" w:customStyle="1" w:styleId="BallontekstChar">
    <w:name w:val="Ballontekst Char"/>
    <w:basedOn w:val="Standaardalinea-lettertype"/>
    <w:link w:val="Ballontekst"/>
    <w:rsid w:val="00B20925"/>
    <w:rPr>
      <w:rFonts w:ascii="Tahoma" w:hAnsi="Tahoma" w:cs="Tahoma"/>
      <w:sz w:val="16"/>
      <w:szCs w:val="16"/>
    </w:rPr>
  </w:style>
  <w:style w:type="table" w:styleId="Tabelraster">
    <w:name w:val="Table Grid"/>
    <w:basedOn w:val="Standaardtabel"/>
    <w:rsid w:val="00B20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Standaard"/>
    <w:rsid w:val="00B20925"/>
    <w:rPr>
      <w:rFonts w:ascii="Times New Roman" w:hAnsi="Times New Roman"/>
      <w:sz w:val="24"/>
      <w:szCs w:val="24"/>
      <w:lang w:val="pl-PL" w:eastAsia="pl-PL"/>
    </w:rPr>
  </w:style>
  <w:style w:type="paragraph" w:styleId="Onderwerpvanopmerking">
    <w:name w:val="annotation subject"/>
    <w:basedOn w:val="Tekstopmerking0"/>
    <w:next w:val="Tekstopmerking0"/>
    <w:link w:val="OnderwerpvanopmerkingChar"/>
    <w:rsid w:val="00B20925"/>
    <w:rPr>
      <w:b/>
      <w:bCs/>
    </w:rPr>
  </w:style>
  <w:style w:type="character" w:customStyle="1" w:styleId="OnderwerpvanopmerkingChar">
    <w:name w:val="Onderwerp van opmerking Char"/>
    <w:basedOn w:val="TekstopmerkingChar"/>
    <w:link w:val="Onderwerpvanopmerking"/>
    <w:rsid w:val="00B20925"/>
    <w:rPr>
      <w:rFonts w:ascii="Utopia" w:hAnsi="Utopia"/>
      <w:b/>
      <w:bCs/>
    </w:rPr>
  </w:style>
  <w:style w:type="paragraph" w:customStyle="1" w:styleId="Standaardalinea-lettertypeChar">
    <w:name w:val="Standaardalinea-lettertype Char"/>
    <w:aliases w:val=" Char Char Char Char,Standaardalinea-lettertype Char Char Char Char, Char Char Char Char Char Char1 Char Char"/>
    <w:basedOn w:val="Standaard"/>
    <w:rsid w:val="00B20925"/>
    <w:pPr>
      <w:spacing w:after="160" w:line="240" w:lineRule="exact"/>
    </w:pPr>
    <w:rPr>
      <w:sz w:val="22"/>
      <w:szCs w:val="24"/>
    </w:rPr>
  </w:style>
  <w:style w:type="paragraph" w:customStyle="1" w:styleId="ListParagraph1">
    <w:name w:val="List Paragraph1"/>
    <w:basedOn w:val="Standaard"/>
    <w:rsid w:val="00B20925"/>
    <w:pPr>
      <w:spacing w:after="200" w:line="276" w:lineRule="auto"/>
      <w:ind w:left="720"/>
      <w:contextualSpacing/>
    </w:pPr>
    <w:rPr>
      <w:rFonts w:ascii="Verdana" w:hAnsi="Verdana"/>
      <w:sz w:val="18"/>
      <w:szCs w:val="22"/>
      <w:lang w:eastAsia="en-US"/>
    </w:rPr>
  </w:style>
  <w:style w:type="paragraph" w:styleId="Normaalweb">
    <w:name w:val="Normal (Web)"/>
    <w:basedOn w:val="Standaard"/>
    <w:uiPriority w:val="99"/>
    <w:unhideWhenUsed/>
    <w:rsid w:val="00B20925"/>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B2092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20925"/>
    <w:rPr>
      <w:rFonts w:ascii="Utopia" w:hAnsi="Utopia"/>
    </w:rPr>
  </w:style>
  <w:style w:type="paragraph" w:styleId="Kop1">
    <w:name w:val="heading 1"/>
    <w:aliases w:val="Kop 1 Char1,Kop 1 Char Char"/>
    <w:basedOn w:val="Standaard"/>
    <w:next w:val="Standaard"/>
    <w:link w:val="Kop1Char2"/>
    <w:qFormat/>
    <w:rsid w:val="00B20925"/>
    <w:pPr>
      <w:keepNext/>
      <w:tabs>
        <w:tab w:val="left" w:pos="-1440"/>
        <w:tab w:val="left" w:pos="-720"/>
      </w:tabs>
      <w:outlineLvl w:val="0"/>
    </w:pPr>
    <w:rPr>
      <w:b/>
      <w:caps/>
      <w:spacing w:val="-2"/>
      <w:sz w:val="22"/>
      <w:lang w:val="nl"/>
    </w:rPr>
  </w:style>
  <w:style w:type="paragraph" w:styleId="Kop2">
    <w:name w:val="heading 2"/>
    <w:basedOn w:val="Standaard"/>
    <w:next w:val="Standaard"/>
    <w:link w:val="Kop2Char"/>
    <w:qFormat/>
    <w:rsid w:val="00B20925"/>
    <w:pPr>
      <w:keepNext/>
      <w:widowControl w:val="0"/>
      <w:tabs>
        <w:tab w:val="left" w:pos="-1440"/>
        <w:tab w:val="left" w:pos="-720"/>
        <w:tab w:val="left" w:pos="0"/>
        <w:tab w:val="left" w:pos="266"/>
        <w:tab w:val="left" w:pos="720"/>
      </w:tabs>
      <w:jc w:val="both"/>
      <w:outlineLvl w:val="1"/>
    </w:pPr>
    <w:rPr>
      <w:b/>
      <w:snapToGrid w:val="0"/>
      <w:spacing w:val="-2"/>
      <w:sz w:val="22"/>
    </w:rPr>
  </w:style>
  <w:style w:type="paragraph" w:styleId="Kop3">
    <w:name w:val="heading 3"/>
    <w:basedOn w:val="Standaard"/>
    <w:next w:val="Standaard"/>
    <w:link w:val="Kop3Char"/>
    <w:qFormat/>
    <w:rsid w:val="00B20925"/>
    <w:pPr>
      <w:keepNext/>
      <w:outlineLvl w:val="2"/>
    </w:pPr>
    <w:rPr>
      <w:b/>
    </w:rPr>
  </w:style>
  <w:style w:type="paragraph" w:styleId="Kop4">
    <w:name w:val="heading 4"/>
    <w:basedOn w:val="Standaard"/>
    <w:next w:val="Standaard"/>
    <w:link w:val="Kop4Char"/>
    <w:qFormat/>
    <w:rsid w:val="00B20925"/>
    <w:pPr>
      <w:keepNext/>
      <w:outlineLvl w:val="3"/>
    </w:pPr>
    <w:rPr>
      <w:b/>
      <w:sz w:val="28"/>
    </w:rPr>
  </w:style>
  <w:style w:type="paragraph" w:styleId="Kop5">
    <w:name w:val="heading 5"/>
    <w:basedOn w:val="Standaard"/>
    <w:next w:val="Standaard"/>
    <w:link w:val="Kop5Char"/>
    <w:qFormat/>
    <w:rsid w:val="00B20925"/>
    <w:pPr>
      <w:keepNext/>
      <w:outlineLvl w:val="4"/>
    </w:pPr>
    <w:rPr>
      <w:rFonts w:ascii="CG Times" w:hAnsi="CG Times"/>
      <w:i/>
      <w:sz w:val="24"/>
    </w:rPr>
  </w:style>
  <w:style w:type="paragraph" w:styleId="Kop6">
    <w:name w:val="heading 6"/>
    <w:basedOn w:val="Standaard"/>
    <w:next w:val="Standaard"/>
    <w:link w:val="Kop6Char"/>
    <w:qFormat/>
    <w:rsid w:val="00B20925"/>
    <w:pPr>
      <w:keepNext/>
      <w:outlineLvl w:val="5"/>
    </w:pPr>
    <w:rPr>
      <w:i/>
    </w:rPr>
  </w:style>
  <w:style w:type="paragraph" w:styleId="Kop7">
    <w:name w:val="heading 7"/>
    <w:basedOn w:val="Standaard"/>
    <w:next w:val="Standaard"/>
    <w:link w:val="Kop7Char"/>
    <w:qFormat/>
    <w:rsid w:val="00B20925"/>
    <w:pPr>
      <w:keepNext/>
      <w:outlineLvl w:val="6"/>
    </w:pPr>
    <w:rPr>
      <w:i/>
      <w:color w:val="FF0000"/>
    </w:rPr>
  </w:style>
  <w:style w:type="paragraph" w:styleId="Kop8">
    <w:name w:val="heading 8"/>
    <w:basedOn w:val="Standaard"/>
    <w:next w:val="Standaard"/>
    <w:link w:val="Kop8Char"/>
    <w:qFormat/>
    <w:rsid w:val="00B20925"/>
    <w:pPr>
      <w:keepNext/>
      <w:tabs>
        <w:tab w:val="left" w:pos="2268"/>
      </w:tabs>
      <w:ind w:left="1701"/>
      <w:outlineLvl w:val="7"/>
    </w:pPr>
    <w:rPr>
      <w:rFonts w:ascii="Arial" w:hAnsi="Arial"/>
      <w:b/>
      <w:lang w:val="nl"/>
    </w:rPr>
  </w:style>
  <w:style w:type="paragraph" w:styleId="Kop9">
    <w:name w:val="heading 9"/>
    <w:basedOn w:val="Standaard"/>
    <w:next w:val="Standaard"/>
    <w:link w:val="Kop9Char"/>
    <w:qFormat/>
    <w:rsid w:val="00B20925"/>
    <w:pPr>
      <w:keepNext/>
      <w:ind w:right="567"/>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sid w:val="00B20925"/>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B20925"/>
    <w:rPr>
      <w:rFonts w:ascii="Utopia" w:hAnsi="Utopia"/>
      <w:b/>
      <w:snapToGrid w:val="0"/>
      <w:spacing w:val="-2"/>
      <w:sz w:val="22"/>
    </w:rPr>
  </w:style>
  <w:style w:type="character" w:customStyle="1" w:styleId="Kop3Char">
    <w:name w:val="Kop 3 Char"/>
    <w:basedOn w:val="Standaardalinea-lettertype"/>
    <w:link w:val="Kop3"/>
    <w:rsid w:val="00B20925"/>
    <w:rPr>
      <w:rFonts w:ascii="Utopia" w:hAnsi="Utopia"/>
      <w:b/>
    </w:rPr>
  </w:style>
  <w:style w:type="character" w:customStyle="1" w:styleId="Kop4Char">
    <w:name w:val="Kop 4 Char"/>
    <w:basedOn w:val="Standaardalinea-lettertype"/>
    <w:link w:val="Kop4"/>
    <w:rsid w:val="00B20925"/>
    <w:rPr>
      <w:rFonts w:ascii="Utopia" w:hAnsi="Utopia"/>
      <w:b/>
      <w:sz w:val="28"/>
    </w:rPr>
  </w:style>
  <w:style w:type="character" w:customStyle="1" w:styleId="Kop5Char">
    <w:name w:val="Kop 5 Char"/>
    <w:basedOn w:val="Standaardalinea-lettertype"/>
    <w:link w:val="Kop5"/>
    <w:rsid w:val="00B20925"/>
    <w:rPr>
      <w:rFonts w:ascii="CG Times" w:hAnsi="CG Times"/>
      <w:i/>
      <w:sz w:val="24"/>
    </w:rPr>
  </w:style>
  <w:style w:type="character" w:customStyle="1" w:styleId="Kop6Char">
    <w:name w:val="Kop 6 Char"/>
    <w:basedOn w:val="Standaardalinea-lettertype"/>
    <w:link w:val="Kop6"/>
    <w:rsid w:val="00B20925"/>
    <w:rPr>
      <w:rFonts w:ascii="Utopia" w:hAnsi="Utopia"/>
      <w:i/>
    </w:rPr>
  </w:style>
  <w:style w:type="character" w:customStyle="1" w:styleId="Kop7Char">
    <w:name w:val="Kop 7 Char"/>
    <w:basedOn w:val="Standaardalinea-lettertype"/>
    <w:link w:val="Kop7"/>
    <w:rsid w:val="00B20925"/>
    <w:rPr>
      <w:rFonts w:ascii="Utopia" w:hAnsi="Utopia"/>
      <w:i/>
      <w:color w:val="FF0000"/>
    </w:rPr>
  </w:style>
  <w:style w:type="character" w:customStyle="1" w:styleId="Kop8Char">
    <w:name w:val="Kop 8 Char"/>
    <w:basedOn w:val="Standaardalinea-lettertype"/>
    <w:link w:val="Kop8"/>
    <w:rsid w:val="00B20925"/>
    <w:rPr>
      <w:rFonts w:ascii="Arial" w:hAnsi="Arial"/>
      <w:b/>
      <w:lang w:val="nl"/>
    </w:rPr>
  </w:style>
  <w:style w:type="character" w:customStyle="1" w:styleId="Kop9Char">
    <w:name w:val="Kop 9 Char"/>
    <w:basedOn w:val="Standaardalinea-lettertype"/>
    <w:link w:val="Kop9"/>
    <w:rsid w:val="00B20925"/>
    <w:rPr>
      <w:rFonts w:ascii="Utopia" w:hAnsi="Utopia"/>
      <w:b/>
    </w:rPr>
  </w:style>
  <w:style w:type="paragraph" w:customStyle="1" w:styleId="toelichting">
    <w:name w:val="toelichting"/>
    <w:basedOn w:val="Standaard"/>
    <w:autoRedefine/>
    <w:rsid w:val="00B20925"/>
    <w:rPr>
      <w:i/>
      <w:snapToGrid w:val="0"/>
    </w:rPr>
  </w:style>
  <w:style w:type="paragraph" w:customStyle="1" w:styleId="tekstopmerking">
    <w:name w:val="tekstopmerking"/>
    <w:basedOn w:val="Standaard"/>
    <w:autoRedefine/>
    <w:rsid w:val="00B20925"/>
    <w:rPr>
      <w:i/>
      <w:sz w:val="18"/>
    </w:rPr>
  </w:style>
  <w:style w:type="paragraph" w:styleId="Voetnoottekst">
    <w:name w:val="footnote text"/>
    <w:basedOn w:val="Standaard"/>
    <w:next w:val="Standaard"/>
    <w:link w:val="VoetnoottekstChar"/>
    <w:rsid w:val="00B20925"/>
    <w:rPr>
      <w:sz w:val="14"/>
    </w:rPr>
  </w:style>
  <w:style w:type="character" w:customStyle="1" w:styleId="VoetnoottekstChar">
    <w:name w:val="Voetnoottekst Char"/>
    <w:basedOn w:val="Standaardalinea-lettertype"/>
    <w:link w:val="Voetnoottekst"/>
    <w:rsid w:val="00B20925"/>
    <w:rPr>
      <w:rFonts w:ascii="Utopia" w:hAnsi="Utopia"/>
      <w:sz w:val="14"/>
    </w:rPr>
  </w:style>
  <w:style w:type="paragraph" w:customStyle="1" w:styleId="tabel">
    <w:name w:val="tabel"/>
    <w:basedOn w:val="Standaard"/>
    <w:autoRedefine/>
    <w:rsid w:val="00B20925"/>
    <w:rPr>
      <w:rFonts w:ascii="Arial" w:hAnsi="Arial"/>
      <w:sz w:val="16"/>
    </w:rPr>
  </w:style>
  <w:style w:type="paragraph" w:customStyle="1" w:styleId="cursief">
    <w:name w:val="cursief"/>
    <w:basedOn w:val="Standaard"/>
    <w:autoRedefine/>
    <w:rsid w:val="00B20925"/>
    <w:rPr>
      <w:i/>
    </w:rPr>
  </w:style>
  <w:style w:type="paragraph" w:customStyle="1" w:styleId="Tabeltitel">
    <w:name w:val="Tabeltitel"/>
    <w:basedOn w:val="Standaard"/>
    <w:autoRedefine/>
    <w:rsid w:val="00B20925"/>
    <w:pPr>
      <w:jc w:val="right"/>
    </w:pPr>
    <w:rPr>
      <w:rFonts w:ascii="univers (W1)" w:hAnsi="univers (W1)"/>
    </w:rPr>
  </w:style>
  <w:style w:type="paragraph" w:customStyle="1" w:styleId="tabeltitel0">
    <w:name w:val="tabeltitel"/>
    <w:basedOn w:val="Standaard"/>
    <w:rsid w:val="00B20925"/>
    <w:rPr>
      <w:rFonts w:ascii="Univers" w:hAnsi="Univers"/>
      <w:b/>
      <w:snapToGrid w:val="0"/>
      <w:color w:val="000000"/>
    </w:rPr>
  </w:style>
  <w:style w:type="paragraph" w:styleId="Koptekst">
    <w:name w:val="header"/>
    <w:basedOn w:val="Standaard"/>
    <w:link w:val="KoptekstChar"/>
    <w:rsid w:val="00B20925"/>
    <w:pPr>
      <w:widowControl w:val="0"/>
      <w:tabs>
        <w:tab w:val="center" w:pos="4536"/>
        <w:tab w:val="right" w:pos="9072"/>
      </w:tabs>
      <w:spacing w:line="240" w:lineRule="exact"/>
    </w:pPr>
    <w:rPr>
      <w:sz w:val="19"/>
    </w:rPr>
  </w:style>
  <w:style w:type="character" w:customStyle="1" w:styleId="KoptekstChar">
    <w:name w:val="Koptekst Char"/>
    <w:basedOn w:val="Standaardalinea-lettertype"/>
    <w:link w:val="Koptekst"/>
    <w:rsid w:val="00B20925"/>
    <w:rPr>
      <w:rFonts w:ascii="Utopia" w:hAnsi="Utopia"/>
      <w:sz w:val="19"/>
    </w:rPr>
  </w:style>
  <w:style w:type="paragraph" w:styleId="Plattetekst">
    <w:name w:val="Body Text"/>
    <w:basedOn w:val="Standaard"/>
    <w:link w:val="PlattetekstChar"/>
    <w:rsid w:val="00B20925"/>
    <w:pPr>
      <w:ind w:right="567"/>
    </w:pPr>
  </w:style>
  <w:style w:type="character" w:customStyle="1" w:styleId="PlattetekstChar">
    <w:name w:val="Platte tekst Char"/>
    <w:basedOn w:val="Standaardalinea-lettertype"/>
    <w:link w:val="Plattetekst"/>
    <w:rsid w:val="00B20925"/>
    <w:rPr>
      <w:rFonts w:ascii="Utopia" w:hAnsi="Utopia"/>
    </w:rPr>
  </w:style>
  <w:style w:type="paragraph" w:styleId="Plattetekst2">
    <w:name w:val="Body Text 2"/>
    <w:basedOn w:val="Standaard"/>
    <w:link w:val="Plattetekst2Char"/>
    <w:rsid w:val="00B20925"/>
    <w:pPr>
      <w:ind w:right="851"/>
    </w:pPr>
  </w:style>
  <w:style w:type="character" w:customStyle="1" w:styleId="Plattetekst2Char">
    <w:name w:val="Platte tekst 2 Char"/>
    <w:basedOn w:val="Standaardalinea-lettertype"/>
    <w:link w:val="Plattetekst2"/>
    <w:rsid w:val="00B20925"/>
    <w:rPr>
      <w:rFonts w:ascii="Utopia" w:hAnsi="Utopia"/>
    </w:rPr>
  </w:style>
  <w:style w:type="paragraph" w:styleId="Plattetekst3">
    <w:name w:val="Body Text 3"/>
    <w:basedOn w:val="Standaard"/>
    <w:link w:val="Plattetekst3Char"/>
    <w:rsid w:val="00B20925"/>
    <w:pPr>
      <w:ind w:right="425"/>
    </w:pPr>
  </w:style>
  <w:style w:type="character" w:customStyle="1" w:styleId="Plattetekst3Char">
    <w:name w:val="Platte tekst 3 Char"/>
    <w:basedOn w:val="Standaardalinea-lettertype"/>
    <w:link w:val="Plattetekst3"/>
    <w:rsid w:val="00B20925"/>
    <w:rPr>
      <w:rFonts w:ascii="Utopia" w:hAnsi="Utopia"/>
    </w:rPr>
  </w:style>
  <w:style w:type="paragraph" w:styleId="Voettekst">
    <w:name w:val="footer"/>
    <w:basedOn w:val="Standaard"/>
    <w:link w:val="VoettekstChar"/>
    <w:rsid w:val="00B20925"/>
    <w:pPr>
      <w:tabs>
        <w:tab w:val="center" w:pos="4536"/>
        <w:tab w:val="right" w:pos="9072"/>
      </w:tabs>
    </w:pPr>
  </w:style>
  <w:style w:type="character" w:customStyle="1" w:styleId="VoettekstChar">
    <w:name w:val="Voettekst Char"/>
    <w:basedOn w:val="Standaardalinea-lettertype"/>
    <w:link w:val="Voettekst"/>
    <w:rsid w:val="00B20925"/>
    <w:rPr>
      <w:rFonts w:ascii="Utopia" w:hAnsi="Utopia"/>
    </w:rPr>
  </w:style>
  <w:style w:type="character" w:styleId="Paginanummer">
    <w:name w:val="page number"/>
    <w:basedOn w:val="Standaardalinea-lettertype"/>
    <w:rsid w:val="00B20925"/>
  </w:style>
  <w:style w:type="paragraph" w:customStyle="1" w:styleId="StandaardAfw">
    <w:name w:val="StandaardAfw"/>
    <w:basedOn w:val="Standaard"/>
    <w:rsid w:val="00B20925"/>
    <w:pPr>
      <w:tabs>
        <w:tab w:val="left" w:pos="2268"/>
      </w:tabs>
      <w:spacing w:after="120"/>
      <w:ind w:left="2268"/>
    </w:pPr>
    <w:rPr>
      <w:rFonts w:ascii="Arial" w:hAnsi="Arial"/>
    </w:rPr>
  </w:style>
  <w:style w:type="character" w:styleId="Verwijzingopmerking">
    <w:name w:val="annotation reference"/>
    <w:rsid w:val="00B20925"/>
    <w:rPr>
      <w:sz w:val="16"/>
    </w:rPr>
  </w:style>
  <w:style w:type="paragraph" w:styleId="Tekstopmerking0">
    <w:name w:val="annotation text"/>
    <w:basedOn w:val="Standaard"/>
    <w:link w:val="TekstopmerkingChar"/>
    <w:rsid w:val="00B20925"/>
  </w:style>
  <w:style w:type="character" w:customStyle="1" w:styleId="TekstopmerkingChar">
    <w:name w:val="Tekst opmerking Char"/>
    <w:basedOn w:val="Standaardalinea-lettertype"/>
    <w:link w:val="Tekstopmerking0"/>
    <w:rsid w:val="00B20925"/>
    <w:rPr>
      <w:rFonts w:ascii="Utopia" w:hAnsi="Utopia"/>
    </w:rPr>
  </w:style>
  <w:style w:type="paragraph" w:styleId="Bijschrift">
    <w:name w:val="caption"/>
    <w:basedOn w:val="Standaard"/>
    <w:next w:val="Standaard"/>
    <w:qFormat/>
    <w:rsid w:val="00B20925"/>
    <w:rPr>
      <w:b/>
    </w:rPr>
  </w:style>
  <w:style w:type="character" w:customStyle="1" w:styleId="Kop1Char2">
    <w:name w:val="Kop 1 Char2"/>
    <w:aliases w:val="Kop 1 Char1 Char,Kop 1 Char Char Char,Kop 1 Char Char1"/>
    <w:link w:val="Kop1"/>
    <w:rsid w:val="00B20925"/>
    <w:rPr>
      <w:rFonts w:ascii="Utopia" w:hAnsi="Utopia"/>
      <w:b/>
      <w:caps/>
      <w:spacing w:val="-2"/>
      <w:sz w:val="22"/>
      <w:lang w:val="nl"/>
    </w:rPr>
  </w:style>
  <w:style w:type="paragraph" w:styleId="Ballontekst">
    <w:name w:val="Balloon Text"/>
    <w:basedOn w:val="Standaard"/>
    <w:link w:val="BallontekstChar"/>
    <w:rsid w:val="00B20925"/>
    <w:rPr>
      <w:rFonts w:ascii="Tahoma" w:hAnsi="Tahoma" w:cs="Tahoma"/>
      <w:sz w:val="16"/>
      <w:szCs w:val="16"/>
    </w:rPr>
  </w:style>
  <w:style w:type="character" w:customStyle="1" w:styleId="BallontekstChar">
    <w:name w:val="Ballontekst Char"/>
    <w:basedOn w:val="Standaardalinea-lettertype"/>
    <w:link w:val="Ballontekst"/>
    <w:rsid w:val="00B20925"/>
    <w:rPr>
      <w:rFonts w:ascii="Tahoma" w:hAnsi="Tahoma" w:cs="Tahoma"/>
      <w:sz w:val="16"/>
      <w:szCs w:val="16"/>
    </w:rPr>
  </w:style>
  <w:style w:type="table" w:styleId="Tabelraster">
    <w:name w:val="Table Grid"/>
    <w:basedOn w:val="Standaardtabel"/>
    <w:rsid w:val="00B20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Standaard"/>
    <w:rsid w:val="00B20925"/>
    <w:rPr>
      <w:rFonts w:ascii="Times New Roman" w:hAnsi="Times New Roman"/>
      <w:sz w:val="24"/>
      <w:szCs w:val="24"/>
      <w:lang w:val="pl-PL" w:eastAsia="pl-PL"/>
    </w:rPr>
  </w:style>
  <w:style w:type="paragraph" w:styleId="Onderwerpvanopmerking">
    <w:name w:val="annotation subject"/>
    <w:basedOn w:val="Tekstopmerking0"/>
    <w:next w:val="Tekstopmerking0"/>
    <w:link w:val="OnderwerpvanopmerkingChar"/>
    <w:rsid w:val="00B20925"/>
    <w:rPr>
      <w:b/>
      <w:bCs/>
    </w:rPr>
  </w:style>
  <w:style w:type="character" w:customStyle="1" w:styleId="OnderwerpvanopmerkingChar">
    <w:name w:val="Onderwerp van opmerking Char"/>
    <w:basedOn w:val="TekstopmerkingChar"/>
    <w:link w:val="Onderwerpvanopmerking"/>
    <w:rsid w:val="00B20925"/>
    <w:rPr>
      <w:rFonts w:ascii="Utopia" w:hAnsi="Utopia"/>
      <w:b/>
      <w:bCs/>
    </w:rPr>
  </w:style>
  <w:style w:type="paragraph" w:customStyle="1" w:styleId="Standaardalinea-lettertypeChar">
    <w:name w:val="Standaardalinea-lettertype Char"/>
    <w:aliases w:val=" Char Char Char Char,Standaardalinea-lettertype Char Char Char Char, Char Char Char Char Char Char1 Char Char"/>
    <w:basedOn w:val="Standaard"/>
    <w:rsid w:val="00B20925"/>
    <w:pPr>
      <w:spacing w:after="160" w:line="240" w:lineRule="exact"/>
    </w:pPr>
    <w:rPr>
      <w:sz w:val="22"/>
      <w:szCs w:val="24"/>
    </w:rPr>
  </w:style>
  <w:style w:type="paragraph" w:customStyle="1" w:styleId="ListParagraph1">
    <w:name w:val="List Paragraph1"/>
    <w:basedOn w:val="Standaard"/>
    <w:rsid w:val="00B20925"/>
    <w:pPr>
      <w:spacing w:after="200" w:line="276" w:lineRule="auto"/>
      <w:ind w:left="720"/>
      <w:contextualSpacing/>
    </w:pPr>
    <w:rPr>
      <w:rFonts w:ascii="Verdana" w:hAnsi="Verdana"/>
      <w:sz w:val="18"/>
      <w:szCs w:val="22"/>
      <w:lang w:eastAsia="en-US"/>
    </w:rPr>
  </w:style>
  <w:style w:type="paragraph" w:styleId="Normaalweb">
    <w:name w:val="Normal (Web)"/>
    <w:basedOn w:val="Standaard"/>
    <w:uiPriority w:val="99"/>
    <w:unhideWhenUsed/>
    <w:rsid w:val="00B20925"/>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B2092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5E2F5-3521-4B21-8509-7FD4250400EA}"/>
</file>

<file path=customXml/itemProps2.xml><?xml version="1.0" encoding="utf-8"?>
<ds:datastoreItem xmlns:ds="http://schemas.openxmlformats.org/officeDocument/2006/customXml" ds:itemID="{E1F174EC-0BB6-44D6-ADC6-F10B37670046}"/>
</file>

<file path=customXml/itemProps3.xml><?xml version="1.0" encoding="utf-8"?>
<ds:datastoreItem xmlns:ds="http://schemas.openxmlformats.org/officeDocument/2006/customXml" ds:itemID="{01AFFBEA-4EFD-4D05-923D-F6E9CC64F836}"/>
</file>

<file path=docProps/app.xml><?xml version="1.0" encoding="utf-8"?>
<Properties xmlns="http://schemas.openxmlformats.org/officeDocument/2006/extended-properties" xmlns:vt="http://schemas.openxmlformats.org/officeDocument/2006/docPropsVTypes">
  <Template>49CBD87A</Template>
  <TotalTime>0</TotalTime>
  <Pages>21</Pages>
  <Words>5320</Words>
  <Characters>29266</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2014-11-28T17:43:00Z</dcterms:created>
  <dcterms:modified xsi:type="dcterms:W3CDTF">2014-11-28T17:44:00Z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