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58" w:rsidRPr="00935F3E" w:rsidRDefault="00B00158" w:rsidP="00B00158">
      <w:pPr>
        <w:rPr>
          <w:b/>
          <w:bCs/>
        </w:rPr>
      </w:pPr>
      <w:bookmarkStart w:id="0" w:name="tuk"/>
      <w:bookmarkStart w:id="1" w:name="_GoBack"/>
      <w:bookmarkEnd w:id="0"/>
      <w:bookmarkEnd w:id="1"/>
      <w:r w:rsidRPr="00935F3E">
        <w:rPr>
          <w:b/>
          <w:bCs/>
        </w:rPr>
        <w:t xml:space="preserve">Goedkeuring van het op </w:t>
      </w:r>
      <w:r w:rsidR="000C0569">
        <w:rPr>
          <w:b/>
          <w:bCs/>
        </w:rPr>
        <w:t>2</w:t>
      </w:r>
      <w:r w:rsidRPr="00935F3E">
        <w:rPr>
          <w:b/>
          <w:bCs/>
        </w:rPr>
        <w:t xml:space="preserve"> </w:t>
      </w:r>
      <w:r w:rsidR="000C0569">
        <w:rPr>
          <w:b/>
          <w:bCs/>
        </w:rPr>
        <w:t xml:space="preserve">april </w:t>
      </w:r>
      <w:r w:rsidRPr="00935F3E">
        <w:rPr>
          <w:b/>
          <w:bCs/>
        </w:rPr>
        <w:t>20</w:t>
      </w:r>
      <w:r w:rsidR="000C0569">
        <w:rPr>
          <w:b/>
          <w:bCs/>
        </w:rPr>
        <w:t>13</w:t>
      </w:r>
      <w:r w:rsidRPr="00935F3E">
        <w:rPr>
          <w:b/>
          <w:bCs/>
        </w:rPr>
        <w:t xml:space="preserve"> te </w:t>
      </w:r>
      <w:r w:rsidR="000C0569">
        <w:rPr>
          <w:b/>
          <w:bCs/>
        </w:rPr>
        <w:t xml:space="preserve">New York </w:t>
      </w:r>
      <w:r w:rsidRPr="00935F3E">
        <w:rPr>
          <w:b/>
          <w:bCs/>
        </w:rPr>
        <w:t xml:space="preserve">tot stand gekomen </w:t>
      </w:r>
      <w:r w:rsidR="00B93E74">
        <w:rPr>
          <w:b/>
          <w:bCs/>
        </w:rPr>
        <w:t>W</w:t>
      </w:r>
      <w:r w:rsidR="000C0569">
        <w:rPr>
          <w:b/>
          <w:bCs/>
        </w:rPr>
        <w:t xml:space="preserve">apenhandelsverdrag </w:t>
      </w:r>
      <w:r w:rsidRPr="00935F3E">
        <w:rPr>
          <w:b/>
          <w:bCs/>
        </w:rPr>
        <w:t>(</w:t>
      </w:r>
      <w:proofErr w:type="spellStart"/>
      <w:r w:rsidRPr="00935F3E">
        <w:rPr>
          <w:b/>
          <w:bCs/>
        </w:rPr>
        <w:t>Trb</w:t>
      </w:r>
      <w:proofErr w:type="spellEnd"/>
      <w:r w:rsidRPr="00935F3E">
        <w:rPr>
          <w:b/>
          <w:bCs/>
        </w:rPr>
        <w:t>.</w:t>
      </w:r>
      <w:r w:rsidR="000C0569">
        <w:rPr>
          <w:b/>
          <w:bCs/>
        </w:rPr>
        <w:t xml:space="preserve"> </w:t>
      </w:r>
      <w:r w:rsidR="00B93E74">
        <w:rPr>
          <w:b/>
          <w:bCs/>
        </w:rPr>
        <w:t>2013, 143</w:t>
      </w:r>
      <w:r w:rsidR="006E36EE">
        <w:rPr>
          <w:b/>
          <w:bCs/>
        </w:rPr>
        <w:t xml:space="preserve"> en </w:t>
      </w:r>
      <w:proofErr w:type="spellStart"/>
      <w:r w:rsidR="006E36EE">
        <w:rPr>
          <w:b/>
          <w:bCs/>
        </w:rPr>
        <w:t>Trb</w:t>
      </w:r>
      <w:proofErr w:type="spellEnd"/>
      <w:r w:rsidR="006E36EE">
        <w:rPr>
          <w:b/>
          <w:bCs/>
        </w:rPr>
        <w:t>. 2014, 45)</w:t>
      </w:r>
    </w:p>
    <w:p w:rsidR="00B00158" w:rsidRPr="00935F3E" w:rsidRDefault="00B00158" w:rsidP="00B00158"/>
    <w:p w:rsidR="00B00158" w:rsidRPr="00935F3E" w:rsidRDefault="00B00158" w:rsidP="00B00158">
      <w:pPr>
        <w:rPr>
          <w:b/>
          <w:bCs/>
        </w:rPr>
      </w:pPr>
      <w:r w:rsidRPr="00935F3E">
        <w:rPr>
          <w:b/>
          <w:bCs/>
        </w:rPr>
        <w:t>Memorie van Toelichting</w:t>
      </w:r>
    </w:p>
    <w:p w:rsidR="00B00158" w:rsidRPr="00935F3E" w:rsidRDefault="00B00158" w:rsidP="00B00158"/>
    <w:p w:rsidR="00B00158" w:rsidRPr="00935F3E" w:rsidRDefault="00B00158" w:rsidP="00B00158">
      <w:pPr>
        <w:rPr>
          <w:b/>
          <w:bCs/>
        </w:rPr>
      </w:pPr>
      <w:r w:rsidRPr="00935F3E">
        <w:rPr>
          <w:b/>
          <w:bCs/>
        </w:rPr>
        <w:t>Inleiding</w:t>
      </w:r>
    </w:p>
    <w:p w:rsidR="00463AEB" w:rsidRDefault="00B00158" w:rsidP="000C0569">
      <w:r w:rsidRPr="00935F3E">
        <w:t xml:space="preserve">Het </w:t>
      </w:r>
      <w:r w:rsidR="00AA206E">
        <w:t>W</w:t>
      </w:r>
      <w:r w:rsidR="000C0569">
        <w:t>apenhandel</w:t>
      </w:r>
      <w:r w:rsidR="0028660D">
        <w:t>s</w:t>
      </w:r>
      <w:r w:rsidR="000C0569">
        <w:t>verdrag</w:t>
      </w:r>
      <w:r w:rsidR="00645E49">
        <w:t xml:space="preserve"> (Arms Trade </w:t>
      </w:r>
      <w:proofErr w:type="spellStart"/>
      <w:r w:rsidR="00645E49">
        <w:t>Treaty</w:t>
      </w:r>
      <w:proofErr w:type="spellEnd"/>
      <w:r w:rsidR="00645E49">
        <w:t>; ATT; hierna “het Verdrag”)</w:t>
      </w:r>
      <w:r w:rsidR="00DD49D0">
        <w:t xml:space="preserve"> is de uitkomst van een meerjarig proces binnen de V</w:t>
      </w:r>
      <w:r w:rsidR="002208D6">
        <w:t xml:space="preserve">erenigde </w:t>
      </w:r>
      <w:r w:rsidR="00DD49D0">
        <w:t>N</w:t>
      </w:r>
      <w:r w:rsidR="002208D6">
        <w:t>aties (VN)</w:t>
      </w:r>
      <w:r w:rsidR="00DD49D0">
        <w:t xml:space="preserve"> om te komen tot een juridisch bindende tekst waarmee de wereldwijde handel </w:t>
      </w:r>
      <w:r w:rsidR="00645E49">
        <w:t xml:space="preserve">in conventionele wapens </w:t>
      </w:r>
      <w:r w:rsidR="00DD49D0">
        <w:t xml:space="preserve">wordt gereguleerd. De Nederlandse regering heeft zich actief ingezet voor een verdragstekst die sterk en effectief is, en tevens zo breed mogelijk gedragen wordt. </w:t>
      </w:r>
      <w:r w:rsidR="00463AEB">
        <w:t>Essentieel is dat het Verdrag een bijdrage levert aan vrede en veiligheid wereldwijd, door een internationale standaard af te spreken die van toepassing zijn op de handel in conventionele wapens.</w:t>
      </w:r>
      <w:r w:rsidR="00463AEB" w:rsidRPr="00463AEB">
        <w:t xml:space="preserve"> </w:t>
      </w:r>
      <w:r w:rsidR="00463AEB">
        <w:t>De regering is tevreden over het bereikte resultaat en hecht sterk aan een spoedige ratificatie van het Verdrag.</w:t>
      </w:r>
    </w:p>
    <w:p w:rsidR="00463AEB" w:rsidRDefault="00463AEB" w:rsidP="000C0569"/>
    <w:p w:rsidR="00DD49D0" w:rsidRDefault="00EF4277" w:rsidP="000C0569">
      <w:r>
        <w:t xml:space="preserve">Aan de huidige Nederlandse praktijk van exportcontrole op conventionele wapens, gebaseerd op het </w:t>
      </w:r>
      <w:r w:rsidR="00FB08BF">
        <w:t xml:space="preserve">Gemeenschappelijk Standpunt 2008/944/GBVB van de Raad tot vaststelling van gemeenschappelijke voorschriften voor de controle op de uitvoer van militaire goederen en technologie (Pb EU L 335/99)  (hierna: </w:t>
      </w:r>
      <w:r>
        <w:t>EU Gemeenschappelijk Standpunt inzake wapenexport</w:t>
      </w:r>
      <w:r w:rsidR="00DA2C42">
        <w:t>)</w:t>
      </w:r>
      <w:r>
        <w:t xml:space="preserve">, voegt het Verdrag weinig toe. </w:t>
      </w:r>
      <w:r w:rsidR="00463AEB" w:rsidRPr="00463AEB">
        <w:t xml:space="preserve">De categorieën van conventionele wapens zoals bedoeld en beschreven in dit Verdrag worden </w:t>
      </w:r>
      <w:r w:rsidR="00463AEB">
        <w:t xml:space="preserve">reeds </w:t>
      </w:r>
      <w:r w:rsidR="00463AEB" w:rsidRPr="00463AEB">
        <w:t xml:space="preserve">volledig afgedekt door </w:t>
      </w:r>
      <w:r w:rsidR="006A2F63">
        <w:t>e</w:t>
      </w:r>
      <w:r w:rsidR="00463AEB" w:rsidRPr="00463AEB">
        <w:t xml:space="preserve">xportcontrole op militaire goederen </w:t>
      </w:r>
      <w:r w:rsidR="00463AEB">
        <w:t xml:space="preserve">dat </w:t>
      </w:r>
      <w:r w:rsidR="00463AEB" w:rsidRPr="00463AEB">
        <w:t>is vastgelegd in het EU Gemeenschappelijk Standpunt inzake wapenexport</w:t>
      </w:r>
      <w:r w:rsidR="00463AEB">
        <w:t xml:space="preserve">. </w:t>
      </w:r>
      <w:r w:rsidR="00463AEB" w:rsidRPr="00463AEB">
        <w:t xml:space="preserve"> </w:t>
      </w:r>
    </w:p>
    <w:p w:rsidR="00645E49" w:rsidRDefault="00645E49" w:rsidP="000C0569"/>
    <w:p w:rsidR="00B00158" w:rsidRPr="00935F3E" w:rsidRDefault="00DD49D0" w:rsidP="000C0569">
      <w:r>
        <w:t xml:space="preserve">In de Memorie van Toelichting </w:t>
      </w:r>
      <w:r w:rsidR="00FB08BF">
        <w:t xml:space="preserve">wordt </w:t>
      </w:r>
      <w:r>
        <w:t xml:space="preserve">de totstandkoming van het </w:t>
      </w:r>
      <w:r w:rsidR="000A2C31">
        <w:t>V</w:t>
      </w:r>
      <w:r>
        <w:t>erdrag</w:t>
      </w:r>
      <w:r w:rsidR="00FB08BF">
        <w:t xml:space="preserve"> weergegeven</w:t>
      </w:r>
      <w:r>
        <w:t xml:space="preserve"> </w:t>
      </w:r>
      <w:r w:rsidR="00FB08BF">
        <w:t xml:space="preserve">evenals </w:t>
      </w:r>
      <w:r>
        <w:t xml:space="preserve">het doel van het </w:t>
      </w:r>
      <w:r w:rsidR="000A2C31">
        <w:t>V</w:t>
      </w:r>
      <w:r>
        <w:t xml:space="preserve">erdrag en een artikelsgewijze toelichting op het </w:t>
      </w:r>
      <w:r w:rsidR="000A2C31">
        <w:t>V</w:t>
      </w:r>
      <w:r>
        <w:t>erdrag.</w:t>
      </w:r>
    </w:p>
    <w:p w:rsidR="00B00158" w:rsidRPr="00935F3E" w:rsidRDefault="00B00158" w:rsidP="00B00158"/>
    <w:p w:rsidR="00B00158" w:rsidRPr="00935F3E" w:rsidRDefault="00B00158" w:rsidP="00B00158">
      <w:pPr>
        <w:rPr>
          <w:b/>
          <w:bCs/>
        </w:rPr>
      </w:pPr>
      <w:r w:rsidRPr="00935F3E">
        <w:rPr>
          <w:b/>
          <w:bCs/>
        </w:rPr>
        <w:t xml:space="preserve">Totstandkoming van het Verdrag </w:t>
      </w:r>
    </w:p>
    <w:p w:rsidR="00405D87" w:rsidRDefault="00405D87" w:rsidP="00405D87">
      <w:r w:rsidRPr="00405D87">
        <w:t>In de tweede helft van de jaren ’90 van de vorige eeuw r</w:t>
      </w:r>
      <w:r w:rsidR="003D333C">
        <w:t>ie</w:t>
      </w:r>
      <w:r w:rsidRPr="00405D87">
        <w:t xml:space="preserve">p Nobelprijswinnaar en </w:t>
      </w:r>
      <w:r>
        <w:t xml:space="preserve">voormalig </w:t>
      </w:r>
      <w:r w:rsidRPr="00405D87">
        <w:t xml:space="preserve">president </w:t>
      </w:r>
      <w:r>
        <w:t>van Costa Rica</w:t>
      </w:r>
      <w:r w:rsidR="00EF4277">
        <w:t>, Osca</w:t>
      </w:r>
      <w:r w:rsidR="00816904">
        <w:t>r</w:t>
      </w:r>
      <w:r w:rsidR="00EF4277">
        <w:t xml:space="preserve"> </w:t>
      </w:r>
      <w:proofErr w:type="spellStart"/>
      <w:r w:rsidR="00EF4277">
        <w:t>Ari</w:t>
      </w:r>
      <w:r w:rsidR="00816904">
        <w:t>a</w:t>
      </w:r>
      <w:r w:rsidR="00EF4277">
        <w:t>s</w:t>
      </w:r>
      <w:proofErr w:type="spellEnd"/>
      <w:r w:rsidR="00EF4277">
        <w:t>,</w:t>
      </w:r>
      <w:r>
        <w:t xml:space="preserve"> op tot een internationaal </w:t>
      </w:r>
      <w:r w:rsidR="00FB08BF">
        <w:t>v</w:t>
      </w:r>
      <w:r>
        <w:t>erdrag ter regulering van de handel in conventionele wapens. Jaarlijks vallen vele honderdduizenden slachtoffers als gevolg van illegale handel in wapens. In mei 1997 w</w:t>
      </w:r>
      <w:r w:rsidR="003D333C">
        <w:t>e</w:t>
      </w:r>
      <w:r>
        <w:t>rd een initiatief van Nobelprijsw</w:t>
      </w:r>
      <w:r w:rsidR="004930AE">
        <w:t>innaars gelanceerd waarbij een g</w:t>
      </w:r>
      <w:r>
        <w:t xml:space="preserve">edragscode voor wapenexport de basis </w:t>
      </w:r>
      <w:r w:rsidR="00075755">
        <w:t xml:space="preserve">diende te </w:t>
      </w:r>
      <w:r>
        <w:t>leg</w:t>
      </w:r>
      <w:r w:rsidR="00075755">
        <w:t>gen</w:t>
      </w:r>
      <w:r>
        <w:t xml:space="preserve"> voor een toekomstig </w:t>
      </w:r>
      <w:r w:rsidR="00FB08BF">
        <w:t>v</w:t>
      </w:r>
      <w:r>
        <w:t>erdrag. Een coalitie van meerdere non-gouvernementele organisaties beg</w:t>
      </w:r>
      <w:r w:rsidR="003D333C">
        <w:t>o</w:t>
      </w:r>
      <w:r>
        <w:t>n</w:t>
      </w:r>
      <w:r w:rsidR="003D333C">
        <w:t xml:space="preserve"> in deze periode</w:t>
      </w:r>
      <w:r>
        <w:t xml:space="preserve"> een lobby bij regeringen om tot een </w:t>
      </w:r>
      <w:r w:rsidR="00FB08BF">
        <w:t>v</w:t>
      </w:r>
      <w:r>
        <w:t>erdrag in VN-context te komen.</w:t>
      </w:r>
    </w:p>
    <w:p w:rsidR="00405D87" w:rsidRDefault="00405D87" w:rsidP="00405D87"/>
    <w:p w:rsidR="00405D87" w:rsidRDefault="00405D87" w:rsidP="00405D87">
      <w:r>
        <w:t>Op 18 oktober 2006 n</w:t>
      </w:r>
      <w:r w:rsidR="003D333C">
        <w:t>a</w:t>
      </w:r>
      <w:r>
        <w:t xml:space="preserve">m de </w:t>
      </w:r>
      <w:r w:rsidR="001D0D87">
        <w:t>Algemene Vergadering van de V</w:t>
      </w:r>
      <w:r w:rsidR="00645E49">
        <w:t xml:space="preserve">erenigde </w:t>
      </w:r>
      <w:r w:rsidR="001D0D87">
        <w:t>N</w:t>
      </w:r>
      <w:r w:rsidR="00645E49">
        <w:t>aties</w:t>
      </w:r>
      <w:r w:rsidR="001D0D87">
        <w:t xml:space="preserve"> (</w:t>
      </w:r>
      <w:r>
        <w:t>AVVN</w:t>
      </w:r>
      <w:r w:rsidR="001D0D87">
        <w:t>)</w:t>
      </w:r>
      <w:r>
        <w:t xml:space="preserve"> resolutie 61/89 aan met 153 voorstemmen (en één enkele tegenstem van de VS). De resolutie r</w:t>
      </w:r>
      <w:r w:rsidR="003D333C">
        <w:t>i</w:t>
      </w:r>
      <w:r>
        <w:t xml:space="preserve">ep de </w:t>
      </w:r>
      <w:r w:rsidR="001D0D87">
        <w:t>Secretaris-Generaal van de VN (</w:t>
      </w:r>
      <w:r>
        <w:t>SGVN</w:t>
      </w:r>
      <w:r w:rsidR="001D0D87">
        <w:t>)</w:t>
      </w:r>
      <w:r>
        <w:t xml:space="preserve"> op om de haalbaarheid van een wapenhandelsverdrag te onderzoeken. De SGVN benoem</w:t>
      </w:r>
      <w:r w:rsidR="003D333C">
        <w:t>de</w:t>
      </w:r>
      <w:r>
        <w:t xml:space="preserve"> in 2007 een groep van gouvernementele experts</w:t>
      </w:r>
      <w:r w:rsidR="006E0598">
        <w:t>, die onder meer de reikwijdte en parameters moe</w:t>
      </w:r>
      <w:r w:rsidR="003D333C">
        <w:t>s</w:t>
      </w:r>
      <w:r w:rsidR="006E0598">
        <w:t xml:space="preserve">t onderzoeken voor een alomvattend,  juridisch bindend instrument </w:t>
      </w:r>
      <w:r w:rsidR="00645E49">
        <w:t xml:space="preserve">ter regulering van </w:t>
      </w:r>
      <w:r w:rsidR="006E0598">
        <w:t>de uitvoer</w:t>
      </w:r>
      <w:r w:rsidR="00645E49">
        <w:t>, invoer,</w:t>
      </w:r>
      <w:r w:rsidR="006E0598">
        <w:t xml:space="preserve"> doorvoer </w:t>
      </w:r>
      <w:r w:rsidR="00645E49">
        <w:t xml:space="preserve">en tussenhandel </w:t>
      </w:r>
      <w:r w:rsidR="006E0598">
        <w:t>van conventionele wapens</w:t>
      </w:r>
      <w:r>
        <w:t xml:space="preserve">. </w:t>
      </w:r>
      <w:r w:rsidR="006E0598">
        <w:t>Dit rapport w</w:t>
      </w:r>
      <w:r w:rsidR="003D333C">
        <w:t>e</w:t>
      </w:r>
      <w:r w:rsidR="006E0598">
        <w:t xml:space="preserve">rd in 2008 door de AVVN aangenomen, waarna via resolutie 63/240 een </w:t>
      </w:r>
      <w:r w:rsidR="00CF1408">
        <w:t>werkgroep</w:t>
      </w:r>
      <w:r w:rsidR="006E0598">
        <w:t xml:space="preserve"> in het leven w</w:t>
      </w:r>
      <w:r w:rsidR="003D333C">
        <w:t>e</w:t>
      </w:r>
      <w:r w:rsidR="006E0598">
        <w:t xml:space="preserve">rd geroepen om verder te spreken over de inhoud van een eventueel </w:t>
      </w:r>
      <w:r w:rsidR="009443DC">
        <w:t>v</w:t>
      </w:r>
      <w:r w:rsidR="006E0598">
        <w:t>erdrag.</w:t>
      </w:r>
    </w:p>
    <w:p w:rsidR="00405D87" w:rsidRDefault="00405D87" w:rsidP="00405D87"/>
    <w:p w:rsidR="003D333C" w:rsidRDefault="003D333C" w:rsidP="00405D87">
      <w:r>
        <w:lastRenderedPageBreak/>
        <w:t xml:space="preserve">Op 14 oktober 2009 kondigde de toenmalige </w:t>
      </w:r>
      <w:r w:rsidR="009443DC">
        <w:t>M</w:t>
      </w:r>
      <w:r>
        <w:t xml:space="preserve">inister van Buitenlandse Zaken van de VS, </w:t>
      </w:r>
      <w:proofErr w:type="spellStart"/>
      <w:r>
        <w:t>Hillary</w:t>
      </w:r>
      <w:proofErr w:type="spellEnd"/>
      <w:r>
        <w:t xml:space="preserve"> Clinton, steun aan voor een onderhandelingsproces over een wapenhandelsverdrag. De Amerikaanse ommezwaai gaf een sterke impuls aan het proces, waardoor in december 2009 </w:t>
      </w:r>
      <w:r w:rsidR="008875F9">
        <w:t xml:space="preserve">door de AVVN </w:t>
      </w:r>
      <w:r>
        <w:t>resolutie 64/48 kon worden aangenomen waarin het pad werd uitgestippeld naar een conferentie in 2012 die op basis van consensus verdragsonderhandelingen zou uitvoeren. Te</w:t>
      </w:r>
      <w:r w:rsidR="008875F9">
        <w:t>r</w:t>
      </w:r>
      <w:r>
        <w:t xml:space="preserve"> voorbereiding op deze conferentie vonden </w:t>
      </w:r>
      <w:r w:rsidR="008875F9">
        <w:t xml:space="preserve">vier </w:t>
      </w:r>
      <w:r w:rsidR="005F0513">
        <w:t xml:space="preserve">vergaderingen plaats </w:t>
      </w:r>
      <w:r w:rsidR="00AA206E">
        <w:t xml:space="preserve">van de Voorbereidende Commissie </w:t>
      </w:r>
      <w:r w:rsidR="005F0513">
        <w:t>in de periode van juli 2010 tot februari 2012.</w:t>
      </w:r>
    </w:p>
    <w:p w:rsidR="003D333C" w:rsidRDefault="003D333C" w:rsidP="00405D87"/>
    <w:p w:rsidR="005F0513" w:rsidRDefault="005F0513" w:rsidP="00405D87">
      <w:r>
        <w:t xml:space="preserve">De conferentie van juli 2012 leverde een concept-verdragstekst waarover op het laatste moment geen consensus kon worden bereikt. </w:t>
      </w:r>
      <w:r w:rsidRPr="005F0513">
        <w:t xml:space="preserve">In de </w:t>
      </w:r>
      <w:r>
        <w:t>AV</w:t>
      </w:r>
      <w:r w:rsidRPr="005F0513">
        <w:t xml:space="preserve">VN is op 24 december 2012 resolutie 67/234 aangenomen waarin het vervolgtraject </w:t>
      </w:r>
      <w:r>
        <w:t xml:space="preserve">werd </w:t>
      </w:r>
      <w:r w:rsidRPr="005F0513">
        <w:t xml:space="preserve">vastgelegd. In deze resolutie </w:t>
      </w:r>
      <w:r>
        <w:t xml:space="preserve">werd </w:t>
      </w:r>
      <w:r w:rsidRPr="005F0513">
        <w:t>vastgelegd dat de concept-verdragstekst zoals gepresenteerd aan het einde van de onderhandelingen in juli 2012 uitgangspunt z</w:t>
      </w:r>
      <w:r>
        <w:t>ou</w:t>
      </w:r>
      <w:r w:rsidRPr="005F0513">
        <w:t xml:space="preserve"> zijn voor de </w:t>
      </w:r>
      <w:r>
        <w:t xml:space="preserve">slotconferentie over het </w:t>
      </w:r>
      <w:r w:rsidR="009443DC">
        <w:t>Verdrag</w:t>
      </w:r>
      <w:r>
        <w:t xml:space="preserve"> </w:t>
      </w:r>
      <w:r w:rsidRPr="005F0513">
        <w:t>in maart 2013.</w:t>
      </w:r>
    </w:p>
    <w:p w:rsidR="003D333C" w:rsidRDefault="003D333C" w:rsidP="00405D87"/>
    <w:p w:rsidR="005F0513" w:rsidRDefault="005F0513" w:rsidP="00405D87">
      <w:r>
        <w:t>De slotconferentie eindig</w:t>
      </w:r>
      <w:r w:rsidR="00B75389">
        <w:t>de</w:t>
      </w:r>
      <w:r>
        <w:t xml:space="preserve"> met een zeer breed gedragen verdragstekst, die een verfijning en versterking vorm</w:t>
      </w:r>
      <w:r w:rsidR="00A0009D">
        <w:t>de</w:t>
      </w:r>
      <w:r>
        <w:t xml:space="preserve"> ten opzichte van de tekst van juli 2012. Echter, op 28 maart 2013 blokke</w:t>
      </w:r>
      <w:r w:rsidR="00B75389">
        <w:t>e</w:t>
      </w:r>
      <w:r>
        <w:t>r</w:t>
      </w:r>
      <w:r w:rsidR="00B75389">
        <w:t>d</w:t>
      </w:r>
      <w:r>
        <w:t>en Iran, Noord-Korea en Syrië de consensus</w:t>
      </w:r>
      <w:r w:rsidR="00B75389">
        <w:t xml:space="preserve">. Een groep van 90 landen, waaronder Nederland, bracht de verdragstekst op </w:t>
      </w:r>
      <w:r w:rsidR="005A152E">
        <w:t>2</w:t>
      </w:r>
      <w:r w:rsidR="00B75389">
        <w:t xml:space="preserve"> april 2013 middels resolutie 67/234 in stemming. Het </w:t>
      </w:r>
      <w:r w:rsidR="00A226B1">
        <w:t>V</w:t>
      </w:r>
      <w:r w:rsidR="00B75389">
        <w:t xml:space="preserve">erdrag werd aangenomen met 154 voorstemmen, 3 tegenstemmen (Iran, Noord-Korea en Syrië) en 23 onthoudingen. Op 3 juni 2013 werd het </w:t>
      </w:r>
      <w:r w:rsidR="00A226B1">
        <w:t>V</w:t>
      </w:r>
      <w:r w:rsidR="00B75389">
        <w:t xml:space="preserve">erdrag in New York opengesteld voor ondertekening. </w:t>
      </w:r>
      <w:r w:rsidR="009443DC">
        <w:t>Het Koninkrijk</w:t>
      </w:r>
      <w:r w:rsidR="00546D57">
        <w:t xml:space="preserve"> </w:t>
      </w:r>
      <w:r w:rsidR="00B75389">
        <w:t>behoorde op die dag tot de eerste ondertekenaars.</w:t>
      </w:r>
    </w:p>
    <w:p w:rsidR="00B75389" w:rsidRDefault="00B75389" w:rsidP="00405D87"/>
    <w:p w:rsidR="00B00158" w:rsidRPr="00935F3E" w:rsidRDefault="00B00158" w:rsidP="00B00158">
      <w:r w:rsidRPr="00935F3E">
        <w:rPr>
          <w:b/>
          <w:bCs/>
        </w:rPr>
        <w:t>Doel van het Verdrag</w:t>
      </w:r>
    </w:p>
    <w:p w:rsidR="005F1B89" w:rsidRDefault="00060757" w:rsidP="005F1B89">
      <w:r>
        <w:t xml:space="preserve">Het </w:t>
      </w:r>
      <w:r w:rsidR="00A0009D">
        <w:t>V</w:t>
      </w:r>
      <w:r>
        <w:t xml:space="preserve">erdrag reguleert de legitieme handel in </w:t>
      </w:r>
      <w:r w:rsidR="009443DC">
        <w:t>conventionele wapens</w:t>
      </w:r>
      <w:r w:rsidR="005F1B89">
        <w:t>.</w:t>
      </w:r>
      <w:r w:rsidR="005F1B89" w:rsidRPr="005F1B89">
        <w:t xml:space="preserve"> Regulering van de wapenhandel draagt bij aan het voorkomen van onverantwoorde wapentransacties en van doorvoer van wapens naar de illegale markt. </w:t>
      </w:r>
      <w:r w:rsidR="005F1B89">
        <w:t xml:space="preserve">Hiermee levert het </w:t>
      </w:r>
      <w:r w:rsidR="000A2C31">
        <w:t>V</w:t>
      </w:r>
      <w:r w:rsidR="005F1B89">
        <w:t xml:space="preserve">erdrag </w:t>
      </w:r>
    </w:p>
    <w:p w:rsidR="005F1B89" w:rsidRDefault="005F1B89" w:rsidP="005F1B89">
      <w:r>
        <w:t>een belangrijke bijdrage aan de internationale veiligheid en stabiliteit. Essentieel is</w:t>
      </w:r>
    </w:p>
    <w:p w:rsidR="005F1B89" w:rsidRDefault="005F1B89" w:rsidP="005F1B89">
      <w:r>
        <w:t xml:space="preserve">dat het </w:t>
      </w:r>
      <w:r w:rsidR="000A2C31">
        <w:t>V</w:t>
      </w:r>
      <w:r>
        <w:t xml:space="preserve">erdrag de </w:t>
      </w:r>
      <w:r w:rsidR="000D1F0B">
        <w:t>verdrags</w:t>
      </w:r>
      <w:r>
        <w:t>partijen verplicht een wapenexport</w:t>
      </w:r>
      <w:r w:rsidR="00816904">
        <w:t>controle</w:t>
      </w:r>
      <w:r>
        <w:t>systeem op te</w:t>
      </w:r>
    </w:p>
    <w:p w:rsidR="005F1B89" w:rsidRDefault="005F1B89" w:rsidP="005F1B89">
      <w:r>
        <w:t>tuigen. Deze exportcontrole op conventionele wapens zal moeten leiden tot</w:t>
      </w:r>
    </w:p>
    <w:p w:rsidR="005F1B89" w:rsidRDefault="005F1B89" w:rsidP="005F1B89">
      <w:r>
        <w:t xml:space="preserve">verantwoorde nationale beslissingen omtrent uitvoer van </w:t>
      </w:r>
      <w:r w:rsidR="00816904">
        <w:t>conventionele wapens</w:t>
      </w:r>
      <w:r>
        <w:t xml:space="preserve"> die</w:t>
      </w:r>
    </w:p>
    <w:p w:rsidR="00B00158" w:rsidRDefault="005F1B89" w:rsidP="005F1B89">
      <w:r>
        <w:t xml:space="preserve">onder de reikwijdte van het </w:t>
      </w:r>
      <w:r w:rsidR="00A226B1">
        <w:t>V</w:t>
      </w:r>
      <w:r>
        <w:t>erdrag vallen.</w:t>
      </w:r>
    </w:p>
    <w:p w:rsidR="00B75389" w:rsidRPr="00935F3E" w:rsidRDefault="00B75389" w:rsidP="00B00158"/>
    <w:p w:rsidR="00B00158" w:rsidRPr="00935F3E" w:rsidRDefault="00B00158" w:rsidP="00B00158">
      <w:pPr>
        <w:rPr>
          <w:b/>
          <w:bCs/>
        </w:rPr>
      </w:pPr>
      <w:r w:rsidRPr="00935F3E">
        <w:rPr>
          <w:b/>
          <w:bCs/>
        </w:rPr>
        <w:t>Artikelsgewijze toelichting</w:t>
      </w:r>
    </w:p>
    <w:p w:rsidR="00B00158" w:rsidRDefault="001D0D87" w:rsidP="00B00158">
      <w:r>
        <w:t xml:space="preserve">In algemene zin kan gesteld worden dat het </w:t>
      </w:r>
      <w:r w:rsidR="009443DC">
        <w:t>Verdrag</w:t>
      </w:r>
      <w:r>
        <w:t xml:space="preserve"> geen nieuwe verplichtingen schept voor </w:t>
      </w:r>
      <w:r w:rsidR="009443DC">
        <w:t xml:space="preserve">Europees </w:t>
      </w:r>
      <w:r w:rsidR="0081374A">
        <w:t>en</w:t>
      </w:r>
      <w:r w:rsidR="009443DC">
        <w:t xml:space="preserve"> </w:t>
      </w:r>
      <w:proofErr w:type="spellStart"/>
      <w:r w:rsidR="009443DC">
        <w:t>Caribisch</w:t>
      </w:r>
      <w:proofErr w:type="spellEnd"/>
      <w:r w:rsidR="009443DC">
        <w:t xml:space="preserve"> </w:t>
      </w:r>
      <w:r>
        <w:t>Nederland, behalve de verplichte jaarlijkse verslaglegging aan het secretariaat (artikel 13)</w:t>
      </w:r>
      <w:r w:rsidR="00A43E69">
        <w:t xml:space="preserve">. </w:t>
      </w:r>
      <w:r w:rsidR="009443DC">
        <w:t xml:space="preserve">Europees en </w:t>
      </w:r>
      <w:proofErr w:type="spellStart"/>
      <w:r w:rsidR="009443DC">
        <w:t>Caribisch</w:t>
      </w:r>
      <w:proofErr w:type="spellEnd"/>
      <w:r w:rsidR="009443DC">
        <w:t xml:space="preserve"> </w:t>
      </w:r>
      <w:r w:rsidR="00A43E69">
        <w:t>Nederland beschik</w:t>
      </w:r>
      <w:r w:rsidR="009443DC">
        <w:t>ken</w:t>
      </w:r>
      <w:r w:rsidR="00A43E69">
        <w:t xml:space="preserve"> over wetgeving en een vergunningeneis voor </w:t>
      </w:r>
      <w:r w:rsidR="00E453DC">
        <w:t>uitvoer</w:t>
      </w:r>
      <w:r w:rsidR="00A43E69">
        <w:t xml:space="preserve"> van conventionele wapens. </w:t>
      </w:r>
      <w:r w:rsidR="0071500F" w:rsidRPr="0071500F">
        <w:t>De categ</w:t>
      </w:r>
      <w:r w:rsidR="0071500F">
        <w:t>orieën van conventionele wapens</w:t>
      </w:r>
      <w:r w:rsidR="0071500F" w:rsidRPr="0071500F">
        <w:t xml:space="preserve"> </w:t>
      </w:r>
      <w:r w:rsidR="0071500F">
        <w:t xml:space="preserve">zoals bedoeld en beschreven in dit Verdrag </w:t>
      </w:r>
      <w:r w:rsidR="0071500F" w:rsidRPr="0071500F">
        <w:t>word</w:t>
      </w:r>
      <w:r w:rsidR="0071500F">
        <w:t>en</w:t>
      </w:r>
      <w:r w:rsidR="0071500F" w:rsidRPr="0071500F">
        <w:t xml:space="preserve"> volledig </w:t>
      </w:r>
      <w:r w:rsidR="0071500F">
        <w:t>af</w:t>
      </w:r>
      <w:r w:rsidR="0071500F" w:rsidRPr="0071500F">
        <w:t xml:space="preserve">gedekt door </w:t>
      </w:r>
      <w:r w:rsidR="00A43E69">
        <w:t xml:space="preserve">het EU Gemeenschappelijk Standpunt </w:t>
      </w:r>
      <w:r w:rsidR="00C328E0">
        <w:t xml:space="preserve">inzake wapenexport </w:t>
      </w:r>
      <w:r w:rsidR="00A43E69">
        <w:t xml:space="preserve">dat door Nederland wordt toegepast bij de afgifte van exportvergunningen. </w:t>
      </w:r>
      <w:r w:rsidR="0024244D">
        <w:t>Er zal een z</w:t>
      </w:r>
      <w:r w:rsidR="00A43E69">
        <w:t xml:space="preserve">eer beperkte wijziging in de Wet </w:t>
      </w:r>
      <w:r w:rsidR="00DD106E">
        <w:t>s</w:t>
      </w:r>
      <w:r w:rsidR="00A43E69">
        <w:t xml:space="preserve">trategische </w:t>
      </w:r>
      <w:r w:rsidR="00DD106E">
        <w:t>d</w:t>
      </w:r>
      <w:r w:rsidR="00A43E69">
        <w:t>iensten</w:t>
      </w:r>
      <w:r w:rsidR="005E46C2">
        <w:t xml:space="preserve"> </w:t>
      </w:r>
      <w:r w:rsidR="009443DC">
        <w:t xml:space="preserve">moeten </w:t>
      </w:r>
      <w:r w:rsidR="005E46C2">
        <w:t>worden doorgevoerd, waardoor wordt geëxpliciteerd dat vergunningen kunnen worden afgewezen op grond van internationale verplichtingen.</w:t>
      </w:r>
      <w:r w:rsidR="00A0009D">
        <w:t xml:space="preserve"> Vergelijkbare wijzigingen zullen moeten worden aangebracht in enkele algemene maatregelen van bestuur, waaronder het Besluit strategische goederen en </w:t>
      </w:r>
      <w:r w:rsidR="007F367D">
        <w:t>het Uitvoeringsbesluit Douane- en Accijnswet BES.</w:t>
      </w:r>
    </w:p>
    <w:p w:rsidR="001D0D87" w:rsidRPr="00935F3E" w:rsidRDefault="001D0D87" w:rsidP="00B00158"/>
    <w:p w:rsidR="00D07579" w:rsidRDefault="00D07579" w:rsidP="00B00158">
      <w:pPr>
        <w:rPr>
          <w:b/>
          <w:bCs/>
        </w:rPr>
      </w:pPr>
    </w:p>
    <w:p w:rsidR="00D309B7" w:rsidRDefault="00B00158" w:rsidP="00B00158">
      <w:pPr>
        <w:rPr>
          <w:b/>
          <w:bCs/>
        </w:rPr>
      </w:pPr>
      <w:r w:rsidRPr="00935F3E">
        <w:rPr>
          <w:b/>
          <w:bCs/>
        </w:rPr>
        <w:lastRenderedPageBreak/>
        <w:t>Artikel 1:</w:t>
      </w:r>
      <w:r w:rsidR="006747BB">
        <w:rPr>
          <w:b/>
          <w:bCs/>
        </w:rPr>
        <w:t xml:space="preserve"> Voorwerp en doel</w:t>
      </w:r>
    </w:p>
    <w:p w:rsidR="00170E53" w:rsidRDefault="00170E53" w:rsidP="00B00158">
      <w:r>
        <w:t xml:space="preserve">Het doel van het </w:t>
      </w:r>
      <w:r w:rsidR="00A226B1">
        <w:t>V</w:t>
      </w:r>
      <w:r>
        <w:t xml:space="preserve">erdrag wordt uiteengezet in het eerste artikel. Enerzijds heeft het </w:t>
      </w:r>
      <w:r w:rsidR="009443DC">
        <w:t>Verdrag</w:t>
      </w:r>
      <w:r>
        <w:t xml:space="preserve"> ten doel zo sterk mogelijke internationale </w:t>
      </w:r>
      <w:r w:rsidR="002208D6">
        <w:t>standaarden</w:t>
      </w:r>
      <w:r>
        <w:t xml:space="preserve"> vast te leggen voor de regulering van de internationale handel in conventionele wapens. Anderzijds beoogt het </w:t>
      </w:r>
      <w:r w:rsidR="009443DC">
        <w:t>Verdrag</w:t>
      </w:r>
      <w:r>
        <w:t xml:space="preserve"> illegale wapenhandel te v</w:t>
      </w:r>
      <w:r w:rsidR="007A3340">
        <w:t>erhinderen</w:t>
      </w:r>
      <w:r>
        <w:t xml:space="preserve">. De beoogde resultaten van deze doelen zijn bijdragen aan internationale en regionale vrede en veiligheid, verminderen van menselijk lijden en het bevorderen van samenwerking, transparantie en verantwoord optreden door </w:t>
      </w:r>
      <w:r w:rsidR="000D1F0B">
        <w:t>verdrags</w:t>
      </w:r>
      <w:r>
        <w:t>partijen in de internationale wapenhandel.</w:t>
      </w:r>
    </w:p>
    <w:p w:rsidR="00170E53" w:rsidRDefault="00170E53" w:rsidP="00B00158"/>
    <w:p w:rsidR="00170E53" w:rsidRPr="002145E0" w:rsidRDefault="00170E53" w:rsidP="00B00158">
      <w:pPr>
        <w:rPr>
          <w:b/>
          <w:bCs/>
        </w:rPr>
      </w:pPr>
      <w:r w:rsidRPr="002145E0">
        <w:rPr>
          <w:b/>
          <w:bCs/>
        </w:rPr>
        <w:t>Artikel 2:</w:t>
      </w:r>
      <w:r w:rsidR="006747BB">
        <w:rPr>
          <w:b/>
          <w:bCs/>
        </w:rPr>
        <w:t xml:space="preserve"> Reikwijdte</w:t>
      </w:r>
    </w:p>
    <w:p w:rsidR="002145E0" w:rsidRDefault="008E394B" w:rsidP="002145E0">
      <w:r>
        <w:t xml:space="preserve">Het </w:t>
      </w:r>
      <w:r w:rsidR="00A226B1">
        <w:t>V</w:t>
      </w:r>
      <w:r>
        <w:t>erdrag is van toepassing op de categorieën conventionele wapens die in artikel 2</w:t>
      </w:r>
      <w:r w:rsidR="00360CD5">
        <w:t>, eerste lid onder a tot en met h,</w:t>
      </w:r>
      <w:r>
        <w:t xml:space="preserve"> staan opgesomd. Opname van exacte definities van deze categorieën bleek </w:t>
      </w:r>
      <w:r w:rsidR="007A3340">
        <w:t xml:space="preserve">tijdens de onderhandelingen </w:t>
      </w:r>
      <w:r>
        <w:t xml:space="preserve">niet haalbaar. </w:t>
      </w:r>
      <w:r w:rsidR="007A3340">
        <w:t xml:space="preserve">Echter, </w:t>
      </w:r>
      <w:r>
        <w:t xml:space="preserve">de </w:t>
      </w:r>
      <w:r w:rsidR="00DD52F0">
        <w:t xml:space="preserve">in de onderdelen a tot en met g </w:t>
      </w:r>
      <w:r>
        <w:t xml:space="preserve">genoemde categorieën </w:t>
      </w:r>
      <w:r w:rsidR="007A3340">
        <w:t xml:space="preserve">sluiten </w:t>
      </w:r>
      <w:r>
        <w:t xml:space="preserve">aan bij de zeven categorieën van het </w:t>
      </w:r>
      <w:r w:rsidR="00745F9F" w:rsidRPr="00745F9F">
        <w:t>register van de V</w:t>
      </w:r>
      <w:r w:rsidR="009443DC">
        <w:t>N</w:t>
      </w:r>
      <w:r w:rsidR="00745F9F" w:rsidRPr="00745F9F">
        <w:t xml:space="preserve"> van conventionele wapens</w:t>
      </w:r>
      <w:r>
        <w:t xml:space="preserve"> (U</w:t>
      </w:r>
      <w:r w:rsidR="002208D6">
        <w:t xml:space="preserve">nited </w:t>
      </w:r>
      <w:r>
        <w:t>N</w:t>
      </w:r>
      <w:r w:rsidR="002208D6">
        <w:t xml:space="preserve">ations </w:t>
      </w:r>
      <w:r>
        <w:t>R</w:t>
      </w:r>
      <w:r w:rsidR="002208D6">
        <w:t xml:space="preserve">egister </w:t>
      </w:r>
      <w:r>
        <w:t>o</w:t>
      </w:r>
      <w:r w:rsidR="002208D6">
        <w:t xml:space="preserve">f </w:t>
      </w:r>
      <w:proofErr w:type="spellStart"/>
      <w:r>
        <w:t>C</w:t>
      </w:r>
      <w:r w:rsidR="002208D6">
        <w:t>onvention</w:t>
      </w:r>
      <w:r w:rsidR="009C6618">
        <w:t>a</w:t>
      </w:r>
      <w:r w:rsidR="002208D6">
        <w:t>l</w:t>
      </w:r>
      <w:proofErr w:type="spellEnd"/>
      <w:r w:rsidR="002208D6">
        <w:t xml:space="preserve"> </w:t>
      </w:r>
      <w:r>
        <w:t>A</w:t>
      </w:r>
      <w:r w:rsidR="002208D6">
        <w:t xml:space="preserve">rms; hierna </w:t>
      </w:r>
      <w:proofErr w:type="spellStart"/>
      <w:r w:rsidR="002208D6">
        <w:t>UNRoCA</w:t>
      </w:r>
      <w:proofErr w:type="spellEnd"/>
      <w:r>
        <w:t xml:space="preserve">), dat door Nederland is ingesteld bij de VN en waarover Nederland tweejaarlijks een resolutie indient. In </w:t>
      </w:r>
      <w:r w:rsidR="007A3340">
        <w:t xml:space="preserve">de context van </w:t>
      </w:r>
      <w:r>
        <w:t xml:space="preserve">het VN-register is </w:t>
      </w:r>
      <w:r w:rsidR="007A3340">
        <w:t xml:space="preserve">wel gedefinieerd </w:t>
      </w:r>
      <w:r>
        <w:t xml:space="preserve">welke </w:t>
      </w:r>
      <w:r w:rsidR="007A3340">
        <w:t xml:space="preserve">wapens onder de verschillende categorieën vallen. </w:t>
      </w:r>
      <w:r w:rsidR="00816904">
        <w:t xml:space="preserve">Zie ook de toelichting op artikel 5, derde lid. </w:t>
      </w:r>
    </w:p>
    <w:p w:rsidR="001D0D87" w:rsidRDefault="001D0D87" w:rsidP="002145E0"/>
    <w:p w:rsidR="009C6618" w:rsidRDefault="001D0D87" w:rsidP="002145E0">
      <w:r>
        <w:t>In aanvulling op de zeven categori</w:t>
      </w:r>
      <w:r w:rsidR="00A226B1">
        <w:t>eën van het VN-register is het V</w:t>
      </w:r>
      <w:r>
        <w:t>erdrag ook van toepassing op handvuurwapens en lichte wapens</w:t>
      </w:r>
      <w:r w:rsidR="00360CD5">
        <w:t xml:space="preserve"> (eerste lid, onderdeel h)</w:t>
      </w:r>
      <w:r>
        <w:t xml:space="preserve">. Toevoeging van deze categorie aan de reikwijdte van het </w:t>
      </w:r>
      <w:r w:rsidR="00A226B1">
        <w:t>V</w:t>
      </w:r>
      <w:r>
        <w:t>erdrag is een belangrijk resultaat; juist de ongecontroleerde handel in deze wapens veroorzaakt humanitair leed in vele regio’s.</w:t>
      </w:r>
      <w:r w:rsidR="009C6618" w:rsidRPr="009C6618">
        <w:t xml:space="preserve"> </w:t>
      </w:r>
    </w:p>
    <w:p w:rsidR="009C6618" w:rsidRDefault="009C6618" w:rsidP="002145E0"/>
    <w:p w:rsidR="001D0D87" w:rsidRDefault="009C6618" w:rsidP="002145E0">
      <w:r>
        <w:t>Nederland zal, net als alle andere Europese l</w:t>
      </w:r>
      <w:r w:rsidR="006A2F63">
        <w:t>idstaten</w:t>
      </w:r>
      <w:r>
        <w:t xml:space="preserve">, bij de toepassing van het Verdrag gebruik maken van de Gemeenschappelijke EU-lijst van militaire goederen (Pb EU C85/1 van 22 maart 2012), die uitgebreider is dan de categorieën opgesomd in het Verdrag. Deze door de EU vastgestelde lijst omvat heldere definities van alle militaire goederen en onderdelen waarvoor een vergunningplicht geldt. De </w:t>
      </w:r>
      <w:r w:rsidRPr="009C6618">
        <w:t xml:space="preserve">categorieën </w:t>
      </w:r>
      <w:r>
        <w:t xml:space="preserve">van </w:t>
      </w:r>
      <w:r w:rsidRPr="009C6618">
        <w:t>conventionele wapens</w:t>
      </w:r>
      <w:r>
        <w:t xml:space="preserve">, zoals bedoeld in dit Verdrag en </w:t>
      </w:r>
      <w:r w:rsidRPr="009C6618">
        <w:t>die in artikel 2, eerste lid onder a tot en met h, staan opgesomd</w:t>
      </w:r>
      <w:r w:rsidR="006A2F63">
        <w:t>,</w:t>
      </w:r>
      <w:r>
        <w:t xml:space="preserve"> word</w:t>
      </w:r>
      <w:r w:rsidR="006A2F63">
        <w:t>en</w:t>
      </w:r>
      <w:r>
        <w:t xml:space="preserve"> volledig </w:t>
      </w:r>
      <w:r w:rsidR="0071500F">
        <w:t>gedekt</w:t>
      </w:r>
      <w:r>
        <w:t xml:space="preserve"> door deze Gemeenschappelijke EU-lijst van militaire goederen.</w:t>
      </w:r>
      <w:r w:rsidR="0071500F">
        <w:t xml:space="preserve"> De term conventionele wapens</w:t>
      </w:r>
      <w:r w:rsidR="00BC6DD9">
        <w:t>,</w:t>
      </w:r>
      <w:r w:rsidR="0071500F">
        <w:t xml:space="preserve"> zoals bedoeld in dit Verdrag</w:t>
      </w:r>
      <w:r w:rsidR="00BC6DD9">
        <w:t>,</w:t>
      </w:r>
      <w:r w:rsidR="0071500F">
        <w:t xml:space="preserve"> komt derhalve overeen met de term militaire goederen </w:t>
      </w:r>
      <w:r w:rsidR="00BC6DD9">
        <w:t xml:space="preserve">zoals beschreven </w:t>
      </w:r>
      <w:r w:rsidR="0071500F">
        <w:t xml:space="preserve">in de </w:t>
      </w:r>
      <w:r w:rsidR="0071500F" w:rsidRPr="0071500F">
        <w:t>Gemeenschappelijke EU-lijst van militaire goederen</w:t>
      </w:r>
      <w:r w:rsidR="0071500F">
        <w:t>.</w:t>
      </w:r>
    </w:p>
    <w:p w:rsidR="007A3340" w:rsidRDefault="007A3340" w:rsidP="002145E0"/>
    <w:p w:rsidR="007A3340" w:rsidRDefault="00C45E84" w:rsidP="002145E0">
      <w:r>
        <w:t>A</w:t>
      </w:r>
      <w:r w:rsidR="00AB1E6B">
        <w:t xml:space="preserve">rtikel 2, </w:t>
      </w:r>
      <w:r w:rsidR="007A3340">
        <w:t>tweede lid</w:t>
      </w:r>
      <w:r w:rsidR="00AB1E6B">
        <w:t>,</w:t>
      </w:r>
      <w:r w:rsidR="007A3340">
        <w:t xml:space="preserve"> omschrijft op</w:t>
      </w:r>
      <w:r>
        <w:t xml:space="preserve"> welke soorten transacties het V</w:t>
      </w:r>
      <w:r w:rsidR="007A3340">
        <w:t>erdrag van toepassing is: uitvoer, invoer, doorvoer</w:t>
      </w:r>
      <w:r w:rsidR="00AB1E6B">
        <w:t xml:space="preserve">, overslag en tussenhandel </w:t>
      </w:r>
      <w:r w:rsidR="007A3340">
        <w:t>van conventionele wapens.</w:t>
      </w:r>
      <w:r w:rsidR="00AB1E6B">
        <w:t xml:space="preserve"> In het Verdrag wordt de term “overdracht” gehanteerd als alomvattende verzamelnaam voor deze verschillende transacties.</w:t>
      </w:r>
      <w:r w:rsidR="00DD106E">
        <w:t xml:space="preserve"> </w:t>
      </w:r>
      <w:r w:rsidR="00816904">
        <w:t>Sommige artikelen, zoals artikel 6, zien op “overdracht”, andere hebben uitsluitend betrekking op uitvoer, invoer, doorvoer, overslag of tussenhandel.</w:t>
      </w:r>
      <w:r w:rsidR="002208D6">
        <w:t xml:space="preserve"> Zo ziet de </w:t>
      </w:r>
      <w:r w:rsidR="0048642D">
        <w:t>in artikel 7 voorziene toetsing enkel op uitvoer</w:t>
      </w:r>
      <w:r w:rsidR="00F50BF5">
        <w:t xml:space="preserve"> van conventionele wapens en goederen.</w:t>
      </w:r>
    </w:p>
    <w:p w:rsidR="007A3340" w:rsidRDefault="007A3340" w:rsidP="002145E0"/>
    <w:p w:rsidR="007A3340" w:rsidRDefault="007A3340" w:rsidP="002145E0">
      <w:r>
        <w:t xml:space="preserve">In </w:t>
      </w:r>
      <w:r w:rsidR="00AB1E6B">
        <w:t xml:space="preserve">artikel 2, </w:t>
      </w:r>
      <w:r w:rsidR="00546D57">
        <w:t xml:space="preserve">derde </w:t>
      </w:r>
      <w:r>
        <w:t>lid</w:t>
      </w:r>
      <w:r w:rsidR="00546D57">
        <w:t>,</w:t>
      </w:r>
      <w:r>
        <w:t xml:space="preserve"> wordt een uitzondering ge</w:t>
      </w:r>
      <w:r w:rsidR="00A226B1">
        <w:t>maakt op de toepassing van het V</w:t>
      </w:r>
      <w:r>
        <w:t xml:space="preserve">erdrag wanneer </w:t>
      </w:r>
      <w:r w:rsidR="00790D8F">
        <w:t>wapens internationaal worden vervoerd voor eigen gebruik en wanneer deze wapens eigendom van de uitvoerende staat blijven. Hiermee blijft internationaal transport van Nederlandse wapens bij deelname aan internationale missies uitgezonderd van een vergunningsplicht.</w:t>
      </w:r>
    </w:p>
    <w:p w:rsidR="008E394B" w:rsidRDefault="008E394B" w:rsidP="002145E0"/>
    <w:p w:rsidR="00512B60" w:rsidRPr="00512B60" w:rsidRDefault="00512B60" w:rsidP="002145E0">
      <w:pPr>
        <w:rPr>
          <w:b/>
          <w:bCs/>
        </w:rPr>
      </w:pPr>
      <w:r w:rsidRPr="00512B60">
        <w:rPr>
          <w:b/>
          <w:bCs/>
        </w:rPr>
        <w:t>Artikel 3</w:t>
      </w:r>
      <w:r w:rsidR="006A46B0">
        <w:rPr>
          <w:b/>
          <w:bCs/>
        </w:rPr>
        <w:t xml:space="preserve"> en 4</w:t>
      </w:r>
      <w:r w:rsidRPr="00512B60">
        <w:rPr>
          <w:b/>
          <w:bCs/>
        </w:rPr>
        <w:t>:</w:t>
      </w:r>
      <w:r w:rsidR="006747BB">
        <w:rPr>
          <w:b/>
          <w:bCs/>
        </w:rPr>
        <w:t xml:space="preserve"> Munitie</w:t>
      </w:r>
      <w:r w:rsidR="009F51A2">
        <w:rPr>
          <w:b/>
          <w:bCs/>
        </w:rPr>
        <w:t xml:space="preserve"> en</w:t>
      </w:r>
      <w:r w:rsidR="006747BB">
        <w:rPr>
          <w:b/>
          <w:bCs/>
        </w:rPr>
        <w:t xml:space="preserve"> Onderdelen en componenten</w:t>
      </w:r>
    </w:p>
    <w:p w:rsidR="00512B60" w:rsidRDefault="000C4B6D" w:rsidP="002145E0">
      <w:r>
        <w:t>Op basis van d</w:t>
      </w:r>
      <w:r w:rsidR="00EB4F49">
        <w:t xml:space="preserve">e artikelen 3 en 4 </w:t>
      </w:r>
      <w:r>
        <w:t xml:space="preserve">dienen </w:t>
      </w:r>
      <w:r w:rsidR="00EB4F49">
        <w:t xml:space="preserve">verdragspartijen nationale controlesystemen in te stellen ten behoeve van de </w:t>
      </w:r>
      <w:r w:rsidR="006A46B0">
        <w:t xml:space="preserve">controle </w:t>
      </w:r>
      <w:r w:rsidR="00E2795F">
        <w:t xml:space="preserve">op </w:t>
      </w:r>
      <w:r w:rsidR="00C9624D">
        <w:t xml:space="preserve">de uitvoer </w:t>
      </w:r>
      <w:r w:rsidR="00C71D96">
        <w:t xml:space="preserve">van </w:t>
      </w:r>
      <w:r w:rsidR="006A46B0">
        <w:t xml:space="preserve">munitie </w:t>
      </w:r>
      <w:r w:rsidR="008D0C2B">
        <w:t xml:space="preserve">en </w:t>
      </w:r>
      <w:r w:rsidR="00C71D96">
        <w:t>van</w:t>
      </w:r>
      <w:r w:rsidR="008D0C2B">
        <w:t xml:space="preserve"> onderdelen en componenten. De exportcontrole op deze twee categorieën is </w:t>
      </w:r>
      <w:r>
        <w:t xml:space="preserve">echter </w:t>
      </w:r>
      <w:r w:rsidR="008D0C2B">
        <w:t>niet alomvattend</w:t>
      </w:r>
      <w:r>
        <w:t xml:space="preserve">. Exportcontrole op munitie is beperkt tot munitie die wordt afgevuurd, gelanceerd of gelost door </w:t>
      </w:r>
      <w:r w:rsidR="006A46B0">
        <w:t xml:space="preserve">de in artikel 2 genoemde wapens en </w:t>
      </w:r>
      <w:r>
        <w:t xml:space="preserve">exportcontrole </w:t>
      </w:r>
      <w:r w:rsidR="006A46B0">
        <w:t xml:space="preserve">op onderdelen </w:t>
      </w:r>
      <w:r>
        <w:t>en componenten ziet alleen op de situatie waarin de uitvoer geschiedt op een wijze die het mogelijk maakt de in artikel 2 genoemde wapens sam</w:t>
      </w:r>
      <w:r w:rsidR="00DE70A5">
        <w:t>en te stellen.</w:t>
      </w:r>
      <w:r w:rsidR="006A46B0">
        <w:t xml:space="preserve"> Toetsing </w:t>
      </w:r>
      <w:r w:rsidR="00E2795F">
        <w:t xml:space="preserve">van </w:t>
      </w:r>
      <w:r w:rsidR="003903DD">
        <w:t>uitvoer</w:t>
      </w:r>
      <w:r w:rsidR="00E2795F">
        <w:t xml:space="preserve"> van deze goederen </w:t>
      </w:r>
      <w:r w:rsidR="006A46B0">
        <w:t>aan de criteria ui</w:t>
      </w:r>
      <w:r w:rsidR="00E2795F">
        <w:t>t</w:t>
      </w:r>
      <w:r w:rsidR="006A46B0">
        <w:t xml:space="preserve"> artikel 6</w:t>
      </w:r>
      <w:r w:rsidR="007E4BB6">
        <w:t xml:space="preserve"> </w:t>
      </w:r>
      <w:r w:rsidR="006A46B0">
        <w:t xml:space="preserve">en 7 is voor </w:t>
      </w:r>
      <w:r w:rsidR="00E2795F">
        <w:t xml:space="preserve">deze </w:t>
      </w:r>
      <w:r w:rsidR="00B338E3">
        <w:t>goederen</w:t>
      </w:r>
      <w:r w:rsidR="00E2795F">
        <w:t xml:space="preserve"> verplicht, gelijk aan toetsing van </w:t>
      </w:r>
      <w:r w:rsidR="003903DD">
        <w:t>uitvoer</w:t>
      </w:r>
      <w:r w:rsidR="00E2795F">
        <w:t xml:space="preserve"> voor de in artikel 2 genoemde </w:t>
      </w:r>
      <w:r w:rsidR="0048642D">
        <w:t>categorieën conventionele wapens</w:t>
      </w:r>
      <w:r w:rsidR="00E2795F">
        <w:t xml:space="preserve">. De aparte benoeming van munitie en onderdelen, los van de categorieën conventionele wapens in artikel 2, heeft als gevolg dat over deze </w:t>
      </w:r>
      <w:r w:rsidR="003903DD">
        <w:t>uitvoer</w:t>
      </w:r>
      <w:r w:rsidR="00E2795F">
        <w:t xml:space="preserve"> geen rapportageverplichting bestaat onder artikel 13.</w:t>
      </w:r>
    </w:p>
    <w:p w:rsidR="00E2795F" w:rsidRDefault="00E2795F" w:rsidP="002145E0"/>
    <w:p w:rsidR="00E2795F" w:rsidRPr="00B338E3" w:rsidRDefault="00E2795F" w:rsidP="002145E0">
      <w:pPr>
        <w:rPr>
          <w:b/>
          <w:bCs/>
        </w:rPr>
      </w:pPr>
      <w:r w:rsidRPr="00E2795F">
        <w:rPr>
          <w:b/>
          <w:bCs/>
        </w:rPr>
        <w:t>Artikel 5</w:t>
      </w:r>
      <w:r w:rsidR="00721CE2">
        <w:rPr>
          <w:b/>
          <w:bCs/>
        </w:rPr>
        <w:t xml:space="preserve"> en 14</w:t>
      </w:r>
      <w:r w:rsidRPr="00B338E3">
        <w:rPr>
          <w:b/>
          <w:bCs/>
        </w:rPr>
        <w:t>:</w:t>
      </w:r>
      <w:r w:rsidR="006747BB" w:rsidRPr="00B338E3">
        <w:rPr>
          <w:b/>
          <w:bCs/>
        </w:rPr>
        <w:t xml:space="preserve"> Algemene </w:t>
      </w:r>
      <w:r w:rsidR="006707C7" w:rsidRPr="00B338E3">
        <w:rPr>
          <w:b/>
          <w:bCs/>
        </w:rPr>
        <w:t>tenuitvoerlegging</w:t>
      </w:r>
      <w:r w:rsidR="00721CE2" w:rsidRPr="00B338E3">
        <w:rPr>
          <w:b/>
          <w:bCs/>
        </w:rPr>
        <w:t xml:space="preserve"> en </w:t>
      </w:r>
      <w:r w:rsidR="00816904">
        <w:rPr>
          <w:b/>
          <w:bCs/>
        </w:rPr>
        <w:t>h</w:t>
      </w:r>
      <w:r w:rsidR="00721CE2" w:rsidRPr="00B338E3">
        <w:rPr>
          <w:b/>
          <w:bCs/>
        </w:rPr>
        <w:t>andhaving</w:t>
      </w:r>
    </w:p>
    <w:p w:rsidR="00BC7BA1" w:rsidRDefault="00314877" w:rsidP="002145E0">
      <w:r w:rsidRPr="00B338E3">
        <w:t>In a</w:t>
      </w:r>
      <w:r w:rsidR="008D0C2B" w:rsidRPr="00B338E3">
        <w:t xml:space="preserve">rtikel 5 </w:t>
      </w:r>
      <w:r w:rsidRPr="00B338E3">
        <w:t xml:space="preserve">en artikel 14 wordt nader ingegaan </w:t>
      </w:r>
      <w:r w:rsidR="00DE70A5" w:rsidRPr="00B338E3">
        <w:t xml:space="preserve">op de wijze waarop </w:t>
      </w:r>
      <w:r w:rsidR="00816904">
        <w:t>verdragspartijen</w:t>
      </w:r>
      <w:r w:rsidR="00DE70A5" w:rsidRPr="00B338E3">
        <w:t xml:space="preserve"> de</w:t>
      </w:r>
      <w:r w:rsidR="00DE70A5">
        <w:t xml:space="preserve"> tenuitvoerlegging van de bepalingen van het Verdrag op nationaal niveau dienen vorm te geven</w:t>
      </w:r>
      <w:r>
        <w:t xml:space="preserve">. </w:t>
      </w:r>
      <w:r w:rsidR="00DE70A5">
        <w:t xml:space="preserve">Artikel </w:t>
      </w:r>
      <w:r w:rsidR="00721CE2">
        <w:t xml:space="preserve">5, eerste lid, bevat </w:t>
      </w:r>
      <w:r w:rsidR="00BC7BA1">
        <w:t>de</w:t>
      </w:r>
      <w:r w:rsidR="00721CE2">
        <w:t xml:space="preserve"> algemene verplichting voor verdragspartijen het Verdrag op consistente, onpartijdige en niet-discriminerende wijze ten uitvoer te brengen </w:t>
      </w:r>
      <w:r w:rsidR="006707C7">
        <w:t>indachtig de in de preambule genoemde algemene beginselen.</w:t>
      </w:r>
    </w:p>
    <w:p w:rsidR="0051371E" w:rsidRDefault="0051371E" w:rsidP="002145E0"/>
    <w:p w:rsidR="00B338E3" w:rsidRDefault="003B5C02" w:rsidP="002145E0">
      <w:r>
        <w:t>Artikel 5, tweede lid, schrijft voor dat verdragspartijen een nationaal controlesysteem dienen in te stellen met bijbehorende nationale controlelijsten van de conventionele wapens die onder de reikwijdte van het Verdrag vallen. Aangezien het tijdens de onderhandelingen niet mogelijk bleek overeenstemming te bereiken over de definities van conventionele wapens</w:t>
      </w:r>
      <w:r w:rsidR="0030602F">
        <w:t xml:space="preserve"> bedoeld in artikel 2, eerste lid, onderdelen a</w:t>
      </w:r>
      <w:r w:rsidR="00B76AA6">
        <w:t xml:space="preserve"> t/m</w:t>
      </w:r>
      <w:r w:rsidR="0030602F">
        <w:t xml:space="preserve"> h, </w:t>
      </w:r>
      <w:r>
        <w:t xml:space="preserve">en </w:t>
      </w:r>
      <w:r w:rsidR="001E3565">
        <w:t xml:space="preserve">teneinde </w:t>
      </w:r>
      <w:r>
        <w:t xml:space="preserve">de situatie te voorkomen dat conventionele wapens </w:t>
      </w:r>
      <w:r w:rsidR="001E3565">
        <w:t xml:space="preserve">onder de reikwijdte </w:t>
      </w:r>
      <w:r w:rsidR="00B76AA6">
        <w:t xml:space="preserve">van het Verdrag </w:t>
      </w:r>
      <w:r w:rsidR="001E3565">
        <w:t xml:space="preserve">uitsluitend op nationale definities zijn gebaseerd, is </w:t>
      </w:r>
      <w:r w:rsidR="0077751B">
        <w:t xml:space="preserve">in </w:t>
      </w:r>
      <w:r w:rsidR="001E3565">
        <w:t xml:space="preserve">artikel 5, derde lid, de ondergrens opgenomen dat nationale definities </w:t>
      </w:r>
      <w:r w:rsidR="00B76AA6">
        <w:t>met betrekking tot de categorieën conventionele wapens genoemd in artikel 2, eerste lid, onderdel</w:t>
      </w:r>
      <w:r w:rsidR="00092C16">
        <w:t>e</w:t>
      </w:r>
      <w:r w:rsidR="00B76AA6">
        <w:t xml:space="preserve">n a t/m g, niet beperkter mogen zijn dan de omschrijvingen gebruikt in het </w:t>
      </w:r>
      <w:proofErr w:type="spellStart"/>
      <w:r w:rsidR="00B76AA6">
        <w:t>UNRoC</w:t>
      </w:r>
      <w:r w:rsidR="001A19F4">
        <w:t>A</w:t>
      </w:r>
      <w:proofErr w:type="spellEnd"/>
      <w:r w:rsidR="00B76AA6">
        <w:t xml:space="preserve">; wat betreft </w:t>
      </w:r>
      <w:r w:rsidR="007C650C">
        <w:t>de categ</w:t>
      </w:r>
      <w:r w:rsidR="00E751B8">
        <w:t xml:space="preserve">orie </w:t>
      </w:r>
      <w:r w:rsidR="007C650C">
        <w:t xml:space="preserve">vermeld in </w:t>
      </w:r>
      <w:r w:rsidR="00092C16">
        <w:t>onderdeel h van dat artikel</w:t>
      </w:r>
      <w:r w:rsidR="00E751B8">
        <w:t>,</w:t>
      </w:r>
      <w:r w:rsidR="00092C16">
        <w:t xml:space="preserve"> dat betrekking heeft op handvuurwapens en lichte wapens</w:t>
      </w:r>
      <w:r w:rsidR="00E751B8">
        <w:t>,</w:t>
      </w:r>
      <w:r w:rsidR="00092C16">
        <w:t xml:space="preserve"> geldt als ondergrens de omschrijving gebruikt in relevante VN instrumenten, zoals </w:t>
      </w:r>
      <w:r w:rsidR="005A18BB">
        <w:t xml:space="preserve">de vrijwillige rapportage over handvuurwapens en lichte wapens aan het </w:t>
      </w:r>
      <w:proofErr w:type="spellStart"/>
      <w:r w:rsidR="005A18BB">
        <w:t>UNRoCA</w:t>
      </w:r>
      <w:proofErr w:type="spellEnd"/>
      <w:r w:rsidR="005A18BB">
        <w:t xml:space="preserve"> en </w:t>
      </w:r>
      <w:r w:rsidR="00745F9F">
        <w:t xml:space="preserve">het </w:t>
      </w:r>
      <w:r w:rsidR="00546D57">
        <w:t>VN-</w:t>
      </w:r>
      <w:r w:rsidR="00266FDB">
        <w:t>A</w:t>
      </w:r>
      <w:r w:rsidR="00745F9F" w:rsidRPr="00745F9F">
        <w:t>ctieprogramma ter voorkoming, bestrijding en uitbanning van de illegale handel in handvuurwapens en lichte wapens in al zijn aspecten</w:t>
      </w:r>
      <w:r w:rsidR="00092C16">
        <w:t xml:space="preserve">. </w:t>
      </w:r>
      <w:r w:rsidR="00F4784A">
        <w:t xml:space="preserve">Er bestaat </w:t>
      </w:r>
      <w:r w:rsidR="00BF082B">
        <w:t xml:space="preserve">overigens </w:t>
      </w:r>
      <w:r w:rsidR="00F4784A">
        <w:t xml:space="preserve">geen wereldwijd aanvaarde definitie van </w:t>
      </w:r>
      <w:r w:rsidR="00F4784A" w:rsidRPr="00745F9F">
        <w:t>handvuurwapens en lichte wapens</w:t>
      </w:r>
      <w:r w:rsidR="00F4784A">
        <w:t>.</w:t>
      </w:r>
    </w:p>
    <w:p w:rsidR="00B338E3" w:rsidRDefault="00B338E3" w:rsidP="002145E0"/>
    <w:p w:rsidR="001E3565" w:rsidRDefault="00092C16" w:rsidP="002145E0">
      <w:r>
        <w:t xml:space="preserve">Voor alle categorieën </w:t>
      </w:r>
      <w:r w:rsidR="00E751B8">
        <w:t xml:space="preserve">conventionele wapens onder de reikwijdte van Verdrag </w:t>
      </w:r>
      <w:r>
        <w:t xml:space="preserve">geldt dat </w:t>
      </w:r>
      <w:r w:rsidR="007C650C">
        <w:t>de omschrijvingen in bedoelde instrumenten dienen te worden gehanteerd zoals die luiden op het moment van inwerkingtreding van het Verdrag.</w:t>
      </w:r>
      <w:r w:rsidR="00E751B8">
        <w:t xml:space="preserve"> In dit verband dient ook te worden gerefereerd aan het bepaalde in artikel 17, vierde lid, onderdeel a, </w:t>
      </w:r>
      <w:r w:rsidR="00486E01">
        <w:t xml:space="preserve">(Conferentie van </w:t>
      </w:r>
      <w:r w:rsidR="00107072">
        <w:t xml:space="preserve">de </w:t>
      </w:r>
      <w:r w:rsidR="00A55AC5">
        <w:t>staten die partij zijn</w:t>
      </w:r>
      <w:r w:rsidR="00486E01">
        <w:t>, zie ook de toelichting op dat artikel)</w:t>
      </w:r>
      <w:r w:rsidR="00E751B8">
        <w:t xml:space="preserve">, waarin </w:t>
      </w:r>
      <w:r w:rsidR="00486E01">
        <w:t xml:space="preserve">de Conferentie </w:t>
      </w:r>
      <w:r w:rsidR="00107072">
        <w:t xml:space="preserve">van de staten die partij zijn </w:t>
      </w:r>
      <w:r w:rsidR="00486E01">
        <w:t>wordt opgedragen de tenuitvoerlegging van het Verdrag te toetsen, met inbegrip van ontwikkelingen op het gebied van conventionele wapens.</w:t>
      </w:r>
      <w:r w:rsidR="008E0C4D">
        <w:t xml:space="preserve"> </w:t>
      </w:r>
      <w:r w:rsidR="00870EA3">
        <w:t xml:space="preserve">Met die formulering wordt benadrukt dat de </w:t>
      </w:r>
      <w:r w:rsidR="00147290">
        <w:t>C</w:t>
      </w:r>
      <w:r w:rsidR="00870EA3">
        <w:t xml:space="preserve">onferentie bevoegd is zich over dergelijke ontwikkelingen uit te spreken en </w:t>
      </w:r>
      <w:proofErr w:type="spellStart"/>
      <w:r w:rsidR="00870EA3">
        <w:t>zonodig</w:t>
      </w:r>
      <w:proofErr w:type="spellEnd"/>
      <w:r w:rsidR="00870EA3">
        <w:t xml:space="preserve"> </w:t>
      </w:r>
      <w:r w:rsidR="007F38D8">
        <w:t xml:space="preserve">voorstellen te doen om </w:t>
      </w:r>
      <w:r w:rsidR="00870EA3">
        <w:t>de definities van conventionele wapens onder de reikwijdte van het Verdrag aan te scherpen.</w:t>
      </w:r>
    </w:p>
    <w:p w:rsidR="001E3565" w:rsidRDefault="001E3565" w:rsidP="002145E0"/>
    <w:p w:rsidR="00096966" w:rsidRDefault="00090627" w:rsidP="00965425">
      <w:r>
        <w:t xml:space="preserve">Artikel 5, vierde lid, verplicht een verdragspartij zijn nationale controlelijst door tussenkomst van het secretariaat te delen met </w:t>
      </w:r>
      <w:r w:rsidR="00096966">
        <w:t xml:space="preserve">de </w:t>
      </w:r>
      <w:r>
        <w:t>andere verdragspartijen</w:t>
      </w:r>
      <w:r w:rsidR="00096966">
        <w:t xml:space="preserve">. Het artikel verplicht verdragspartijen </w:t>
      </w:r>
      <w:r w:rsidR="00965425">
        <w:t xml:space="preserve">echter </w:t>
      </w:r>
      <w:r w:rsidR="00096966">
        <w:t>niet om de nationale controlelijsten openbaar te maken</w:t>
      </w:r>
      <w:r w:rsidR="00C53D3D">
        <w:t xml:space="preserve"> buiten de cirkel van verdragspartijen</w:t>
      </w:r>
      <w:r w:rsidR="00965425">
        <w:t>, maar moedigt hen hiertoe wel aan.</w:t>
      </w:r>
      <w:r w:rsidR="00151133">
        <w:t xml:space="preserve"> Zoals hierboven gemeld </w:t>
      </w:r>
      <w:r w:rsidR="00745F9F">
        <w:t xml:space="preserve">bij de toelichting op artikel 2 </w:t>
      </w:r>
      <w:r w:rsidR="00151133">
        <w:t xml:space="preserve">zal Nederland gebruikmaken van de </w:t>
      </w:r>
      <w:r w:rsidR="00972E82">
        <w:t>-</w:t>
      </w:r>
      <w:r w:rsidR="00151133">
        <w:t xml:space="preserve"> openbare -</w:t>
      </w:r>
      <w:r w:rsidR="00972E82">
        <w:t xml:space="preserve"> Gemeenschappelijke EU-lijst van militaire goederen</w:t>
      </w:r>
      <w:r w:rsidR="00151133">
        <w:t xml:space="preserve"> bij </w:t>
      </w:r>
      <w:r w:rsidR="00972E82">
        <w:t xml:space="preserve">de </w:t>
      </w:r>
      <w:r w:rsidR="00151133">
        <w:t xml:space="preserve">tenuitvoerlegging van het </w:t>
      </w:r>
      <w:r w:rsidR="00972E82">
        <w:t>V</w:t>
      </w:r>
      <w:r w:rsidR="00151133">
        <w:t>erdrag.</w:t>
      </w:r>
    </w:p>
    <w:p w:rsidR="0097235C" w:rsidRDefault="0097235C" w:rsidP="00965425"/>
    <w:p w:rsidR="008E0C4D" w:rsidRDefault="002C21AF" w:rsidP="002145E0">
      <w:r>
        <w:t>A</w:t>
      </w:r>
      <w:r w:rsidR="00133B25">
        <w:t>rtikel 5, vijfde lid</w:t>
      </w:r>
      <w:r>
        <w:t>,</w:t>
      </w:r>
      <w:r w:rsidR="00133B25">
        <w:t xml:space="preserve"> </w:t>
      </w:r>
      <w:r>
        <w:t>schrijft voor dat ver</w:t>
      </w:r>
      <w:r w:rsidR="00133B25">
        <w:t xml:space="preserve">dragspartijen een bevoegde nationale autoriteit </w:t>
      </w:r>
      <w:r>
        <w:t xml:space="preserve">dienen aan te </w:t>
      </w:r>
      <w:r w:rsidR="00133B25">
        <w:t>wijzen</w:t>
      </w:r>
      <w:r>
        <w:t>, die zal besluiten over het al dan niet verlenen van toestemming voor de overdracht van conventionele wapens</w:t>
      </w:r>
      <w:r w:rsidR="00133B25">
        <w:t xml:space="preserve">. Voor wat betreft Nederland is dit </w:t>
      </w:r>
      <w:r w:rsidR="00151133">
        <w:t xml:space="preserve">de </w:t>
      </w:r>
      <w:r w:rsidR="00972E82">
        <w:t>M</w:t>
      </w:r>
      <w:r w:rsidR="00151133">
        <w:t>inister v</w:t>
      </w:r>
      <w:r w:rsidR="00266FDB">
        <w:t>oor</w:t>
      </w:r>
      <w:r w:rsidR="00151133">
        <w:t xml:space="preserve"> Buitenlandse Handel</w:t>
      </w:r>
      <w:r w:rsidR="00266FDB">
        <w:t xml:space="preserve"> en Ontwikkelingssamenwerking</w:t>
      </w:r>
      <w:r w:rsidR="00133B25">
        <w:t>.</w:t>
      </w:r>
      <w:r w:rsidR="0097235C">
        <w:t xml:space="preserve"> </w:t>
      </w:r>
      <w:r>
        <w:t xml:space="preserve">Daarnaast dienen de verdragspartijen ingevolge artikel 5, zesde lid, een nationaal contactpunt aan te wijzen, dat zal fungeren als aanspreekpunt voor de overige verdragspartijen </w:t>
      </w:r>
      <w:r w:rsidR="008E0C4D">
        <w:t xml:space="preserve">bij de uitwisseling van informatie. Voor wat betreft Nederland is dit </w:t>
      </w:r>
      <w:r w:rsidR="00402767">
        <w:t xml:space="preserve">de </w:t>
      </w:r>
      <w:r w:rsidR="000C7A46">
        <w:t>D</w:t>
      </w:r>
      <w:r w:rsidR="00402767">
        <w:t xml:space="preserve">irectie Veiligheidsbeleid van </w:t>
      </w:r>
      <w:r w:rsidR="00151133">
        <w:t>het ministerie van Buitenlandse Zaken</w:t>
      </w:r>
      <w:r w:rsidR="008E0C4D">
        <w:t>.</w:t>
      </w:r>
    </w:p>
    <w:p w:rsidR="00314877" w:rsidRDefault="00314877" w:rsidP="002145E0"/>
    <w:p w:rsidR="00314877" w:rsidRDefault="00E14414" w:rsidP="002145E0">
      <w:r>
        <w:t>Ar</w:t>
      </w:r>
      <w:r w:rsidR="00AC0EC8">
        <w:t xml:space="preserve">tikel 14 </w:t>
      </w:r>
      <w:r>
        <w:t xml:space="preserve">bevat een </w:t>
      </w:r>
      <w:r w:rsidR="00AC0EC8">
        <w:t xml:space="preserve">algemene verplichting van verdragspartijen </w:t>
      </w:r>
      <w:r>
        <w:t>op nationaal niveau passende maatregelen te nemen die moeten verzekeren dat nationale wet- en regelgeving voor de tenuitvoerlegging van het Verdrag wordt gehandhaaf</w:t>
      </w:r>
      <w:r w:rsidR="00151133">
        <w:t>d</w:t>
      </w:r>
      <w:r>
        <w:t>.</w:t>
      </w:r>
    </w:p>
    <w:p w:rsidR="008E0C4D" w:rsidRPr="00721CE2" w:rsidRDefault="008E0C4D" w:rsidP="002145E0"/>
    <w:p w:rsidR="00E2795F" w:rsidRDefault="00E2795F" w:rsidP="002145E0">
      <w:r w:rsidRPr="00E2795F">
        <w:rPr>
          <w:b/>
          <w:bCs/>
        </w:rPr>
        <w:t>Artikel 6:</w:t>
      </w:r>
      <w:r w:rsidR="006747BB">
        <w:rPr>
          <w:b/>
          <w:bCs/>
        </w:rPr>
        <w:t xml:space="preserve"> Verboden</w:t>
      </w:r>
      <w:r w:rsidR="00025718">
        <w:t xml:space="preserve"> </w:t>
      </w:r>
    </w:p>
    <w:p w:rsidR="00BC6DD9" w:rsidRDefault="005F1BFB" w:rsidP="004252EE">
      <w:r>
        <w:t xml:space="preserve">Dit artikel omschrijft wanneer de </w:t>
      </w:r>
      <w:r w:rsidR="00FC7108">
        <w:t xml:space="preserve">overdracht </w:t>
      </w:r>
      <w:r>
        <w:t xml:space="preserve">van conventionele wapens </w:t>
      </w:r>
      <w:r w:rsidR="005B2A6D">
        <w:t xml:space="preserve">bedoeld in artikel 2 en munitie en componenten en onderdelen zoals </w:t>
      </w:r>
      <w:r w:rsidR="00731163">
        <w:t>gedefinieerd</w:t>
      </w:r>
      <w:r w:rsidR="005B2A6D">
        <w:t xml:space="preserve"> in de artikelen 3 en 4 </w:t>
      </w:r>
      <w:r>
        <w:t xml:space="preserve">verboden is. </w:t>
      </w:r>
      <w:r w:rsidR="00472CB0">
        <w:t>Op basis van artikel 6, eerste lid, dien</w:t>
      </w:r>
      <w:r w:rsidR="00640797">
        <w:t>t</w:t>
      </w:r>
      <w:r w:rsidR="00472CB0">
        <w:t xml:space="preserve"> </w:t>
      </w:r>
      <w:r w:rsidR="00640797">
        <w:t xml:space="preserve">een </w:t>
      </w:r>
      <w:r w:rsidR="00472CB0">
        <w:t xml:space="preserve">verdragspartij </w:t>
      </w:r>
      <w:r w:rsidR="00F50BF5">
        <w:t>geen toestemming te verlenen aan een</w:t>
      </w:r>
      <w:r w:rsidR="00025718">
        <w:t xml:space="preserve"> </w:t>
      </w:r>
      <w:r w:rsidR="00266FDB">
        <w:t xml:space="preserve">overdracht </w:t>
      </w:r>
      <w:r w:rsidR="00025718">
        <w:t xml:space="preserve">indien </w:t>
      </w:r>
      <w:r w:rsidR="004E4429">
        <w:t xml:space="preserve">dat land door een dergelijke overdracht toe te staan in strijd zou handelen met zijn verplichtingen voortvloeiend uit </w:t>
      </w:r>
      <w:r>
        <w:t>resoluties van de VN-Veiligheidsraad</w:t>
      </w:r>
      <w:r w:rsidR="006168C1">
        <w:t xml:space="preserve"> </w:t>
      </w:r>
      <w:r w:rsidR="00E97233">
        <w:t xml:space="preserve">aangenomen </w:t>
      </w:r>
      <w:r w:rsidR="006168C1">
        <w:t>op basis van Hoofdstuk VII van he</w:t>
      </w:r>
      <w:r w:rsidR="004E4429">
        <w:t>t</w:t>
      </w:r>
      <w:r w:rsidR="006168C1">
        <w:t xml:space="preserve"> VN Handvest</w:t>
      </w:r>
      <w:r>
        <w:t xml:space="preserve">. Het gaat hier met name om VN-wapenembargo’s. </w:t>
      </w:r>
    </w:p>
    <w:p w:rsidR="00BC6DD9" w:rsidRDefault="00BC6DD9" w:rsidP="004252EE"/>
    <w:p w:rsidR="00BC6DD9" w:rsidRDefault="003B181F" w:rsidP="004252EE">
      <w:r>
        <w:t xml:space="preserve">Ingevolge </w:t>
      </w:r>
      <w:r w:rsidR="00472CB0">
        <w:t xml:space="preserve">artikel 6, tweede lid, </w:t>
      </w:r>
      <w:r>
        <w:t>m</w:t>
      </w:r>
      <w:r w:rsidR="00640797">
        <w:t>a</w:t>
      </w:r>
      <w:r>
        <w:t>g</w:t>
      </w:r>
      <w:r w:rsidR="00640797">
        <w:t xml:space="preserve"> een</w:t>
      </w:r>
      <w:r w:rsidR="005F1BFB">
        <w:t xml:space="preserve"> </w:t>
      </w:r>
      <w:r w:rsidR="00472CB0">
        <w:t xml:space="preserve">verdragspartij </w:t>
      </w:r>
      <w:r w:rsidR="005B2A6D">
        <w:t xml:space="preserve">de overdracht </w:t>
      </w:r>
      <w:r w:rsidR="005F1BFB">
        <w:t xml:space="preserve">ook </w:t>
      </w:r>
      <w:r w:rsidR="00640797">
        <w:t xml:space="preserve">niet toestaan, indien </w:t>
      </w:r>
      <w:r w:rsidR="002C223C">
        <w:t xml:space="preserve">die verdragspartij daardoor in strijd zou handelen </w:t>
      </w:r>
      <w:r w:rsidR="00640797">
        <w:t>met</w:t>
      </w:r>
      <w:r w:rsidR="00DF0465">
        <w:t xml:space="preserve"> zijn</w:t>
      </w:r>
      <w:r w:rsidR="00640797">
        <w:t xml:space="preserve"> </w:t>
      </w:r>
      <w:r w:rsidR="00D57DF1">
        <w:t>i</w:t>
      </w:r>
      <w:r w:rsidR="00640797">
        <w:t xml:space="preserve">nternationale verplichtingen </w:t>
      </w:r>
      <w:r w:rsidR="00D57DF1">
        <w:t xml:space="preserve">die voortvloeien uit andere </w:t>
      </w:r>
      <w:r w:rsidR="00DF0465">
        <w:t xml:space="preserve">voor die partij geldende </w:t>
      </w:r>
      <w:r w:rsidR="00D57DF1">
        <w:t>verdragen</w:t>
      </w:r>
      <w:r w:rsidR="00DF0465">
        <w:t xml:space="preserve">. </w:t>
      </w:r>
      <w:r w:rsidR="005F1BFB">
        <w:t xml:space="preserve">Hier kunnen onder meer wapenembargo’s van de EU onder worden geschaard. </w:t>
      </w:r>
    </w:p>
    <w:p w:rsidR="00BC6DD9" w:rsidRDefault="00BC6DD9" w:rsidP="004252EE"/>
    <w:p w:rsidR="00BC6DD9" w:rsidRDefault="005F1BFB" w:rsidP="004252EE">
      <w:r>
        <w:t xml:space="preserve">Tenslotte </w:t>
      </w:r>
      <w:r w:rsidR="00DF0465">
        <w:t xml:space="preserve">is in artikel 6, derde lid, neergelegd </w:t>
      </w:r>
      <w:r>
        <w:t xml:space="preserve">dat </w:t>
      </w:r>
      <w:r w:rsidR="00370322">
        <w:t xml:space="preserve">een verdragspartij de </w:t>
      </w:r>
      <w:r w:rsidR="00FC7108">
        <w:t xml:space="preserve">overdracht niet </w:t>
      </w:r>
      <w:r w:rsidR="00DF0465">
        <w:t xml:space="preserve">mag </w:t>
      </w:r>
      <w:r w:rsidR="00370322">
        <w:t>toes</w:t>
      </w:r>
      <w:r w:rsidR="00DF0465">
        <w:t xml:space="preserve">taan </w:t>
      </w:r>
      <w:r w:rsidR="00FC7108">
        <w:t xml:space="preserve">indien op het moment </w:t>
      </w:r>
      <w:r w:rsidR="00DF0465">
        <w:t xml:space="preserve">dat de </w:t>
      </w:r>
      <w:r w:rsidR="003D0EE2">
        <w:t>toestemming zou worden gegeven</w:t>
      </w:r>
      <w:r w:rsidR="00FC7108">
        <w:t xml:space="preserve"> bekend is dat de wapens zouden worden gebruikt voor het plegen van </w:t>
      </w:r>
      <w:r w:rsidR="00C747B7">
        <w:t xml:space="preserve">internationale misdrijven, zoals </w:t>
      </w:r>
      <w:r w:rsidR="00FC7108">
        <w:t>genocide, misdaden tegen de menselijkheid</w:t>
      </w:r>
      <w:r w:rsidR="00C747B7">
        <w:t xml:space="preserve"> en oorlogsmisdaden.</w:t>
      </w:r>
      <w:r w:rsidR="004028BB">
        <w:t xml:space="preserve"> </w:t>
      </w:r>
    </w:p>
    <w:p w:rsidR="00BC6DD9" w:rsidRDefault="00BC6DD9" w:rsidP="004252EE"/>
    <w:p w:rsidR="005E3013" w:rsidRDefault="004252EE" w:rsidP="004252EE">
      <w:r>
        <w:t>De reikwijdte van de oorlogsmisdaden waar dit verbod betrekking op heeft omvat allereerst ernstige inbreuken van de Geneefse Conventies van 1949. Daarnaast vallen ook andere in verdragen vastgelegde oorlogsmisdaden onder dit verbod voor</w:t>
      </w:r>
      <w:r w:rsidR="00BC6DD9">
        <w:t xml:space="preserve"> </w:t>
      </w:r>
      <w:r>
        <w:t xml:space="preserve">zover die verdragen gelden voor de betrokken verdragspartij. Wat betreft de reikwijdte van oorlogsmisdaden op basis van het internationaal gewoonterecht, gaat artikel 6, derde lid niet verder dan het </w:t>
      </w:r>
      <w:r w:rsidR="000E0AB8">
        <w:t>verbod aanvallen te richten tegen burgerdoelen of als zodanig beschermde burgers. Een bredere definitie van de reikwijdte van oorlogsmisdaden op basis van het internationaal gewoonterecht bleek niet haalbaar</w:t>
      </w:r>
      <w:r w:rsidR="00BC6DD9">
        <w:t>.</w:t>
      </w:r>
      <w:r w:rsidR="00E530A9">
        <w:t xml:space="preserve"> </w:t>
      </w:r>
    </w:p>
    <w:p w:rsidR="00512B60" w:rsidRDefault="00E7391C" w:rsidP="004252EE">
      <w:r>
        <w:lastRenderedPageBreak/>
        <w:t>De</w:t>
      </w:r>
      <w:r w:rsidR="00BF28D7">
        <w:t xml:space="preserve"> </w:t>
      </w:r>
      <w:r w:rsidR="00B60ABC">
        <w:t xml:space="preserve">situaties die aanleiding geven tot het verbieden van transacties op basis van artikel 6 </w:t>
      </w:r>
      <w:r>
        <w:t xml:space="preserve">zijn tevens terug te vinden in het EU Gemeenschappelijk Standpunt </w:t>
      </w:r>
      <w:r w:rsidR="00DA2C42">
        <w:t xml:space="preserve">inzake </w:t>
      </w:r>
      <w:r>
        <w:t>wapenexport</w:t>
      </w:r>
      <w:r w:rsidR="00086713">
        <w:t xml:space="preserve">. Als zodanig wordt de in dit artikel neergelegde maatstaf </w:t>
      </w:r>
      <w:r>
        <w:t xml:space="preserve">door Nederland dan ook reeds toegepast op exportvergunningsaanvragen voor conventionele wapens. </w:t>
      </w:r>
    </w:p>
    <w:p w:rsidR="00025718" w:rsidRDefault="00025718" w:rsidP="002145E0"/>
    <w:p w:rsidR="00723C32" w:rsidRDefault="00723C32" w:rsidP="002145E0">
      <w:pPr>
        <w:rPr>
          <w:b/>
          <w:bCs/>
        </w:rPr>
      </w:pPr>
      <w:r>
        <w:rPr>
          <w:b/>
          <w:bCs/>
        </w:rPr>
        <w:t>Artikel 7:</w:t>
      </w:r>
      <w:r w:rsidR="006747BB">
        <w:rPr>
          <w:b/>
          <w:bCs/>
        </w:rPr>
        <w:t xml:space="preserve"> Uitvoer en toetsing van uitvoer</w:t>
      </w:r>
    </w:p>
    <w:p w:rsidR="00B37F76" w:rsidRDefault="00723C32" w:rsidP="002145E0">
      <w:r>
        <w:t>In artikel 7</w:t>
      </w:r>
      <w:r w:rsidR="00816904">
        <w:t>, eerste lid,</w:t>
      </w:r>
      <w:r>
        <w:t xml:space="preserve"> worden de criteria genoemd die in de toetsing van </w:t>
      </w:r>
      <w:r w:rsidR="00E453DC">
        <w:t>uitvoer</w:t>
      </w:r>
      <w:r>
        <w:t xml:space="preserve"> van conventionele wapens dienen te worden </w:t>
      </w:r>
      <w:r w:rsidR="00B37F76">
        <w:t>ge</w:t>
      </w:r>
      <w:r>
        <w:t>wogen</w:t>
      </w:r>
      <w:r w:rsidR="00266FDB">
        <w:t>, indien de uitvoer niet reeds is verboden op basis van artikel 6</w:t>
      </w:r>
      <w:r>
        <w:t xml:space="preserve">: bijdrage of ondermijning van vrede en veiligheid, mogelijk gebruik </w:t>
      </w:r>
      <w:r w:rsidR="00B217BB">
        <w:t xml:space="preserve">bij </w:t>
      </w:r>
      <w:r w:rsidR="0088318D">
        <w:t xml:space="preserve">ernstige </w:t>
      </w:r>
      <w:r>
        <w:t>schendingen van internationaal humanitair recht</w:t>
      </w:r>
      <w:r w:rsidR="00B217BB">
        <w:t xml:space="preserve"> of</w:t>
      </w:r>
      <w:r>
        <w:t xml:space="preserve"> </w:t>
      </w:r>
      <w:r w:rsidR="0088318D">
        <w:t>ernstige schendingen van de rechten van de mens</w:t>
      </w:r>
      <w:r>
        <w:t xml:space="preserve">, </w:t>
      </w:r>
      <w:r w:rsidR="00B217BB">
        <w:t xml:space="preserve">gebruik bij </w:t>
      </w:r>
      <w:r w:rsidR="0088318D">
        <w:t xml:space="preserve">handelingen strafbaar gesteld op basis van </w:t>
      </w:r>
      <w:r>
        <w:t xml:space="preserve">verdragen aangaande terrorisme of grensoverschrijdende </w:t>
      </w:r>
      <w:r w:rsidR="00B37F76">
        <w:t>georganiseerde misdaad</w:t>
      </w:r>
      <w:r w:rsidR="0088318D">
        <w:t xml:space="preserve"> waarbij </w:t>
      </w:r>
      <w:r w:rsidR="00286BD7">
        <w:t>het land van uitvoer partij is</w:t>
      </w:r>
      <w:r>
        <w:t>.</w:t>
      </w:r>
      <w:r w:rsidR="00B217BB">
        <w:t xml:space="preserve"> </w:t>
      </w:r>
      <w:r w:rsidR="00B37F76">
        <w:t xml:space="preserve">Hiermee vormt dit artikel het hart van het </w:t>
      </w:r>
      <w:r w:rsidR="00A226B1">
        <w:t>V</w:t>
      </w:r>
      <w:r w:rsidR="00B37F76">
        <w:t xml:space="preserve">erdrag. </w:t>
      </w:r>
    </w:p>
    <w:p w:rsidR="00B37F76" w:rsidRDefault="00B37F76" w:rsidP="002145E0"/>
    <w:p w:rsidR="00F25ADF" w:rsidRDefault="00816904" w:rsidP="002145E0">
      <w:r>
        <w:t>Verdragspartijen</w:t>
      </w:r>
      <w:r w:rsidR="00B217BB">
        <w:t xml:space="preserve"> dienen</w:t>
      </w:r>
      <w:r>
        <w:t>, op grond van het tweede lid,</w:t>
      </w:r>
      <w:r w:rsidR="00B217BB">
        <w:t xml:space="preserve"> ook maatregelen te overwegen om </w:t>
      </w:r>
      <w:r w:rsidR="00286BD7">
        <w:t xml:space="preserve">de in artikel 7, eerste lid, omschreven </w:t>
      </w:r>
      <w:r w:rsidR="00B217BB">
        <w:t xml:space="preserve">risico’s verbonden aan de voorliggende </w:t>
      </w:r>
      <w:r w:rsidR="00B37F76">
        <w:t>uitvoer</w:t>
      </w:r>
      <w:r w:rsidR="00B217BB">
        <w:t xml:space="preserve"> te mitigeren. Indien </w:t>
      </w:r>
      <w:r w:rsidR="00F25ADF">
        <w:t xml:space="preserve">er </w:t>
      </w:r>
      <w:r w:rsidR="00B217BB">
        <w:t xml:space="preserve">na de risicotoetsing en eventuele mitigerende maatregelen </w:t>
      </w:r>
      <w:r w:rsidR="00286BD7">
        <w:t xml:space="preserve">sprake is van een situatie waarin </w:t>
      </w:r>
      <w:r w:rsidR="00B217BB">
        <w:t>de exporterende staat bepaal</w:t>
      </w:r>
      <w:r w:rsidR="005A2D5C">
        <w:t>t</w:t>
      </w:r>
      <w:r w:rsidR="00B217BB">
        <w:t xml:space="preserve"> dat er een doorslaggevend risico bestaat </w:t>
      </w:r>
      <w:r w:rsidR="00F25ADF">
        <w:t xml:space="preserve">dat de </w:t>
      </w:r>
      <w:r w:rsidR="00B217BB">
        <w:t xml:space="preserve">negatieve consequenties </w:t>
      </w:r>
      <w:r w:rsidR="00F25ADF">
        <w:t xml:space="preserve">omschreven in de </w:t>
      </w:r>
      <w:r w:rsidR="00731163">
        <w:t>toetsingscriteria</w:t>
      </w:r>
      <w:r w:rsidR="00F25ADF">
        <w:t xml:space="preserve"> van artikel 7, eerste lid, zullen optreden</w:t>
      </w:r>
      <w:r w:rsidR="00B217BB">
        <w:t xml:space="preserve">, mag de exporterende staat </w:t>
      </w:r>
      <w:r w:rsidR="00F25ADF">
        <w:t>op basis van artikel 6, derde lid, de uitvoer niet toestaan</w:t>
      </w:r>
      <w:r w:rsidR="00B217BB">
        <w:t>.</w:t>
      </w:r>
      <w:r w:rsidR="000F227A">
        <w:t xml:space="preserve"> </w:t>
      </w:r>
      <w:r w:rsidR="00AA6A93">
        <w:t xml:space="preserve">De belangrijkste verdienste van het </w:t>
      </w:r>
      <w:r w:rsidR="005A2D5C">
        <w:t>Verdrag</w:t>
      </w:r>
      <w:r w:rsidR="00AA6A93">
        <w:t xml:space="preserve"> is dat deze zogenaamde ‘golden </w:t>
      </w:r>
      <w:proofErr w:type="spellStart"/>
      <w:r w:rsidR="00AA6A93">
        <w:t>rule</w:t>
      </w:r>
      <w:proofErr w:type="spellEnd"/>
      <w:r w:rsidR="00AA6A93">
        <w:t xml:space="preserve">’ is opgenomen in de verdragstekst. Hierdoor dienen </w:t>
      </w:r>
      <w:r w:rsidR="005A2D5C">
        <w:t>verdrags</w:t>
      </w:r>
      <w:r w:rsidR="00AA6A93">
        <w:t>partijen een zorgvuldige afweging te maken alvorens uitvoer van conventionele wapens toe te staan.</w:t>
      </w:r>
    </w:p>
    <w:p w:rsidR="00F25ADF" w:rsidRDefault="00F25ADF" w:rsidP="002145E0"/>
    <w:p w:rsidR="00B6258E" w:rsidRDefault="00F25ADF" w:rsidP="002145E0">
      <w:r>
        <w:t>In artikel 7, vierde lid, is verder nog neergelegd dat verdragspartijen in het kader van de toetsing op basis van de criteria neergelegd in artikel 7, eerste lid, ook</w:t>
      </w:r>
      <w:r w:rsidR="000F227A">
        <w:t xml:space="preserve"> het risico op inzet van de goederen voor</w:t>
      </w:r>
      <w:r w:rsidR="005A2D5C">
        <w:t xml:space="preserve"> </w:t>
      </w:r>
      <w:r w:rsidR="00B6258E">
        <w:t xml:space="preserve">daden van ernstig </w:t>
      </w:r>
      <w:r w:rsidR="005A2D5C">
        <w:t>genderspecifiek</w:t>
      </w:r>
      <w:r w:rsidR="000F227A">
        <w:t xml:space="preserve"> geweld of geweld tegen vrouwen en kinderen </w:t>
      </w:r>
      <w:r w:rsidR="00B6258E">
        <w:t xml:space="preserve">dienen </w:t>
      </w:r>
      <w:r w:rsidR="000F227A">
        <w:t>mee</w:t>
      </w:r>
      <w:r w:rsidR="00AA6A93">
        <w:t xml:space="preserve"> te wegen</w:t>
      </w:r>
      <w:r w:rsidR="000F227A">
        <w:t>.</w:t>
      </w:r>
    </w:p>
    <w:p w:rsidR="00B6258E" w:rsidRDefault="00B6258E" w:rsidP="002145E0"/>
    <w:p w:rsidR="00355660" w:rsidRDefault="00257E6C" w:rsidP="002145E0">
      <w:r>
        <w:t xml:space="preserve">De </w:t>
      </w:r>
      <w:r w:rsidR="00B6258E">
        <w:t xml:space="preserve">in artikel 7 </w:t>
      </w:r>
      <w:r>
        <w:t>genoemde toetsingscriteria w</w:t>
      </w:r>
      <w:r w:rsidR="003B181F">
        <w:t>o</w:t>
      </w:r>
      <w:r>
        <w:t xml:space="preserve">rden door Nederland reeds toegepast als gevolg van EU Gemeenschappelijk Standpunt </w:t>
      </w:r>
      <w:r w:rsidR="005A2D5C">
        <w:t>inzake wapenexport</w:t>
      </w:r>
      <w:r w:rsidR="005A18BB">
        <w:t>.</w:t>
      </w:r>
      <w:r w:rsidR="007A0579">
        <w:t xml:space="preserve"> Dit geldt ook voor toetsing aan het omleidingsrisico op basis van artikel 11, tweede lid.</w:t>
      </w:r>
    </w:p>
    <w:p w:rsidR="000F227A" w:rsidRDefault="000F227A" w:rsidP="002145E0"/>
    <w:p w:rsidR="000F227A" w:rsidRDefault="000F227A" w:rsidP="002145E0">
      <w:r>
        <w:t xml:space="preserve">Exportvergunningen dienen voorafgaand aan de </w:t>
      </w:r>
      <w:r w:rsidR="00E453DC">
        <w:t>uitvoer</w:t>
      </w:r>
      <w:r>
        <w:t xml:space="preserve"> te worden afgegeven</w:t>
      </w:r>
      <w:r w:rsidR="00816904">
        <w:t xml:space="preserve"> (vijfde lid)</w:t>
      </w:r>
      <w:r>
        <w:t>. Het exporterende land dient op verzoek relevante informatie af te geven aan het importerende land en eventuele doorvoerlanden betrokken bij de transactie</w:t>
      </w:r>
      <w:r w:rsidR="003B181F">
        <w:t xml:space="preserve"> </w:t>
      </w:r>
      <w:r w:rsidR="00816904">
        <w:t>(zesde lid). Exporterende landen worden aangemoedigd om afgegeven ve</w:t>
      </w:r>
      <w:r>
        <w:t>rgunningen te herzien indien nieuwe relevante informatie beschikbaar komt</w:t>
      </w:r>
      <w:r w:rsidR="003B181F">
        <w:t xml:space="preserve"> (zevende lid)</w:t>
      </w:r>
      <w:r>
        <w:t>.</w:t>
      </w:r>
    </w:p>
    <w:p w:rsidR="00723C32" w:rsidRPr="00723C32" w:rsidRDefault="00723C32" w:rsidP="002145E0"/>
    <w:p w:rsidR="002145E0" w:rsidRPr="002145E0" w:rsidRDefault="002145E0" w:rsidP="002145E0">
      <w:pPr>
        <w:rPr>
          <w:b/>
          <w:bCs/>
        </w:rPr>
      </w:pPr>
      <w:r w:rsidRPr="002145E0">
        <w:rPr>
          <w:b/>
          <w:bCs/>
        </w:rPr>
        <w:t>Artikel 8</w:t>
      </w:r>
      <w:r w:rsidR="006747BB">
        <w:rPr>
          <w:b/>
          <w:bCs/>
        </w:rPr>
        <w:t>: Invoer</w:t>
      </w:r>
    </w:p>
    <w:p w:rsidR="005E3013" w:rsidRDefault="002145E0" w:rsidP="002145E0">
      <w:r>
        <w:t xml:space="preserve">In artikel 8 is de verplichting voor </w:t>
      </w:r>
      <w:r w:rsidR="005A2D5C">
        <w:t xml:space="preserve">invoerende </w:t>
      </w:r>
      <w:r w:rsidR="00266FDB">
        <w:t>verdrags</w:t>
      </w:r>
      <w:r>
        <w:t xml:space="preserve">partijen neergelegd om maatregelen te nemen om te verzekeren dat relevante en passende informatie wordt verschaft op verzoek van </w:t>
      </w:r>
      <w:r w:rsidR="007E16B4">
        <w:t>de verdragspartij die de toetsing van uitvoer overeenkomstig artikel 7 verricht</w:t>
      </w:r>
      <w:r>
        <w:t xml:space="preserve">. Deze informatie is bestemd voor het beoordelen van uitvoertransacties. De informatie omvat bijvoorbeeld documentatie over het eindgebruik, de eindgebruiker of verklaringen dat de </w:t>
      </w:r>
      <w:r w:rsidR="00266FDB">
        <w:t>verdrags</w:t>
      </w:r>
      <w:r>
        <w:t xml:space="preserve">partij waar de goederen worden ingevoerd de goederen bij (weder)uitvoer onder exportcontrole heeft. </w:t>
      </w:r>
    </w:p>
    <w:p w:rsidR="002145E0" w:rsidRDefault="002145E0" w:rsidP="002145E0">
      <w:r>
        <w:lastRenderedPageBreak/>
        <w:t xml:space="preserve">Deze verplichting ondersteunt de </w:t>
      </w:r>
      <w:r w:rsidR="00266FDB">
        <w:t>verdrags</w:t>
      </w:r>
      <w:r>
        <w:t xml:space="preserve">partij bij het beoordelen van de wenselijkheid van uitvoertransacties en </w:t>
      </w:r>
      <w:r w:rsidR="003B076D">
        <w:t>draagt</w:t>
      </w:r>
      <w:r>
        <w:t xml:space="preserve"> bij </w:t>
      </w:r>
      <w:r w:rsidR="003B076D">
        <w:t xml:space="preserve">aan </w:t>
      </w:r>
      <w:r>
        <w:t>het nemen van verantwoorde beslissingen over de uitvoer van militaire goederen.</w:t>
      </w:r>
    </w:p>
    <w:p w:rsidR="00025718" w:rsidRDefault="00025718" w:rsidP="002145E0"/>
    <w:p w:rsidR="002145E0" w:rsidRDefault="002145E0" w:rsidP="002145E0">
      <w:r>
        <w:t xml:space="preserve">Daarnaast verplicht artikel 8 de </w:t>
      </w:r>
      <w:r w:rsidR="00266FDB">
        <w:t>verdrags</w:t>
      </w:r>
      <w:r>
        <w:t>partijen waar nodig de invoer van conventionel</w:t>
      </w:r>
      <w:r w:rsidR="00266FDB">
        <w:t>e</w:t>
      </w:r>
      <w:r>
        <w:t xml:space="preserve"> </w:t>
      </w:r>
      <w:r w:rsidR="00266FDB">
        <w:t>wapens</w:t>
      </w:r>
      <w:r>
        <w:t xml:space="preserve"> genoemd in artikel 2 van het Verdrag te reguleren. Dit kan eruit bestaan dat de invoer van deze goederen wordt gecontroleerd door een meld- of vergunningplicht op invoer. Het is aan de </w:t>
      </w:r>
      <w:r w:rsidR="00266FDB">
        <w:t>verdrags</w:t>
      </w:r>
      <w:r>
        <w:t>partijen te bepalen welke maatregelen zij nodig achten in het licht van de andere genomen maatregelen zoals op het terrein van uitvoercontrole.</w:t>
      </w:r>
    </w:p>
    <w:p w:rsidR="002145E0" w:rsidRDefault="002145E0" w:rsidP="002145E0"/>
    <w:p w:rsidR="002145E0" w:rsidRDefault="00AC3B58" w:rsidP="002145E0">
      <w:r>
        <w:t xml:space="preserve">Uitgangspunt van de Nederlandse exportcontroleregelgeving is dat de uitvoer gecontroleerd wordt en niet de invoer. </w:t>
      </w:r>
      <w:r w:rsidR="002145E0">
        <w:t xml:space="preserve">In </w:t>
      </w:r>
      <w:r w:rsidR="00266FDB">
        <w:t>Nederland</w:t>
      </w:r>
      <w:r w:rsidR="002145E0">
        <w:t xml:space="preserve"> vindt </w:t>
      </w:r>
      <w:r>
        <w:t xml:space="preserve">echter </w:t>
      </w:r>
      <w:r w:rsidR="002145E0">
        <w:t>op beperkte schaal invoercontrole plaats op</w:t>
      </w:r>
      <w:r w:rsidR="00724251">
        <w:t xml:space="preserve"> sommige </w:t>
      </w:r>
      <w:r w:rsidR="0014480C">
        <w:t>conventionele wapens</w:t>
      </w:r>
      <w:r w:rsidR="002145E0">
        <w:t xml:space="preserve">, namelijk die goederen die </w:t>
      </w:r>
      <w:r w:rsidR="00266FDB">
        <w:t>o</w:t>
      </w:r>
      <w:r w:rsidR="002145E0">
        <w:t xml:space="preserve">nder de Wet </w:t>
      </w:r>
      <w:r w:rsidR="00682664">
        <w:t>w</w:t>
      </w:r>
      <w:r w:rsidR="002145E0">
        <w:t xml:space="preserve">apens en </w:t>
      </w:r>
      <w:r w:rsidR="00682664">
        <w:t>m</w:t>
      </w:r>
      <w:r w:rsidR="002145E0">
        <w:t>unitie vallen</w:t>
      </w:r>
      <w:r w:rsidR="00266FDB">
        <w:t>.</w:t>
      </w:r>
      <w:r>
        <w:t xml:space="preserve"> Deze wet richt zich namelijk op de bescherming van de openbare orde, wat aanleiding vormt voor invoercontrole.</w:t>
      </w:r>
    </w:p>
    <w:p w:rsidR="00266FDB" w:rsidRDefault="00266FDB" w:rsidP="002145E0"/>
    <w:p w:rsidR="002145E0" w:rsidRDefault="002145E0" w:rsidP="002145E0">
      <w:r>
        <w:t xml:space="preserve">Artikel 8 bevat tevens een bepaling die het recht van de </w:t>
      </w:r>
      <w:r w:rsidR="00266FDB">
        <w:t>verdrags</w:t>
      </w:r>
      <w:r>
        <w:t>partijen benoem</w:t>
      </w:r>
      <w:r w:rsidR="00AC3B58">
        <w:t>t</w:t>
      </w:r>
      <w:r>
        <w:t xml:space="preserve"> om informatie te vragen aan de andere </w:t>
      </w:r>
      <w:r w:rsidR="00266FDB">
        <w:t>verdrags</w:t>
      </w:r>
      <w:r>
        <w:t xml:space="preserve">partijen over door hen afgegeven uitvoervergunningen of lopende vergunningaanvragen waar deze </w:t>
      </w:r>
      <w:r w:rsidR="00266FDB">
        <w:t>verdrags</w:t>
      </w:r>
      <w:r>
        <w:t xml:space="preserve">partij het land van eindbestemming is. Deze informatie-uitwisseling zorgt ervoor dat de </w:t>
      </w:r>
      <w:r w:rsidR="00266FDB">
        <w:t>verdrags</w:t>
      </w:r>
      <w:r>
        <w:t xml:space="preserve">partij van invoer desgewenst kennis kan nemen van de voorgenomen invoer uit de verschillende </w:t>
      </w:r>
      <w:r w:rsidR="00121CED">
        <w:t>verdragspartijen</w:t>
      </w:r>
      <w:r>
        <w:t>.</w:t>
      </w:r>
    </w:p>
    <w:p w:rsidR="002145E0" w:rsidRDefault="002145E0" w:rsidP="002145E0"/>
    <w:p w:rsidR="002145E0" w:rsidRPr="002145E0" w:rsidRDefault="002145E0" w:rsidP="002145E0">
      <w:pPr>
        <w:rPr>
          <w:b/>
          <w:bCs/>
        </w:rPr>
      </w:pPr>
      <w:r w:rsidRPr="002145E0">
        <w:rPr>
          <w:b/>
          <w:bCs/>
        </w:rPr>
        <w:t>Artikel 9</w:t>
      </w:r>
      <w:r w:rsidR="006747BB">
        <w:rPr>
          <w:b/>
          <w:bCs/>
        </w:rPr>
        <w:t>: Doorvoer of overslag</w:t>
      </w:r>
    </w:p>
    <w:p w:rsidR="002145E0" w:rsidRDefault="002145E0" w:rsidP="002145E0">
      <w:r>
        <w:t xml:space="preserve">Dit artikel verplicht de </w:t>
      </w:r>
      <w:r w:rsidR="00266FDB">
        <w:t>verdrags</w:t>
      </w:r>
      <w:r>
        <w:t xml:space="preserve">partijen passende maatregelen te nemen om, waar het noodzakelijk en uitvoerbaar is, de doorvoer van conventionele </w:t>
      </w:r>
      <w:r w:rsidR="007E16B4">
        <w:t>wapens</w:t>
      </w:r>
      <w:r>
        <w:t xml:space="preserve"> genoemd in artikel 2 van het Verdrag door het eigen territoir te reguleren. Het betreft zendingen die het </w:t>
      </w:r>
      <w:r w:rsidR="007E16B4">
        <w:t>grondgebied</w:t>
      </w:r>
      <w:r>
        <w:t xml:space="preserve"> van de </w:t>
      </w:r>
      <w:r w:rsidR="00EB5DCE">
        <w:t>verdrags</w:t>
      </w:r>
      <w:r>
        <w:t>partij binnen worden gebracht om daarvandaan hun weg naar een eindbestemming in een andere staat te vervolgen</w:t>
      </w:r>
    </w:p>
    <w:p w:rsidR="00EB5DCE" w:rsidRDefault="00EB5DCE" w:rsidP="002145E0"/>
    <w:p w:rsidR="002145E0" w:rsidRDefault="002145E0" w:rsidP="002145E0">
      <w:r>
        <w:t xml:space="preserve">De doorvoer van militaire goederen genoemd op de </w:t>
      </w:r>
      <w:r w:rsidR="00AC3B58">
        <w:t xml:space="preserve">Gemeenschappelijke EU-lijst van militaire goederen </w:t>
      </w:r>
      <w:r>
        <w:t xml:space="preserve">is </w:t>
      </w:r>
      <w:r w:rsidR="007C682C">
        <w:t xml:space="preserve">wat Europees Nederland betreft </w:t>
      </w:r>
      <w:r>
        <w:t xml:space="preserve">gereguleerd in </w:t>
      </w:r>
      <w:r w:rsidR="007C682C">
        <w:t xml:space="preserve">de Algemene douanewet en </w:t>
      </w:r>
      <w:r>
        <w:t xml:space="preserve">het Besluit strategische goederen. </w:t>
      </w:r>
      <w:r w:rsidR="003B181F">
        <w:t xml:space="preserve">Voor </w:t>
      </w:r>
      <w:proofErr w:type="spellStart"/>
      <w:r w:rsidR="003B181F">
        <w:t>Caribisch</w:t>
      </w:r>
      <w:proofErr w:type="spellEnd"/>
      <w:r w:rsidR="003B181F">
        <w:t xml:space="preserve"> Nederland geldt </w:t>
      </w:r>
      <w:r w:rsidR="009B7529">
        <w:t>het Uitvoeringsbesluit Douane- en Accijnswet BES (</w:t>
      </w:r>
      <w:r w:rsidR="003B181F">
        <w:t>de</w:t>
      </w:r>
      <w:r w:rsidR="00481CAF">
        <w:t xml:space="preserve"> </w:t>
      </w:r>
      <w:r w:rsidR="005A152E">
        <w:t>UNDABES</w:t>
      </w:r>
      <w:r w:rsidR="009B7529">
        <w:t>)</w:t>
      </w:r>
      <w:r w:rsidR="005A152E">
        <w:t>.</w:t>
      </w:r>
      <w:r w:rsidR="003B181F">
        <w:t xml:space="preserve"> </w:t>
      </w:r>
      <w:r>
        <w:t xml:space="preserve">Voor de doorvoer geldt afhankelijk van het land van herkomst, het land van eindbestemming en of er al dan niet sprake is van overlading in Nederland een vergunningplicht of een meldplicht. Doorvoertransacties worden evenals uitvoertransacties getoetst aan de criteria van het EU Gemeenschappelijk Standpunt </w:t>
      </w:r>
      <w:r w:rsidR="007C682C">
        <w:t>inzake wapenexport</w:t>
      </w:r>
      <w:r>
        <w:t xml:space="preserve">. </w:t>
      </w:r>
    </w:p>
    <w:p w:rsidR="002145E0" w:rsidRDefault="002145E0" w:rsidP="002145E0"/>
    <w:p w:rsidR="002145E0" w:rsidRPr="002145E0" w:rsidRDefault="002145E0" w:rsidP="002145E0">
      <w:pPr>
        <w:rPr>
          <w:b/>
          <w:bCs/>
        </w:rPr>
      </w:pPr>
      <w:r w:rsidRPr="002145E0">
        <w:rPr>
          <w:b/>
          <w:bCs/>
        </w:rPr>
        <w:t>Artikel 10</w:t>
      </w:r>
      <w:r w:rsidR="006747BB">
        <w:rPr>
          <w:b/>
          <w:bCs/>
        </w:rPr>
        <w:t>: Tussenhandel</w:t>
      </w:r>
    </w:p>
    <w:p w:rsidR="005E3013" w:rsidRDefault="00EB5DCE" w:rsidP="002145E0">
      <w:r>
        <w:t>A</w:t>
      </w:r>
      <w:r w:rsidR="002145E0">
        <w:t xml:space="preserve">rtikel 10 </w:t>
      </w:r>
      <w:r>
        <w:t xml:space="preserve">verplicht </w:t>
      </w:r>
      <w:r w:rsidR="002145E0">
        <w:t xml:space="preserve">alle </w:t>
      </w:r>
      <w:r>
        <w:t>verdrags</w:t>
      </w:r>
      <w:r w:rsidR="002145E0">
        <w:t xml:space="preserve">partijen om maatregelen te nemen om de verlening van </w:t>
      </w:r>
      <w:proofErr w:type="spellStart"/>
      <w:r w:rsidR="002145E0">
        <w:t>tussenhandeldiensten</w:t>
      </w:r>
      <w:proofErr w:type="spellEnd"/>
      <w:r w:rsidR="002145E0">
        <w:t xml:space="preserve"> voor de conventionel</w:t>
      </w:r>
      <w:r w:rsidR="00682664">
        <w:t>e wapens</w:t>
      </w:r>
      <w:r w:rsidR="002145E0">
        <w:t xml:space="preserve"> genoemd in artikel 2 van het Verdrag te reguleren. Deze maatregelen kunnen onder meer bestaan uit een vergunningplicht of een registratieverplichting voor tussenhandelaars. Het begrip tussenhandel wordt in het Verdrag niet nader gedefinieerd. Internationaal is er geen overeenstemming over een afgebakende definitie, wel is er sprake van overeenstemming over het concept tussenhandel. </w:t>
      </w:r>
    </w:p>
    <w:p w:rsidR="002145E0" w:rsidRDefault="002145E0" w:rsidP="002145E0">
      <w:r>
        <w:lastRenderedPageBreak/>
        <w:t xml:space="preserve">De regulering van tussenhandel ziet toe op situaties waarin een </w:t>
      </w:r>
      <w:r w:rsidR="00F35D61">
        <w:t>verdrags</w:t>
      </w:r>
      <w:r>
        <w:t xml:space="preserve">partij indirect bij een transactie inzake </w:t>
      </w:r>
      <w:r w:rsidR="00B54D31">
        <w:t>conventionele wapens</w:t>
      </w:r>
      <w:r>
        <w:t xml:space="preserve"> betrokken is. Het betreft situaties waarin de </w:t>
      </w:r>
      <w:r w:rsidR="00B54D31">
        <w:t xml:space="preserve">conventionele wapens </w:t>
      </w:r>
      <w:r>
        <w:t xml:space="preserve"> niet vanuit een bepaalde </w:t>
      </w:r>
      <w:r w:rsidR="001E4B11">
        <w:t xml:space="preserve">verdragspartij </w:t>
      </w:r>
      <w:r>
        <w:t xml:space="preserve">worden uitgevoerd, maar er wel betrokkenheid is vanuit die </w:t>
      </w:r>
      <w:r w:rsidR="007961F0">
        <w:t>verdragspartij</w:t>
      </w:r>
      <w:r>
        <w:t xml:space="preserve"> bij de totstandkoming van de transactie. Een voorbeeld is de situatie waarin twee partijen bijeen worden gebracht en de verkooptransactie wordt gecoördineerd door een bedrijf of ingezetene van die staat. </w:t>
      </w:r>
    </w:p>
    <w:p w:rsidR="00257E6C" w:rsidRDefault="00257E6C" w:rsidP="002145E0"/>
    <w:p w:rsidR="002145E0" w:rsidRDefault="007961F0" w:rsidP="002145E0">
      <w:r>
        <w:t>In Nederland is h</w:t>
      </w:r>
      <w:r w:rsidR="002145E0">
        <w:t xml:space="preserve">et verlenen van </w:t>
      </w:r>
      <w:r w:rsidR="005A5633">
        <w:t xml:space="preserve">vergunningen voor </w:t>
      </w:r>
      <w:proofErr w:type="spellStart"/>
      <w:r w:rsidR="002145E0">
        <w:t>tussenhandeldiensten</w:t>
      </w:r>
      <w:proofErr w:type="spellEnd"/>
      <w:r w:rsidR="002145E0">
        <w:t xml:space="preserve"> voor</w:t>
      </w:r>
      <w:r w:rsidR="00117FB6">
        <w:t xml:space="preserve"> militaire goederen en </w:t>
      </w:r>
      <w:proofErr w:type="spellStart"/>
      <w:r w:rsidR="00117FB6">
        <w:t>dual</w:t>
      </w:r>
      <w:proofErr w:type="spellEnd"/>
      <w:r w:rsidR="00117FB6">
        <w:t xml:space="preserve"> </w:t>
      </w:r>
      <w:proofErr w:type="spellStart"/>
      <w:r w:rsidR="00117FB6">
        <w:t>use</w:t>
      </w:r>
      <w:proofErr w:type="spellEnd"/>
      <w:r w:rsidR="006A2F63">
        <w:rPr>
          <w:rStyle w:val="Voetnootmarkering"/>
        </w:rPr>
        <w:footnoteReference w:id="1"/>
      </w:r>
      <w:r w:rsidR="00117FB6">
        <w:t xml:space="preserve"> goederen </w:t>
      </w:r>
      <w:r w:rsidR="002145E0">
        <w:t xml:space="preserve">gereguleerd in de Wet </w:t>
      </w:r>
      <w:r w:rsidR="00682664">
        <w:t>s</w:t>
      </w:r>
      <w:r w:rsidR="002145E0">
        <w:t xml:space="preserve">trategische </w:t>
      </w:r>
      <w:r w:rsidR="00682664">
        <w:t>d</w:t>
      </w:r>
      <w:r w:rsidR="002145E0">
        <w:t>iensten</w:t>
      </w:r>
      <w:r>
        <w:t xml:space="preserve"> (hierna </w:t>
      </w:r>
      <w:proofErr w:type="spellStart"/>
      <w:r>
        <w:t>Wsd</w:t>
      </w:r>
      <w:proofErr w:type="spellEnd"/>
      <w:r>
        <w:t>)</w:t>
      </w:r>
      <w:r w:rsidR="00117FB6">
        <w:t xml:space="preserve"> en de </w:t>
      </w:r>
      <w:proofErr w:type="spellStart"/>
      <w:r w:rsidR="00117FB6">
        <w:t>Wsd</w:t>
      </w:r>
      <w:proofErr w:type="spellEnd"/>
      <w:r w:rsidR="00117FB6">
        <w:t xml:space="preserve"> is volledig van toepassing op de categorieën conventionele wapens zoals bedoeld in het Verdrag</w:t>
      </w:r>
      <w:r w:rsidR="002145E0">
        <w:t>. Deze wet trad in werking op 1 januari 2012 en reguleert verschillende soorten dienstverlening rondom militaire goederen</w:t>
      </w:r>
      <w:r w:rsidR="00117FB6">
        <w:t>.</w:t>
      </w:r>
      <w:r w:rsidR="00117FB6" w:rsidRPr="00117FB6">
        <w:t xml:space="preserve"> </w:t>
      </w:r>
      <w:r w:rsidR="00117FB6">
        <w:t>I</w:t>
      </w:r>
      <w:r w:rsidR="00117FB6" w:rsidRPr="00117FB6">
        <w:t xml:space="preserve">n deze wet wordt onderscheid gemaakt tussen Europees en </w:t>
      </w:r>
      <w:proofErr w:type="spellStart"/>
      <w:r w:rsidR="00117FB6" w:rsidRPr="00117FB6">
        <w:t>Caribisch</w:t>
      </w:r>
      <w:proofErr w:type="spellEnd"/>
      <w:r w:rsidR="00117FB6" w:rsidRPr="00117FB6">
        <w:t xml:space="preserve"> Nederland</w:t>
      </w:r>
      <w:r w:rsidR="002145E0">
        <w:t xml:space="preserve">. </w:t>
      </w:r>
      <w:r>
        <w:t xml:space="preserve">In de </w:t>
      </w:r>
      <w:proofErr w:type="spellStart"/>
      <w:r>
        <w:t>W</w:t>
      </w:r>
      <w:r w:rsidR="00117FB6">
        <w:t>sd</w:t>
      </w:r>
      <w:proofErr w:type="spellEnd"/>
      <w:r>
        <w:t xml:space="preserve"> is het</w:t>
      </w:r>
      <w:r w:rsidR="002145E0">
        <w:t xml:space="preserve"> begrip </w:t>
      </w:r>
      <w:proofErr w:type="spellStart"/>
      <w:r w:rsidR="002145E0">
        <w:t>tussenhandeldiensten</w:t>
      </w:r>
      <w:proofErr w:type="spellEnd"/>
      <w:r w:rsidR="002145E0">
        <w:t xml:space="preserve"> gedefinieerd als het onderhandelen over of regelen van overeenkomsten met het oog op de koop, verkoop of levering van militaire goederen of het ten behoeve van één of meer partijen verkopen of kopen van militaire goederen. </w:t>
      </w:r>
      <w:r>
        <w:t xml:space="preserve">Daarnaast is in de </w:t>
      </w:r>
      <w:proofErr w:type="spellStart"/>
      <w:r>
        <w:t>Wsd</w:t>
      </w:r>
      <w:proofErr w:type="spellEnd"/>
      <w:r>
        <w:t xml:space="preserve"> neergelegd dat v</w:t>
      </w:r>
      <w:r w:rsidR="002145E0">
        <w:t>oor het verlenen van deze diensten voor transacties waarbij de goederen zich buiten Nederland bevinden en de goederen bestemd zijn voor een ander land, een vergunningplicht</w:t>
      </w:r>
      <w:r>
        <w:t xml:space="preserve"> geldt</w:t>
      </w:r>
      <w:r w:rsidR="002145E0">
        <w:t xml:space="preserve">. Transacties waarbij de goederen zich in Nederland bevinden zijn uitgezonderd, omdat daarvoor al een vergunningplicht geldt voor de uitvoer. Vergelijkbaar als bij de regelgeving voor uit- en doorvoer van militaire goederen is de regelgeving op het terrein van tussenhandel van toepassing op de militaire goederen genoemd op de Gemeenschappelijke EU-lijst van militaire goederen en de reikwijdte dus ruimer dan de genoemde goederen in artikel 2 van het Verdrag. </w:t>
      </w:r>
    </w:p>
    <w:p w:rsidR="000F227A" w:rsidRDefault="000F227A" w:rsidP="002145E0"/>
    <w:p w:rsidR="000F227A" w:rsidRPr="000F227A" w:rsidRDefault="000F227A" w:rsidP="002145E0">
      <w:pPr>
        <w:rPr>
          <w:b/>
          <w:bCs/>
        </w:rPr>
      </w:pPr>
      <w:r w:rsidRPr="000F227A">
        <w:rPr>
          <w:b/>
          <w:bCs/>
        </w:rPr>
        <w:t>Artikel 11:</w:t>
      </w:r>
      <w:r w:rsidR="006747BB">
        <w:rPr>
          <w:b/>
          <w:bCs/>
        </w:rPr>
        <w:t xml:space="preserve"> Omleiding</w:t>
      </w:r>
    </w:p>
    <w:p w:rsidR="000F227A" w:rsidRDefault="007C682C" w:rsidP="002145E0">
      <w:r>
        <w:t>Verdragspartijen</w:t>
      </w:r>
      <w:r w:rsidR="00264A6A">
        <w:t xml:space="preserve"> dienen maatregelen te nemen om omleiding van conventionele wapens te voorkomen. </w:t>
      </w:r>
      <w:r w:rsidR="00A026D2">
        <w:t xml:space="preserve">Dit kan gebeuren door het omleidingsrisico te betrekken bij de toetsing van exportvergunningaanvragen en door mitigerende </w:t>
      </w:r>
      <w:r w:rsidR="008A55EF">
        <w:t xml:space="preserve">en preventieve </w:t>
      </w:r>
      <w:r w:rsidR="00A026D2">
        <w:t>maatregelen te overwegen</w:t>
      </w:r>
      <w:r w:rsidR="007961F0">
        <w:t xml:space="preserve">, zoals </w:t>
      </w:r>
      <w:r w:rsidR="00117FB6">
        <w:t>het vereisen van een eindgebruikersverklaring.</w:t>
      </w:r>
      <w:r w:rsidR="00013759">
        <w:t xml:space="preserve"> Nederland doet dit door toepassing van de criteria uit het EU Gemeenschappelijk Standpunt </w:t>
      </w:r>
      <w:r>
        <w:t>inzake wapenexport</w:t>
      </w:r>
      <w:r w:rsidR="00013759">
        <w:t xml:space="preserve"> (waaronder het omleidingsrisico), en door controle op eindgebruikersverklaringen bij vergunningaanvragen. </w:t>
      </w:r>
      <w:r>
        <w:t>Verdragspartijen</w:t>
      </w:r>
      <w:r w:rsidR="00013759">
        <w:t xml:space="preserve"> worden opgeroepen om samen te werken en informatie uit te wisselen bij de bestrijding van omleidingsrisico. </w:t>
      </w:r>
      <w:r>
        <w:t>Verdragspartijen</w:t>
      </w:r>
      <w:r w:rsidR="00013759">
        <w:t xml:space="preserve"> worden tevens aangemoedigd om relevante informatie te delen over de wijze waarop illegale activiteiten worden bestreden, zoals corruptie, wapensmokkel en illegale tussenhandel.</w:t>
      </w:r>
      <w:r w:rsidR="005A5633">
        <w:t xml:space="preserve"> </w:t>
      </w:r>
      <w:r w:rsidR="00F35D61">
        <w:t xml:space="preserve">Waar </w:t>
      </w:r>
      <w:r w:rsidR="00075755">
        <w:t xml:space="preserve">opportuun </w:t>
      </w:r>
      <w:r w:rsidR="00F35D61">
        <w:t>werkt Nederland samen met internationale partners om illegale wapenhandel te bestrijden.</w:t>
      </w:r>
    </w:p>
    <w:p w:rsidR="00013759" w:rsidRDefault="00013759" w:rsidP="002145E0"/>
    <w:p w:rsidR="00013759" w:rsidRPr="00013759" w:rsidRDefault="00013759" w:rsidP="002145E0">
      <w:pPr>
        <w:rPr>
          <w:b/>
          <w:bCs/>
        </w:rPr>
      </w:pPr>
      <w:r w:rsidRPr="00013759">
        <w:rPr>
          <w:b/>
          <w:bCs/>
        </w:rPr>
        <w:t>Artikel 12:</w:t>
      </w:r>
      <w:r w:rsidR="006747BB">
        <w:rPr>
          <w:b/>
          <w:bCs/>
        </w:rPr>
        <w:t xml:space="preserve"> Registratie</w:t>
      </w:r>
    </w:p>
    <w:p w:rsidR="00F808B6" w:rsidRDefault="00007EE7" w:rsidP="00007EE7">
      <w:r>
        <w:t xml:space="preserve">Dit artikel verplicht </w:t>
      </w:r>
      <w:r w:rsidR="00F35D61">
        <w:t>verdragspartijen</w:t>
      </w:r>
      <w:r>
        <w:t xml:space="preserve"> om voor een minimumperiode van tien jaar gegevens te bewaren van de afgifte van vergunningen voor wapenexport. Ook worden </w:t>
      </w:r>
      <w:r w:rsidR="007C682C">
        <w:t>verdragspartijen</w:t>
      </w:r>
      <w:r>
        <w:t xml:space="preserve"> aangemoedigd om gegevens te bewaren over de invoer en doorvoer van conventionele wapens zoals gedefinieerd in artikel 2</w:t>
      </w:r>
      <w:r w:rsidR="007C682C">
        <w:t xml:space="preserve">, eerste </w:t>
      </w:r>
      <w:r>
        <w:t xml:space="preserve">lid. </w:t>
      </w:r>
    </w:p>
    <w:p w:rsidR="00F808B6" w:rsidRDefault="00F808B6" w:rsidP="00007EE7"/>
    <w:p w:rsidR="00F808B6" w:rsidRDefault="00F808B6" w:rsidP="00007EE7"/>
    <w:p w:rsidR="00007EE7" w:rsidRDefault="00007EE7" w:rsidP="00007EE7">
      <w:r>
        <w:lastRenderedPageBreak/>
        <w:t xml:space="preserve">De Centrale Dienst In- en Uitvoer </w:t>
      </w:r>
      <w:r w:rsidR="007C682C">
        <w:t xml:space="preserve">van de Douane </w:t>
      </w:r>
      <w:r>
        <w:t>bewaart gegevens over afgegeven vergunningen voor uitvoer van conventionele wapens en meldingen van doorvoer voor een periode van tien jaar.</w:t>
      </w:r>
      <w:r w:rsidR="00ED1A64">
        <w:t xml:space="preserve"> </w:t>
      </w:r>
      <w:r w:rsidR="00F808B6">
        <w:t>D</w:t>
      </w:r>
      <w:r w:rsidR="00ED1A64">
        <w:t>e</w:t>
      </w:r>
      <w:r w:rsidR="00F808B6">
        <w:t>ze</w:t>
      </w:r>
      <w:r w:rsidR="00ED1A64">
        <w:t xml:space="preserve"> reeds bestaande praktijk dient </w:t>
      </w:r>
      <w:r w:rsidR="00F808B6">
        <w:t xml:space="preserve">overigens nog </w:t>
      </w:r>
      <w:r w:rsidR="00ED1A64">
        <w:t>te worden vastgelegd in de op basis van artikel 5 van de Archiefwet vastgestelde relevante selectielijst. Dit zal op korte termijn gebeuren.</w:t>
      </w:r>
    </w:p>
    <w:p w:rsidR="00007EE7" w:rsidRDefault="00007EE7" w:rsidP="00007EE7"/>
    <w:p w:rsidR="006747BB" w:rsidRDefault="00697E6F" w:rsidP="002145E0">
      <w:pPr>
        <w:rPr>
          <w:b/>
          <w:bCs/>
        </w:rPr>
      </w:pPr>
      <w:r w:rsidRPr="00697E6F">
        <w:rPr>
          <w:b/>
          <w:bCs/>
        </w:rPr>
        <w:t>Artikel 13:</w:t>
      </w:r>
      <w:r w:rsidR="006747BB">
        <w:rPr>
          <w:b/>
          <w:bCs/>
        </w:rPr>
        <w:t xml:space="preserve"> Verslag</w:t>
      </w:r>
      <w:r w:rsidR="00AA6A93">
        <w:rPr>
          <w:b/>
          <w:bCs/>
        </w:rPr>
        <w:t>leg</w:t>
      </w:r>
      <w:r w:rsidR="006747BB">
        <w:rPr>
          <w:b/>
          <w:bCs/>
        </w:rPr>
        <w:t>ging</w:t>
      </w:r>
    </w:p>
    <w:p w:rsidR="00007EE7" w:rsidRDefault="00007EE7" w:rsidP="00007EE7">
      <w:r>
        <w:t>Rapportage over relevante wetgeving en afgegeven vergunningen is essentieel voor toezicht op</w:t>
      </w:r>
      <w:r w:rsidR="00F35D61">
        <w:t xml:space="preserve"> naleving van het V</w:t>
      </w:r>
      <w:r>
        <w:t xml:space="preserve">erdrag door </w:t>
      </w:r>
      <w:r w:rsidR="00F35D61">
        <w:t>verdragspartijen</w:t>
      </w:r>
      <w:r>
        <w:t>. Nederland heeft zich dan ook ingezet voor een effectief artikel over verplichte rapportages. De verplichting valt uiteen in twee onderdelen:</w:t>
      </w:r>
    </w:p>
    <w:p w:rsidR="00007EE7" w:rsidRDefault="00007EE7" w:rsidP="00007EE7">
      <w:r>
        <w:t>-</w:t>
      </w:r>
      <w:r>
        <w:tab/>
      </w:r>
      <w:r w:rsidR="007C682C">
        <w:t xml:space="preserve">iedere </w:t>
      </w:r>
      <w:r w:rsidR="00F35D61">
        <w:t>verdragspartij</w:t>
      </w:r>
      <w:r>
        <w:t xml:space="preserve"> dien</w:t>
      </w:r>
      <w:r w:rsidR="007C682C">
        <w:t>t</w:t>
      </w:r>
      <w:r>
        <w:t xml:space="preserve"> eenmalig, binnen een jaar na inwerkingtreding van het </w:t>
      </w:r>
      <w:r w:rsidR="00F35D61">
        <w:t>V</w:t>
      </w:r>
      <w:r>
        <w:t xml:space="preserve">erdrag een initieel rapport in te dienen </w:t>
      </w:r>
      <w:r w:rsidR="00286FD0">
        <w:t xml:space="preserve">waarin wordt aangegeven welke </w:t>
      </w:r>
      <w:r>
        <w:t xml:space="preserve">maatregelen </w:t>
      </w:r>
      <w:r w:rsidR="00286FD0">
        <w:t xml:space="preserve">zijn </w:t>
      </w:r>
      <w:r>
        <w:t xml:space="preserve">genomen om het </w:t>
      </w:r>
      <w:r w:rsidR="00F35D61">
        <w:t>V</w:t>
      </w:r>
      <w:r>
        <w:t xml:space="preserve">erdrag </w:t>
      </w:r>
      <w:r w:rsidR="00286FD0">
        <w:t xml:space="preserve">op </w:t>
      </w:r>
      <w:r>
        <w:t xml:space="preserve">nationaal </w:t>
      </w:r>
      <w:r w:rsidR="00286FD0">
        <w:t xml:space="preserve">niveau </w:t>
      </w:r>
      <w:r>
        <w:t>te</w:t>
      </w:r>
      <w:r w:rsidR="00286FD0">
        <w:t>n uitvoer te leggen</w:t>
      </w:r>
      <w:r>
        <w:t xml:space="preserve"> (nationale wetgeving, controle lijsten van conventionele wapens en overige administratieve maatregelen).</w:t>
      </w:r>
    </w:p>
    <w:p w:rsidR="00007EE7" w:rsidRDefault="00007EE7" w:rsidP="00007EE7">
      <w:r>
        <w:t>-</w:t>
      </w:r>
      <w:r>
        <w:tab/>
        <w:t xml:space="preserve">Daarnaast dienen verdragspartijen jaarlijks vóór 31 mei een rapportage in te dienen bij het secretariaat van het </w:t>
      </w:r>
      <w:r w:rsidR="00F35D61">
        <w:t>V</w:t>
      </w:r>
      <w:r>
        <w:t xml:space="preserve">erdrag met een overzicht van afgegeven vergunningen of daadwerkelijk gerealiseerde </w:t>
      </w:r>
      <w:r w:rsidR="00E453DC">
        <w:t>uitvoer</w:t>
      </w:r>
      <w:r>
        <w:t xml:space="preserve"> en </w:t>
      </w:r>
      <w:r w:rsidR="00E453DC">
        <w:t>invoer</w:t>
      </w:r>
      <w:r>
        <w:t xml:space="preserve"> van conventionele wapens.</w:t>
      </w:r>
    </w:p>
    <w:p w:rsidR="006747BB" w:rsidRDefault="00D2253D" w:rsidP="00007EE7">
      <w:r>
        <w:t xml:space="preserve">Nederland rapporteert </w:t>
      </w:r>
      <w:r w:rsidR="00F35D61">
        <w:t xml:space="preserve">reeds </w:t>
      </w:r>
      <w:r>
        <w:t xml:space="preserve">jaarlijks </w:t>
      </w:r>
      <w:r w:rsidR="00F35D61">
        <w:t xml:space="preserve">bij het </w:t>
      </w:r>
      <w:proofErr w:type="spellStart"/>
      <w:r w:rsidR="00007EE7">
        <w:t>UNRoCA</w:t>
      </w:r>
      <w:proofErr w:type="spellEnd"/>
      <w:r w:rsidR="003B181F">
        <w:t xml:space="preserve"> </w:t>
      </w:r>
      <w:r w:rsidR="00007EE7">
        <w:t>dat jaarlijk</w:t>
      </w:r>
      <w:r w:rsidR="00F35D61">
        <w:t>s</w:t>
      </w:r>
      <w:r w:rsidR="00007EE7">
        <w:t xml:space="preserve">e rapporten uitbrengt op basis van vrijwillige rapporten van VN-lidstaten. Voor verdragspartijen bij het </w:t>
      </w:r>
      <w:r w:rsidR="00587D8C">
        <w:t>Verdrag</w:t>
      </w:r>
      <w:r w:rsidR="00007EE7">
        <w:t xml:space="preserve"> worden deze </w:t>
      </w:r>
      <w:r w:rsidR="00587D8C">
        <w:t xml:space="preserve">jaarlijkse </w:t>
      </w:r>
      <w:r w:rsidR="00007EE7">
        <w:t>rapportages verplicht.</w:t>
      </w:r>
      <w:r w:rsidR="00286FD0">
        <w:t xml:space="preserve"> De rapporten op basis van het Verdrag worden door het </w:t>
      </w:r>
      <w:r w:rsidR="006A2F63">
        <w:t>s</w:t>
      </w:r>
      <w:r w:rsidR="00286FD0">
        <w:t>ecretariaat verspreid onder de overige verdragspartijen. Het Verdrag verplicht verdragspartijen niet om de rapporten openbaar te maken.</w:t>
      </w:r>
    </w:p>
    <w:p w:rsidR="00007EE7" w:rsidRPr="006747BB" w:rsidRDefault="00007EE7" w:rsidP="002145E0"/>
    <w:p w:rsidR="006747BB" w:rsidRPr="007F38D8" w:rsidRDefault="006747BB" w:rsidP="002145E0">
      <w:pPr>
        <w:rPr>
          <w:b/>
          <w:bCs/>
        </w:rPr>
      </w:pPr>
      <w:r w:rsidRPr="007F38D8">
        <w:rPr>
          <w:b/>
          <w:bCs/>
        </w:rPr>
        <w:t>Artikel 15</w:t>
      </w:r>
      <w:r w:rsidR="00CC1CBE" w:rsidRPr="007F38D8">
        <w:rPr>
          <w:b/>
          <w:bCs/>
        </w:rPr>
        <w:t xml:space="preserve"> en 16</w:t>
      </w:r>
      <w:r w:rsidRPr="007F38D8">
        <w:rPr>
          <w:b/>
          <w:bCs/>
        </w:rPr>
        <w:t>: Internationale samenwerking</w:t>
      </w:r>
      <w:r w:rsidR="00CC1CBE" w:rsidRPr="007F38D8">
        <w:rPr>
          <w:b/>
          <w:bCs/>
        </w:rPr>
        <w:t xml:space="preserve"> en Internationale bijstand</w:t>
      </w:r>
    </w:p>
    <w:p w:rsidR="00EA3A1F" w:rsidRDefault="00CC1CBE" w:rsidP="002145E0">
      <w:r>
        <w:t xml:space="preserve">De artikelen 15 en 16 beogen een aanzet te geven tot bevordering van de samenwerking tussen verdragspartijen en </w:t>
      </w:r>
      <w:r w:rsidR="007F38D8">
        <w:t xml:space="preserve">een basis te bieden voor het verlenen van onderlinge bijstand bij de tenuitvoerlegging van het </w:t>
      </w:r>
      <w:r w:rsidR="00071B9D">
        <w:t>V</w:t>
      </w:r>
      <w:r w:rsidR="007F38D8">
        <w:t xml:space="preserve">erdrag. Ten aanzien van internationale samenwerking legt het Verdrag daarbij sterk de nadruk op de uitwisseling </w:t>
      </w:r>
      <w:r w:rsidR="007F69B7">
        <w:t xml:space="preserve">van informatie tussen verdragspartijen </w:t>
      </w:r>
      <w:r w:rsidR="00CF267D">
        <w:t xml:space="preserve">en het delen </w:t>
      </w:r>
      <w:r w:rsidR="007F38D8">
        <w:t>van informatie</w:t>
      </w:r>
      <w:r w:rsidR="00EA3A1F">
        <w:t>.</w:t>
      </w:r>
    </w:p>
    <w:p w:rsidR="00EA3A1F" w:rsidRDefault="00EA3A1F" w:rsidP="002145E0"/>
    <w:p w:rsidR="007F69B7" w:rsidRDefault="007F69B7" w:rsidP="002145E0">
      <w:r>
        <w:t>Zo worden de verdragspartijen ingevolge artikel 15, vierde lid, a</w:t>
      </w:r>
      <w:r w:rsidR="00457117">
        <w:t>angemoedigd informatie te delen ten aanzien van</w:t>
      </w:r>
      <w:r>
        <w:t xml:space="preserve"> illegale activiteiten of illegale actoren</w:t>
      </w:r>
      <w:r w:rsidR="00EA3A1F">
        <w:t xml:space="preserve"> met het oog op het voorkomen en uitbannen van omleiding van conventionele wapens</w:t>
      </w:r>
      <w:r w:rsidR="003D2C05">
        <w:t xml:space="preserve">. Deze oproep geldt evenwel alleen voor de conventionele wapens die onder artikel 2 van het Verdrag vallen en ziet als zodanig niet op eventuele </w:t>
      </w:r>
      <w:r w:rsidR="00597600">
        <w:t xml:space="preserve">samenwerking ten aanzien van illegale activiteiten en actoren </w:t>
      </w:r>
      <w:r w:rsidR="00587D8C">
        <w:t xml:space="preserve">met betrekking tot </w:t>
      </w:r>
      <w:r w:rsidR="00597600">
        <w:t xml:space="preserve"> de omleiding van munitie en onderdelen en componenten. Het Verdrag sluit samenwerking ten aanzien van deze goederen echter ook niet uit. </w:t>
      </w:r>
      <w:r>
        <w:t>In artikel 15, v</w:t>
      </w:r>
      <w:r w:rsidR="00A83F2E">
        <w:t>ijf</w:t>
      </w:r>
      <w:r>
        <w:t>de lid</w:t>
      </w:r>
      <w:r w:rsidR="00A83F2E">
        <w:t>, is bepaald dat verdragspartijen overeen kunnen komen elkaar bijstand te verlenen ten aanzien van nationale strafrechtelijke procedures in verband met de overtreding van nationale wetgeving ter uitvoering van verplichtingen uit hoofde van het Verdrag.</w:t>
      </w:r>
    </w:p>
    <w:p w:rsidR="00A83F2E" w:rsidRDefault="00A83F2E" w:rsidP="002145E0"/>
    <w:p w:rsidR="00F808B6" w:rsidRDefault="00597600" w:rsidP="00921B05">
      <w:r>
        <w:t>A</w:t>
      </w:r>
      <w:r w:rsidR="00A83F2E">
        <w:t xml:space="preserve">rtikel 15, zesde lid, </w:t>
      </w:r>
      <w:r>
        <w:t xml:space="preserve">verwijst naar corrupte praktijken bij de overdracht van conventionele wapens die onder artikel 2 vallen (zie opmerking hierboven ten aanzien van munitie en onderdelen en componenten) en </w:t>
      </w:r>
      <w:r w:rsidR="00921B05">
        <w:t xml:space="preserve">moedigt verdragspartijen aan om </w:t>
      </w:r>
      <w:r w:rsidR="00C00938">
        <w:t xml:space="preserve">nationale maatregelen te nemen en </w:t>
      </w:r>
      <w:r w:rsidR="00921B05">
        <w:t>met elkaar samen te werken</w:t>
      </w:r>
      <w:r w:rsidR="00A83F2E">
        <w:t xml:space="preserve"> </w:t>
      </w:r>
      <w:r w:rsidR="00921B05">
        <w:t xml:space="preserve">ter voorkoming </w:t>
      </w:r>
      <w:r w:rsidR="00C00938">
        <w:t>van zulke praktijken</w:t>
      </w:r>
      <w:r w:rsidR="00394152">
        <w:t xml:space="preserve">. </w:t>
      </w:r>
    </w:p>
    <w:p w:rsidR="005E3013" w:rsidRDefault="00C12A4C" w:rsidP="00921B05">
      <w:r>
        <w:lastRenderedPageBreak/>
        <w:t>Tijdens het onderhandelingsproces is nogal geschoven met de</w:t>
      </w:r>
      <w:r w:rsidR="00C00938">
        <w:t>ze</w:t>
      </w:r>
      <w:r>
        <w:t xml:space="preserve"> bepaling</w:t>
      </w:r>
      <w:r w:rsidR="004A58E3">
        <w:t>, die in de concept-verdragstekst van juli 2012 nog was ondergebracht bij het artikel over de toetsing van de uitvoer (huidig artikel 7). Daardoor werd nadrukkelijk</w:t>
      </w:r>
      <w:r w:rsidR="00CB2530">
        <w:t>er dan nu het geval is</w:t>
      </w:r>
      <w:r w:rsidR="004A58E3">
        <w:t xml:space="preserve"> de relatie gelegd tussen het toestaan van een uitvoer van conventionele wapens en de maatregelen die verdragspartijen in verband daarmee (gezamenlijk) dienden te overwegen teneinde te voorkomen dat de voorgenomen uitvoer voorwerp zou worden van corrupte praktijken.</w:t>
      </w:r>
      <w:r w:rsidR="00CB2530">
        <w:t xml:space="preserve"> </w:t>
      </w:r>
    </w:p>
    <w:p w:rsidR="00F808B6" w:rsidRDefault="00F808B6" w:rsidP="00921B05"/>
    <w:p w:rsidR="004A58E3" w:rsidRDefault="00CB2530" w:rsidP="00921B05">
      <w:r>
        <w:t xml:space="preserve">Het huidige artikel benadrukt meer het belang van het nemen van nationale maatregelen ter bestrijding van corruptie bij de overdracht van </w:t>
      </w:r>
      <w:r w:rsidR="00663602">
        <w:t xml:space="preserve">conventionele </w:t>
      </w:r>
      <w:r>
        <w:t>wapens in algemene zin. Vanuit Nederlands oogpunt is vooral van belang dat het element van corruptie niet uit het Verdrag is verdwenen.</w:t>
      </w:r>
    </w:p>
    <w:p w:rsidR="00663602" w:rsidRDefault="00663602" w:rsidP="002145E0"/>
    <w:p w:rsidR="00F35D61" w:rsidRDefault="001B4264" w:rsidP="002145E0">
      <w:r>
        <w:t xml:space="preserve">In </w:t>
      </w:r>
      <w:r w:rsidR="00FB50CF">
        <w:t>a</w:t>
      </w:r>
      <w:r>
        <w:t>rtikel 16 is het principe neergelegd dat elke verdragspartij bijstand kan inroepen en dat andere verdragspartijen een verzoek om bijstand honoreren</w:t>
      </w:r>
      <w:r w:rsidR="00FB50CF">
        <w:t xml:space="preserve"> indien zij hiertoe in staat zijn. Het artikel is vooral bedoeld om ontwikkelingslanden te helpen bij de tenuitvoerlegging van het Verdrag. Het Verdrag voorziet daartoe ook, in artikel 16, derde lid, in de oprichting van een vrijwillig trustfonds door verdragspartijen.</w:t>
      </w:r>
    </w:p>
    <w:p w:rsidR="006747BB" w:rsidRDefault="00FB50CF" w:rsidP="002145E0">
      <w:r>
        <w:t xml:space="preserve"> </w:t>
      </w:r>
    </w:p>
    <w:p w:rsidR="006747BB" w:rsidRPr="00F16371" w:rsidRDefault="006747BB" w:rsidP="002145E0">
      <w:pPr>
        <w:rPr>
          <w:b/>
          <w:bCs/>
        </w:rPr>
      </w:pPr>
      <w:r w:rsidRPr="00F16371">
        <w:rPr>
          <w:b/>
          <w:bCs/>
        </w:rPr>
        <w:t xml:space="preserve">Artikel 17: Conferentie van </w:t>
      </w:r>
      <w:r w:rsidR="006B4457">
        <w:rPr>
          <w:b/>
          <w:bCs/>
        </w:rPr>
        <w:t>de staten die partij zijn</w:t>
      </w:r>
    </w:p>
    <w:p w:rsidR="00F16371" w:rsidRDefault="00FB50CF" w:rsidP="002145E0">
      <w:r>
        <w:t>Artikel 17</w:t>
      </w:r>
      <w:r w:rsidR="00A72EBE">
        <w:t xml:space="preserve">, eerste lid, </w:t>
      </w:r>
      <w:r>
        <w:t xml:space="preserve">bepaalt dat uiterlijk een jaar na inwerkingtreding van het Verdrag een </w:t>
      </w:r>
      <w:r w:rsidR="00D46859">
        <w:t xml:space="preserve">Conferentie van staten die partij zijn (hierna: </w:t>
      </w:r>
      <w:r w:rsidR="00286FD0">
        <w:t xml:space="preserve">de </w:t>
      </w:r>
      <w:r>
        <w:t>Conferentie</w:t>
      </w:r>
      <w:r w:rsidR="00D46859">
        <w:t>)</w:t>
      </w:r>
      <w:r>
        <w:t xml:space="preserve"> zal worden bijeengeroepen.</w:t>
      </w:r>
      <w:r w:rsidR="00A72EBE">
        <w:t xml:space="preserve"> In dit artikel is niets vastgelegd ten aanzien van de frequentie van vergaderingen van de </w:t>
      </w:r>
      <w:r w:rsidR="00731163">
        <w:t>Conferentie.</w:t>
      </w:r>
      <w:r w:rsidR="00A72EBE">
        <w:t xml:space="preserve"> D</w:t>
      </w:r>
      <w:r w:rsidR="006B4457">
        <w:t>it</w:t>
      </w:r>
      <w:r w:rsidR="00A72EBE">
        <w:t xml:space="preserve"> en andere zaken, waaronder het aannemen van procedureregels voor de Conferentie zullen tijdens de eerste </w:t>
      </w:r>
      <w:r w:rsidR="000C7CA6">
        <w:t>samenkomst</w:t>
      </w:r>
      <w:r w:rsidR="00A72EBE">
        <w:t xml:space="preserve"> moeten worden geregeld. In tegenstelling tot </w:t>
      </w:r>
      <w:r w:rsidR="008D3AB2">
        <w:t xml:space="preserve">eerdere </w:t>
      </w:r>
      <w:r w:rsidR="00731163">
        <w:t>conceptteksten</w:t>
      </w:r>
      <w:r w:rsidR="008D3AB2">
        <w:t xml:space="preserve"> is in </w:t>
      </w:r>
      <w:r w:rsidR="00A72EBE">
        <w:t xml:space="preserve">artikel 17, tweede lid, vastgelegd dat de </w:t>
      </w:r>
      <w:r w:rsidR="00A72EBE" w:rsidRPr="00F35D61">
        <w:t>procedureregels</w:t>
      </w:r>
      <w:r w:rsidR="00A72EBE">
        <w:t xml:space="preserve"> </w:t>
      </w:r>
      <w:r w:rsidR="008D3AB2">
        <w:t xml:space="preserve">van de Conferentie </w:t>
      </w:r>
      <w:r w:rsidR="00A72EBE">
        <w:t xml:space="preserve">bij consensus zullen worden vastgesteld. Een en ander hoeft overigens niet te betekenen dat de besluitvorming door de Conferentie </w:t>
      </w:r>
      <w:r w:rsidR="008D3AB2">
        <w:t>zelf ook bij consensus zal geschieden. Hierover besluit de Conferentie.</w:t>
      </w:r>
    </w:p>
    <w:p w:rsidR="008D3AB2" w:rsidRDefault="008D3AB2" w:rsidP="002145E0"/>
    <w:p w:rsidR="008D3AB2" w:rsidRDefault="008D3AB2" w:rsidP="002145E0">
      <w:r>
        <w:t xml:space="preserve">Van de Conferentie wordt ook verwacht dat zij financiële regels </w:t>
      </w:r>
      <w:r w:rsidR="00286FD0">
        <w:t xml:space="preserve">opstelt </w:t>
      </w:r>
      <w:r>
        <w:t xml:space="preserve">voor zichzelf, voor eventuele door haar in te stellen hulporganen en ten behoeve van het functioneren van het secretariaat. Tijdens de eerste </w:t>
      </w:r>
      <w:r w:rsidR="000C7CA6">
        <w:t xml:space="preserve">vergadering </w:t>
      </w:r>
      <w:r>
        <w:t xml:space="preserve">zal ook moeten worden besloten over een budget, dat zal gelden tot de eerstvolgende </w:t>
      </w:r>
      <w:r w:rsidR="000928BA">
        <w:t xml:space="preserve">reguliere </w:t>
      </w:r>
      <w:r w:rsidR="000C7CA6">
        <w:t xml:space="preserve">vergadering </w:t>
      </w:r>
      <w:r>
        <w:t>van de Conferentie.</w:t>
      </w:r>
    </w:p>
    <w:p w:rsidR="008D3AB2" w:rsidRDefault="008D3AB2" w:rsidP="002145E0"/>
    <w:p w:rsidR="00FE5BD7" w:rsidRDefault="000C7CA6" w:rsidP="002145E0">
      <w:r>
        <w:t xml:space="preserve">De belangrijkste taak van de Conferentie zal zijn het toetsen van de tenuitvoerlegging van het Verdrag. Belangrijk punt hierbij is dat nadrukkelijk is overeengekomen dat de Conferentie bevoegd is zich te buigen over ontwikkelingen op het gebied van conventionele wapens. Zoals reeds hierboven is vermeld (artikel 5 en artikel 14) is met deze toevoeging vooral beoogd </w:t>
      </w:r>
      <w:r w:rsidR="00FE5BD7">
        <w:t>een ingang te bieden om de definities van conventionele wapens onder de reikwijdte van het Verdrag in de toekomst aan te scherpen.</w:t>
      </w:r>
    </w:p>
    <w:p w:rsidR="00721CE2" w:rsidRDefault="00721CE2" w:rsidP="002145E0"/>
    <w:p w:rsidR="006747BB" w:rsidRPr="00F16371" w:rsidRDefault="006747BB" w:rsidP="002145E0">
      <w:pPr>
        <w:rPr>
          <w:b/>
          <w:bCs/>
        </w:rPr>
      </w:pPr>
      <w:r w:rsidRPr="00F16371">
        <w:rPr>
          <w:b/>
          <w:bCs/>
        </w:rPr>
        <w:t>Artikel 18: Secretariaat</w:t>
      </w:r>
    </w:p>
    <w:p w:rsidR="005E3013" w:rsidRDefault="00811502" w:rsidP="002145E0">
      <w:r>
        <w:t>Verdragspartijen zullen bij de tenuitvoerlegging van het Verdrag worden ondersteund door een secretariaat</w:t>
      </w:r>
      <w:r w:rsidR="00C56E43">
        <w:t>. Het secretariaat zal een belangrijke faciliterende rol hebben in de communicatie tussen verdragspartij</w:t>
      </w:r>
      <w:r w:rsidR="009D7F13">
        <w:t>en</w:t>
      </w:r>
      <w:r w:rsidR="00C56E43">
        <w:t xml:space="preserve"> </w:t>
      </w:r>
      <w:r w:rsidR="009D7F13">
        <w:t xml:space="preserve">onder andere ten behoeve van het beschikbaar stellen aan alle verdragspartijen van nationale rapporten ontvangen overeenkomstig artikel 13, het bijhouden en </w:t>
      </w:r>
      <w:r w:rsidR="009D7F13">
        <w:lastRenderedPageBreak/>
        <w:t>actualiseren van de lijst met nationale contactpunten overeenkomstig artikel 5, zesde lid, het afstemmen van vraag en aanbod bij het verlenen van internationale bijstand overeenkomstig artikel 16</w:t>
      </w:r>
      <w:r w:rsidR="00E7166D">
        <w:t xml:space="preserve"> en </w:t>
      </w:r>
      <w:r w:rsidR="00147290">
        <w:t>de</w:t>
      </w:r>
      <w:r w:rsidR="00E7166D">
        <w:t xml:space="preserve"> voorbereiding en ondersteuning </w:t>
      </w:r>
      <w:r w:rsidR="00FF6524">
        <w:t>van vergaderingen van de C</w:t>
      </w:r>
      <w:r w:rsidR="00E7166D">
        <w:t>onferentie</w:t>
      </w:r>
      <w:r w:rsidR="009D7F13">
        <w:t xml:space="preserve">. De Conferentie kan besluiten ook andere taken aan het secretariaat op te dragen. </w:t>
      </w:r>
      <w:r>
        <w:t xml:space="preserve">Het Verdrag </w:t>
      </w:r>
      <w:r w:rsidR="00C56E43">
        <w:t xml:space="preserve">voorziet </w:t>
      </w:r>
      <w:r w:rsidR="009D7F13">
        <w:t xml:space="preserve">in de </w:t>
      </w:r>
      <w:r w:rsidR="00C56E43">
        <w:t>oprichting van een voorlopi</w:t>
      </w:r>
      <w:r w:rsidR="00E7166D">
        <w:t>g sec</w:t>
      </w:r>
      <w:r w:rsidR="00E41EC4">
        <w:t xml:space="preserve">retariaat, zodat op het moment van inwerkingtreding van het Verdrag direct uitvoering </w:t>
      </w:r>
      <w:r w:rsidR="00D864E7">
        <w:t xml:space="preserve">kan worden gegeven aan de toebedeelde taken, </w:t>
      </w:r>
      <w:r w:rsidR="00E41EC4">
        <w:t>in aanloop naar de eerste vergadering van de Conferentie</w:t>
      </w:r>
      <w:r w:rsidR="006B4457">
        <w:t>.</w:t>
      </w:r>
      <w:r w:rsidR="0077751B">
        <w:t xml:space="preserve"> </w:t>
      </w:r>
    </w:p>
    <w:p w:rsidR="00D864E7" w:rsidRDefault="0077751B" w:rsidP="002145E0">
      <w:r>
        <w:t>Na die eerste vergadering zal</w:t>
      </w:r>
      <w:r w:rsidR="00D864E7">
        <w:t xml:space="preserve"> het secretariaat een permanent karakter krijgen.</w:t>
      </w:r>
      <w:r w:rsidR="00E41EC4">
        <w:t xml:space="preserve"> </w:t>
      </w:r>
      <w:r w:rsidR="00D864E7">
        <w:t xml:space="preserve">Over de locatie van het secretariaat </w:t>
      </w:r>
      <w:r w:rsidR="000005A9">
        <w:t>is nog geen beslissing genomen</w:t>
      </w:r>
      <w:r w:rsidR="007F0647">
        <w:t xml:space="preserve">. Nederland heeft </w:t>
      </w:r>
      <w:r w:rsidR="00FF6524">
        <w:t xml:space="preserve">wel </w:t>
      </w:r>
      <w:r w:rsidR="00D864E7">
        <w:t xml:space="preserve">een lichte voorkeur </w:t>
      </w:r>
      <w:r w:rsidR="007F0647">
        <w:t xml:space="preserve">uitgesproken </w:t>
      </w:r>
      <w:r w:rsidR="00D864E7">
        <w:t xml:space="preserve">voor New York als zetel voor het secretariaat, mede gelet op </w:t>
      </w:r>
      <w:r w:rsidR="00C3065E">
        <w:t xml:space="preserve">het feit dat </w:t>
      </w:r>
      <w:r w:rsidR="007F0647">
        <w:t xml:space="preserve">er overlap bestaat met de taken die reeds door het UN Office </w:t>
      </w:r>
      <w:proofErr w:type="spellStart"/>
      <w:r w:rsidR="007F0647">
        <w:t>for</w:t>
      </w:r>
      <w:proofErr w:type="spellEnd"/>
      <w:r w:rsidR="007F0647">
        <w:t xml:space="preserve"> </w:t>
      </w:r>
      <w:proofErr w:type="spellStart"/>
      <w:r w:rsidR="007F0647">
        <w:t>Disarmament</w:t>
      </w:r>
      <w:proofErr w:type="spellEnd"/>
      <w:r w:rsidR="007F0647">
        <w:t xml:space="preserve"> </w:t>
      </w:r>
      <w:proofErr w:type="spellStart"/>
      <w:r w:rsidR="007F0647">
        <w:t>Affairs</w:t>
      </w:r>
      <w:proofErr w:type="spellEnd"/>
      <w:r w:rsidR="007F0647">
        <w:t xml:space="preserve"> (UNODA) </w:t>
      </w:r>
      <w:r w:rsidR="00FF6524">
        <w:t xml:space="preserve">vanuit </w:t>
      </w:r>
      <w:r>
        <w:t>die plaats</w:t>
      </w:r>
      <w:r w:rsidR="00FF6524">
        <w:t xml:space="preserve"> </w:t>
      </w:r>
      <w:r w:rsidR="007F0647">
        <w:t xml:space="preserve">worden uitgevoerd </w:t>
      </w:r>
      <w:r w:rsidR="00FF6524">
        <w:t>en d</w:t>
      </w:r>
      <w:r w:rsidR="00147290">
        <w:t>erhalve</w:t>
      </w:r>
      <w:r w:rsidR="00FF6524">
        <w:t xml:space="preserve"> </w:t>
      </w:r>
      <w:r w:rsidR="00C3065E">
        <w:t xml:space="preserve">de </w:t>
      </w:r>
      <w:r w:rsidR="00D864E7">
        <w:t xml:space="preserve">vereiste deskundigheid </w:t>
      </w:r>
      <w:r w:rsidR="00FF6524">
        <w:t xml:space="preserve">ook </w:t>
      </w:r>
      <w:r w:rsidR="000005A9">
        <w:t>reeds aanwezig is</w:t>
      </w:r>
      <w:r w:rsidR="00FF6524">
        <w:t xml:space="preserve">, alsmede </w:t>
      </w:r>
      <w:r w:rsidR="00D864E7">
        <w:t>de wens een secretariaat van bescheiden omvang te creëren</w:t>
      </w:r>
      <w:r w:rsidR="00FF6524">
        <w:t>.</w:t>
      </w:r>
    </w:p>
    <w:p w:rsidR="00D864E7" w:rsidRDefault="00D864E7" w:rsidP="002145E0"/>
    <w:p w:rsidR="006747BB" w:rsidRPr="00F16371" w:rsidRDefault="006747BB" w:rsidP="002145E0">
      <w:pPr>
        <w:rPr>
          <w:b/>
          <w:bCs/>
        </w:rPr>
      </w:pPr>
      <w:r w:rsidRPr="00F16371">
        <w:rPr>
          <w:b/>
          <w:bCs/>
        </w:rPr>
        <w:t>Artikel 19: Geschillenbeslechting</w:t>
      </w:r>
    </w:p>
    <w:p w:rsidR="00F16371" w:rsidRDefault="00FE5BD7" w:rsidP="002145E0">
      <w:r>
        <w:t>Artikel 19 laat verdragspartijen de vrije keuze om in overleg en met wederzijdse instemming eventuele geschillen over de uitlegging en toepassing van het Verdrag te beslechten op vreedzame wijze. Het artikel is grotendeels gebaseerd op artikel 33 van het Handvest van de Verenigde Naties</w:t>
      </w:r>
      <w:r w:rsidR="00C3790E">
        <w:t xml:space="preserve">. </w:t>
      </w:r>
      <w:r w:rsidR="00CE0B80">
        <w:t>D</w:t>
      </w:r>
      <w:r w:rsidR="00C3790E">
        <w:t xml:space="preserve">e mogelijkheid van </w:t>
      </w:r>
      <w:r w:rsidR="00C328E0">
        <w:t xml:space="preserve">het </w:t>
      </w:r>
      <w:r w:rsidR="00C3790E">
        <w:t>aanhangig</w:t>
      </w:r>
      <w:r w:rsidR="00C328E0">
        <w:t xml:space="preserve"> maken</w:t>
      </w:r>
      <w:r w:rsidR="00C3790E">
        <w:t xml:space="preserve"> van een geschil bij het Internationaal Gerechtshof </w:t>
      </w:r>
      <w:r w:rsidR="00CE0B80">
        <w:t xml:space="preserve">wordt </w:t>
      </w:r>
      <w:r w:rsidR="00C3790E">
        <w:t xml:space="preserve">niet uitdrukkelijk genoemd in het </w:t>
      </w:r>
      <w:r w:rsidR="00CE0B80">
        <w:t>artikel</w:t>
      </w:r>
      <w:r w:rsidR="00C3790E">
        <w:t xml:space="preserve">, </w:t>
      </w:r>
      <w:r w:rsidR="00CE0B80">
        <w:t>maar behoort wel tot de mogelijkheden</w:t>
      </w:r>
      <w:r w:rsidR="00C3790E">
        <w:t xml:space="preserve">, indien partijen hiervoor zouden kiezen. </w:t>
      </w:r>
      <w:r w:rsidR="00CE0B80">
        <w:t xml:space="preserve">In artikel 19, tweede lid, is wel uitdrukkelijk neergelegd dat </w:t>
      </w:r>
      <w:r w:rsidR="006B4457">
        <w:t>verdrags</w:t>
      </w:r>
      <w:r w:rsidR="00CE0B80">
        <w:t>partijen gezamenlijk kunnen besluiten geschillen aan arbitrage te onderwerpen.</w:t>
      </w:r>
    </w:p>
    <w:p w:rsidR="00F16371" w:rsidRDefault="00F16371" w:rsidP="002145E0"/>
    <w:p w:rsidR="006747BB" w:rsidRPr="00775BEE" w:rsidRDefault="006747BB" w:rsidP="002145E0">
      <w:pPr>
        <w:rPr>
          <w:b/>
          <w:bCs/>
        </w:rPr>
      </w:pPr>
      <w:r w:rsidRPr="00775BEE">
        <w:rPr>
          <w:b/>
          <w:bCs/>
        </w:rPr>
        <w:t>Artikel 20: Wijzigingen</w:t>
      </w:r>
    </w:p>
    <w:p w:rsidR="005408D2" w:rsidRDefault="00C51F69" w:rsidP="002145E0">
      <w:r>
        <w:t xml:space="preserve">Artikel 20 </w:t>
      </w:r>
      <w:r w:rsidR="00231401">
        <w:t xml:space="preserve"> </w:t>
      </w:r>
      <w:r>
        <w:t>bevat bepalingen over wijz</w:t>
      </w:r>
      <w:r w:rsidR="00026320">
        <w:t>ig</w:t>
      </w:r>
      <w:r>
        <w:t>ing</w:t>
      </w:r>
      <w:r w:rsidR="006B4457">
        <w:t>en</w:t>
      </w:r>
      <w:r>
        <w:t xml:space="preserve"> van het </w:t>
      </w:r>
      <w:r w:rsidR="00A226B1">
        <w:t>V</w:t>
      </w:r>
      <w:r>
        <w:t xml:space="preserve">erdrag. </w:t>
      </w:r>
      <w:r w:rsidR="00A32C61">
        <w:t xml:space="preserve">In artikel </w:t>
      </w:r>
      <w:r w:rsidR="00775BEE">
        <w:t>20</w:t>
      </w:r>
      <w:r w:rsidR="00A32C61">
        <w:t xml:space="preserve">, eerste lid, </w:t>
      </w:r>
      <w:r w:rsidR="00231401">
        <w:t xml:space="preserve">is vastgelegd dat verdragswijzigingen niet eerder dan zes jaar na inwerkingtreding van het </w:t>
      </w:r>
      <w:r w:rsidR="00A226B1">
        <w:t>V</w:t>
      </w:r>
      <w:r w:rsidR="00231401">
        <w:t>erdrag kunnen worden voorgesteld</w:t>
      </w:r>
      <w:r w:rsidR="00A32C61">
        <w:t xml:space="preserve"> (voor een soortgelijke bepaling zie onder meer artikel 121 van het op 17 juli 1998 te Rome tot stand gekomen Statuut van Rome inzake het Internationaal Strafhof) </w:t>
      </w:r>
      <w:r w:rsidR="00231401">
        <w:t xml:space="preserve">en dat de </w:t>
      </w:r>
      <w:r w:rsidR="006B4457">
        <w:t>C</w:t>
      </w:r>
      <w:r w:rsidR="00231401">
        <w:t xml:space="preserve">onferentie </w:t>
      </w:r>
      <w:r w:rsidR="00A32C61">
        <w:t xml:space="preserve">slechts </w:t>
      </w:r>
      <w:r w:rsidR="008F2006">
        <w:t xml:space="preserve">om de </w:t>
      </w:r>
      <w:r w:rsidR="00A32C61">
        <w:t>drie jaar wijzigingsvoorstellen in overweging mag nemen</w:t>
      </w:r>
      <w:r w:rsidR="00231401">
        <w:t>.</w:t>
      </w:r>
    </w:p>
    <w:p w:rsidR="005408D2" w:rsidRDefault="005408D2" w:rsidP="002145E0"/>
    <w:p w:rsidR="005408D2" w:rsidRDefault="00A32C61" w:rsidP="002145E0">
      <w:r>
        <w:t xml:space="preserve">Artikel 20, tweede lid, bepaalt dat een voorstel tot wijziging van het </w:t>
      </w:r>
      <w:r w:rsidR="0077751B">
        <w:t>V</w:t>
      </w:r>
      <w:r>
        <w:t xml:space="preserve">erdrag uiterlijk 180 dagen voor de eerstvolgende vergadering van verdragspartijen </w:t>
      </w:r>
      <w:r w:rsidR="005408D2">
        <w:t xml:space="preserve">die een dergelijk wijziging mag behandelen aan het </w:t>
      </w:r>
      <w:r w:rsidR="006B4457">
        <w:t>s</w:t>
      </w:r>
      <w:r w:rsidR="005408D2">
        <w:t xml:space="preserve">ecretariaat moet worden voorgelegd ter doorgeleiding naar de andere verdragspartijen. Een voorstel tot wijziging zal alleen dan in behandeling worden genomen, indien een meerderheid van de verdragspartijen </w:t>
      </w:r>
      <w:r w:rsidR="007F38D8">
        <w:t xml:space="preserve">binnen een termijn van </w:t>
      </w:r>
      <w:r w:rsidR="005408D2">
        <w:t xml:space="preserve">120 dagen na toezending ervan door het </w:t>
      </w:r>
      <w:r w:rsidR="006B4457">
        <w:t>s</w:t>
      </w:r>
      <w:r w:rsidR="005408D2">
        <w:t>ecretariaat heeft laten weten behandeling ervan te ondersteunen.</w:t>
      </w:r>
    </w:p>
    <w:p w:rsidR="00775BEE" w:rsidRDefault="00775BEE" w:rsidP="002145E0"/>
    <w:p w:rsidR="00775BEE" w:rsidRDefault="00775BEE" w:rsidP="002145E0">
      <w:r>
        <w:t>Artikel 20, derde lid, legt het uitgangspunt vast dat voorgestelde wijzigingen in beginsel bij consensus worden aangenomen</w:t>
      </w:r>
      <w:r w:rsidR="00EB50DF">
        <w:t>. Indien consensus niet mogelijk blijkt</w:t>
      </w:r>
      <w:r>
        <w:t xml:space="preserve">, </w:t>
      </w:r>
      <w:r w:rsidR="00EB50DF">
        <w:t xml:space="preserve">voorziet het </w:t>
      </w:r>
      <w:r w:rsidR="00A226B1">
        <w:t>V</w:t>
      </w:r>
      <w:r w:rsidR="00EB50DF">
        <w:t xml:space="preserve">erdrag </w:t>
      </w:r>
      <w:r>
        <w:t xml:space="preserve">in het uiterste geval </w:t>
      </w:r>
      <w:r w:rsidR="00EB50DF">
        <w:t xml:space="preserve">dat wijzigingen bij </w:t>
      </w:r>
      <w:proofErr w:type="spellStart"/>
      <w:r w:rsidR="00C247EA">
        <w:t>drievierde</w:t>
      </w:r>
      <w:proofErr w:type="spellEnd"/>
      <w:r w:rsidR="00AA6A93">
        <w:t xml:space="preserve"> </w:t>
      </w:r>
      <w:r>
        <w:t xml:space="preserve">meerderheid </w:t>
      </w:r>
      <w:r w:rsidR="00EB50DF">
        <w:t xml:space="preserve">kunnen worden aangenomen. </w:t>
      </w:r>
      <w:r>
        <w:t>Aangenomen wijzigingen treden</w:t>
      </w:r>
      <w:r w:rsidR="00E57ABD">
        <w:t xml:space="preserve"> slechts in werking voor de verdragspartijen die deze hebben aanvaard en wel </w:t>
      </w:r>
      <w:r w:rsidR="00EB50DF">
        <w:t xml:space="preserve">90 dagen na aanvaarding door een meerderheid van </w:t>
      </w:r>
      <w:r w:rsidR="00E57ABD">
        <w:t xml:space="preserve">het aantal </w:t>
      </w:r>
      <w:r w:rsidR="00EB50DF">
        <w:t>verdragspartijen</w:t>
      </w:r>
      <w:r w:rsidR="00E57ABD">
        <w:t xml:space="preserve"> ten tijde van de aanneming ervan. Voor verdragspartijen die de wijzingen daarna aanvaarden, zullen deze inwerking treden 90 dagen na die aanvaarding.</w:t>
      </w:r>
    </w:p>
    <w:p w:rsidR="005408D2" w:rsidRDefault="005408D2" w:rsidP="002145E0"/>
    <w:p w:rsidR="006747BB" w:rsidRPr="00E57ABD" w:rsidRDefault="006747BB" w:rsidP="002145E0">
      <w:pPr>
        <w:rPr>
          <w:b/>
          <w:bCs/>
        </w:rPr>
      </w:pPr>
      <w:r w:rsidRPr="00E57ABD">
        <w:rPr>
          <w:b/>
          <w:bCs/>
        </w:rPr>
        <w:lastRenderedPageBreak/>
        <w:t>Artikel 21</w:t>
      </w:r>
      <w:r w:rsidR="009F51A2" w:rsidRPr="00E57ABD">
        <w:rPr>
          <w:b/>
          <w:bCs/>
        </w:rPr>
        <w:t xml:space="preserve"> en 22</w:t>
      </w:r>
      <w:r w:rsidRPr="00E57ABD">
        <w:rPr>
          <w:b/>
          <w:bCs/>
        </w:rPr>
        <w:t>: Ondertekening, bekrachtiging, aanvaarding, goedkeuring of toetreding</w:t>
      </w:r>
      <w:r w:rsidR="009F51A2" w:rsidRPr="00E57ABD">
        <w:rPr>
          <w:b/>
          <w:bCs/>
        </w:rPr>
        <w:t xml:space="preserve"> en Inwerkingtreding</w:t>
      </w:r>
    </w:p>
    <w:p w:rsidR="004C63D2" w:rsidRDefault="004C63D2" w:rsidP="002145E0">
      <w:r>
        <w:t>Het Verdrag treedt in werkin</w:t>
      </w:r>
      <w:r w:rsidR="00646490">
        <w:t xml:space="preserve">g negentig dagen nadat 50 staten </w:t>
      </w:r>
      <w:r w:rsidR="00BE0F4B">
        <w:t>geratificeerd hebben.</w:t>
      </w:r>
      <w:r>
        <w:t xml:space="preserve"> </w:t>
      </w:r>
    </w:p>
    <w:p w:rsidR="00EC4849" w:rsidRDefault="00973C21" w:rsidP="00C406D7">
      <w:r>
        <w:t xml:space="preserve">Tijdens </w:t>
      </w:r>
      <w:r w:rsidR="004C63D2">
        <w:t xml:space="preserve">de ondertekeningsceremonie in New York op </w:t>
      </w:r>
      <w:r w:rsidR="00E57ABD">
        <w:t xml:space="preserve">3 juni </w:t>
      </w:r>
      <w:r w:rsidR="004C63D2">
        <w:t>2013 hebben</w:t>
      </w:r>
      <w:r w:rsidR="00E57ABD">
        <w:t xml:space="preserve"> 67 </w:t>
      </w:r>
      <w:r w:rsidR="004C63D2">
        <w:t>staten het Verdrag ondertekend. In</w:t>
      </w:r>
      <w:r w:rsidR="00BE0F4B">
        <w:t xml:space="preserve">middels is het aantal staten dat het Verdrag heeft ondertekend </w:t>
      </w:r>
      <w:r>
        <w:t xml:space="preserve">verder </w:t>
      </w:r>
      <w:r w:rsidR="00BE0F4B">
        <w:t>opgelopen tot 11</w:t>
      </w:r>
      <w:r w:rsidR="00CD4668">
        <w:t>8</w:t>
      </w:r>
      <w:r w:rsidR="00F557EC">
        <w:t xml:space="preserve">. </w:t>
      </w:r>
    </w:p>
    <w:p w:rsidR="00EB1781" w:rsidRDefault="00EB1781" w:rsidP="00C406D7"/>
    <w:p w:rsidR="004C63D2" w:rsidRDefault="00C406D7" w:rsidP="00C406D7">
      <w:r>
        <w:t xml:space="preserve">Zoals bij brief van </w:t>
      </w:r>
      <w:r w:rsidR="00AA6A93">
        <w:t xml:space="preserve">26 </w:t>
      </w:r>
      <w:r>
        <w:t>november 2013 aan het parlement gemeld</w:t>
      </w:r>
      <w:r w:rsidR="00112D05">
        <w:t xml:space="preserve"> (KII 2013-2014, 22054, nr. 235)</w:t>
      </w:r>
      <w:r>
        <w:t xml:space="preserve"> benaderen de</w:t>
      </w:r>
      <w:r w:rsidR="00F557EC">
        <w:t xml:space="preserve"> EU en Nederland actief </w:t>
      </w:r>
      <w:r w:rsidR="00973C21">
        <w:t>staten</w:t>
      </w:r>
      <w:r>
        <w:t>, in het bijzonder de staten die op 2 april 2013 vóór het Verdrag hebben gestemd</w:t>
      </w:r>
      <w:r w:rsidR="00147290">
        <w:t>,</w:t>
      </w:r>
      <w:r>
        <w:t xml:space="preserve"> om zo snel mogelijk tot ondertekening van het Verdrag over te gaan. </w:t>
      </w:r>
      <w:r w:rsidR="00F557EC">
        <w:t xml:space="preserve">Belangrijke mijlpaal is </w:t>
      </w:r>
      <w:r>
        <w:t xml:space="preserve">daarbij </w:t>
      </w:r>
      <w:r w:rsidR="00F557EC">
        <w:t>de ondertekening op 25 september 2013 door de Verenigde Staten van Amerika</w:t>
      </w:r>
      <w:r>
        <w:t>, de grootste wapenexporteur wereldwijd</w:t>
      </w:r>
      <w:r w:rsidR="00F557EC">
        <w:t xml:space="preserve">. </w:t>
      </w:r>
      <w:r w:rsidR="00BE0F4B">
        <w:t>Acht staten hebben het verdrag inmiddels geratificeerd</w:t>
      </w:r>
      <w:r w:rsidR="00F557EC">
        <w:t xml:space="preserve"> en de meeste EU lidstaten hebben de vereiste nationale goedkeuringsprocedures voor ratificatie in </w:t>
      </w:r>
      <w:r w:rsidR="0051371E">
        <w:t>gang</w:t>
      </w:r>
      <w:r w:rsidR="00F557EC">
        <w:t xml:space="preserve"> gezet</w:t>
      </w:r>
      <w:r w:rsidR="00BE0F4B">
        <w:t xml:space="preserve">. </w:t>
      </w:r>
      <w:r w:rsidR="0077751B">
        <w:t xml:space="preserve">Tijdens de onderhandelingen bleek er onvoldoende steun te bestaan om in het Verdrag een clausule op te nemen die het mogelijk zou moeten dat ook de EU </w:t>
      </w:r>
      <w:r w:rsidR="00147290">
        <w:t xml:space="preserve">of </w:t>
      </w:r>
      <w:r w:rsidR="0077751B">
        <w:t xml:space="preserve">andere </w:t>
      </w:r>
      <w:r w:rsidR="00147290">
        <w:t xml:space="preserve">organisaties voor </w:t>
      </w:r>
      <w:r w:rsidR="0077751B">
        <w:t xml:space="preserve">regionale </w:t>
      </w:r>
      <w:r w:rsidR="00147290">
        <w:t>integratie zich bij het Verdrag zouden kunnen aansluiten.</w:t>
      </w:r>
    </w:p>
    <w:p w:rsidR="004C63D2" w:rsidRDefault="004C63D2" w:rsidP="002145E0"/>
    <w:p w:rsidR="006747BB" w:rsidRPr="00D2253D" w:rsidRDefault="004C63D2" w:rsidP="002145E0">
      <w:pPr>
        <w:rPr>
          <w:b/>
          <w:bCs/>
        </w:rPr>
      </w:pPr>
      <w:r w:rsidRPr="00D2253D">
        <w:rPr>
          <w:b/>
          <w:bCs/>
        </w:rPr>
        <w:t>Artikel 23: Voorlopige toepassing</w:t>
      </w:r>
      <w:r w:rsidR="00092C16" w:rsidRPr="00D2253D">
        <w:rPr>
          <w:b/>
          <w:bCs/>
        </w:rPr>
        <w:t xml:space="preserve"> </w:t>
      </w:r>
    </w:p>
    <w:p w:rsidR="004C63D2" w:rsidRDefault="000C7A46" w:rsidP="002145E0">
      <w:r>
        <w:t xml:space="preserve">Artikel 23 geeft de mogelijkheid aan verdragspartijen om artikel 6 en 7 voorlopig toe te passen. Wanneer ten tijde van het indienen van de akte van bekrachtiging voor het Koninkrijk het Verdrag nog niet in werking is getreden, zal bij de akte van bekrachtiging een verklaring afgelegd worden dat hangende de inwerkingtreding van het Verdrag, artikel 6 en 7 voorlopig toegepast zullen worden voor Europees en </w:t>
      </w:r>
      <w:proofErr w:type="spellStart"/>
      <w:r>
        <w:t>Caribisch</w:t>
      </w:r>
      <w:proofErr w:type="spellEnd"/>
      <w:r>
        <w:t xml:space="preserve"> Nederland. </w:t>
      </w:r>
    </w:p>
    <w:p w:rsidR="005A4BAE" w:rsidRDefault="005A4BAE" w:rsidP="002145E0"/>
    <w:p w:rsidR="004C63D2" w:rsidRPr="001C296C" w:rsidRDefault="004C63D2" w:rsidP="002145E0">
      <w:pPr>
        <w:rPr>
          <w:b/>
          <w:bCs/>
        </w:rPr>
      </w:pPr>
      <w:r w:rsidRPr="001C296C">
        <w:rPr>
          <w:b/>
          <w:bCs/>
        </w:rPr>
        <w:t>Artikel 26: Relatie met ander internationale overeenkomsten</w:t>
      </w:r>
    </w:p>
    <w:p w:rsidR="009F43BA" w:rsidRDefault="001A364C" w:rsidP="002145E0">
      <w:r>
        <w:t xml:space="preserve">Artikel 26 gaat in op de relatie tussen het </w:t>
      </w:r>
      <w:r w:rsidR="00F36A08">
        <w:t>Verdrag</w:t>
      </w:r>
      <w:r>
        <w:t xml:space="preserve"> en andere door verdragspartijen aangegane verplichtingen</w:t>
      </w:r>
      <w:r w:rsidR="00AB1E6B">
        <w:t xml:space="preserve">. </w:t>
      </w:r>
      <w:r w:rsidR="00BB2AAE">
        <w:t>In artikel 26, eerste lid, is vastgelegd dat de tenuitvoerl</w:t>
      </w:r>
      <w:r w:rsidR="0051371E">
        <w:t>e</w:t>
      </w:r>
      <w:r w:rsidR="00BB2AAE">
        <w:t xml:space="preserve">gging van het Verdrag niets afdoet aan eerdere of toekomstige verplichtingen onder andere verdragen, voor zover die verplichtingen verenigbaar zijn met het Verdrag. Artikel 26, tweede lid, bepaalt verder dat het Verdrag niet mag worden ingeroepen als grond voor </w:t>
      </w:r>
      <w:r w:rsidR="00F16371">
        <w:t>het beëindigen van</w:t>
      </w:r>
      <w:r w:rsidR="00BB2AAE">
        <w:t xml:space="preserve"> defensiesamenwerkingsverdragen.</w:t>
      </w:r>
    </w:p>
    <w:p w:rsidR="009F43BA" w:rsidRDefault="009F43BA" w:rsidP="002145E0"/>
    <w:p w:rsidR="009F43BA" w:rsidRPr="009F43BA" w:rsidRDefault="009F43BA" w:rsidP="002145E0">
      <w:pPr>
        <w:rPr>
          <w:b/>
          <w:bCs/>
        </w:rPr>
      </w:pPr>
      <w:proofErr w:type="spellStart"/>
      <w:r w:rsidRPr="009F43BA">
        <w:rPr>
          <w:b/>
          <w:bCs/>
        </w:rPr>
        <w:t>Koninkrijkspositie</w:t>
      </w:r>
      <w:proofErr w:type="spellEnd"/>
    </w:p>
    <w:p w:rsidR="00ED1A64" w:rsidRDefault="00C45E84" w:rsidP="00EA775F">
      <w:r>
        <w:t xml:space="preserve">Evenals het geval was bij andere verdragen </w:t>
      </w:r>
      <w:r w:rsidR="00A56533">
        <w:t xml:space="preserve">gerelateerd aan nationale veiligheid </w:t>
      </w:r>
      <w:r>
        <w:t xml:space="preserve">zoals de CCW en het Clustermunitieverdrag, wordt de goedkeuring van het onderhavige Verdrag voor het gehele Koninkrijk gevraagd. De gelding van het Verdrag zal zich echter vooralsnog beperken tot </w:t>
      </w:r>
      <w:r w:rsidRPr="00476ECB">
        <w:t>Europees</w:t>
      </w:r>
      <w:r>
        <w:t xml:space="preserve"> en </w:t>
      </w:r>
      <w:proofErr w:type="spellStart"/>
      <w:r>
        <w:t>Caribisch</w:t>
      </w:r>
      <w:proofErr w:type="spellEnd"/>
      <w:r>
        <w:t xml:space="preserve"> Nederland en kan nog niet uitgebreid worden tot Aruba, Curaçao en Sint Maarten, omdat de vereiste uitvoeringswetgeving aldaar nog niet tot stand is gebracht. Zodra die uitvoeringswetgeving gereed is zal het Verdrag ook kunnen worden aanvaard voor Aruba, Curaçao en Sint Maarten.</w:t>
      </w:r>
      <w:r w:rsidR="00EA775F">
        <w:t xml:space="preserve"> </w:t>
      </w:r>
    </w:p>
    <w:p w:rsidR="00ED1A64" w:rsidRDefault="00ED1A64" w:rsidP="00EA775F"/>
    <w:p w:rsidR="00EB1781" w:rsidRDefault="00EA775F" w:rsidP="00EA775F">
      <w:r>
        <w:t xml:space="preserve">Het is </w:t>
      </w:r>
      <w:r w:rsidR="00F71BA7">
        <w:t xml:space="preserve">onduidelijk </w:t>
      </w:r>
      <w:r>
        <w:t xml:space="preserve">wanneer de benodigde uitvoeringswetgeving </w:t>
      </w:r>
      <w:r w:rsidR="002D00B2">
        <w:t xml:space="preserve">voor de drie </w:t>
      </w:r>
      <w:proofErr w:type="spellStart"/>
      <w:r w:rsidR="002D00B2">
        <w:t>Caraibische</w:t>
      </w:r>
      <w:proofErr w:type="spellEnd"/>
      <w:r w:rsidR="002D00B2">
        <w:t xml:space="preserve"> landen </w:t>
      </w:r>
      <w:r>
        <w:t>gereed zal</w:t>
      </w:r>
      <w:r w:rsidR="00F71BA7">
        <w:t xml:space="preserve"> kunnen</w:t>
      </w:r>
      <w:r>
        <w:t xml:space="preserve"> zijn. </w:t>
      </w:r>
      <w:r w:rsidR="00F71BA7">
        <w:t>H</w:t>
      </w:r>
      <w:r>
        <w:t xml:space="preserve">et </w:t>
      </w:r>
      <w:r w:rsidR="00F71BA7">
        <w:t xml:space="preserve">bleek </w:t>
      </w:r>
      <w:r>
        <w:t xml:space="preserve">in ieder geval niet mogelijk </w:t>
      </w:r>
      <w:r w:rsidR="00F71BA7">
        <w:t>voor de</w:t>
      </w:r>
      <w:r w:rsidR="002D00B2">
        <w:t>ze</w:t>
      </w:r>
      <w:r w:rsidR="00F71BA7">
        <w:t xml:space="preserve"> landen </w:t>
      </w:r>
      <w:r>
        <w:t xml:space="preserve">de specifieke uitvoeringswetgeving op korte termijn te vervaardigen. Dat </w:t>
      </w:r>
      <w:r w:rsidR="00F71BA7">
        <w:t>het V</w:t>
      </w:r>
      <w:r>
        <w:t xml:space="preserve">erdrag niet direct voor het gehele Koninkrijk kan worden aanvaard, heeft echter geen </w:t>
      </w:r>
      <w:r w:rsidR="00F71BA7">
        <w:t xml:space="preserve">belangrijke </w:t>
      </w:r>
      <w:r>
        <w:t xml:space="preserve">consequenties. </w:t>
      </w:r>
    </w:p>
    <w:p w:rsidR="00F36A08" w:rsidRDefault="00767AD6" w:rsidP="00EA775F">
      <w:r>
        <w:lastRenderedPageBreak/>
        <w:t xml:space="preserve">Aruba, Curaçao en Sint Maarten </w:t>
      </w:r>
      <w:r w:rsidR="00287B09">
        <w:t>dienen zich</w:t>
      </w:r>
      <w:r>
        <w:t xml:space="preserve"> immers</w:t>
      </w:r>
      <w:r w:rsidR="00287B09">
        <w:t xml:space="preserve">, nu zij hebben </w:t>
      </w:r>
      <w:r>
        <w:t>besloten tot medegelding, o</w:t>
      </w:r>
      <w:r w:rsidR="00EA775F">
        <w:t>vereenkomstig artikel 18 van het op 23 mei 1969 te Wenen tot stand gekomen Verdrag van Wenen inzake het verdragenrecht (</w:t>
      </w:r>
      <w:proofErr w:type="spellStart"/>
      <w:r w:rsidR="00EA775F">
        <w:t>Trb</w:t>
      </w:r>
      <w:proofErr w:type="spellEnd"/>
      <w:r w:rsidR="00EA775F">
        <w:t xml:space="preserve">. 1972, 51) </w:t>
      </w:r>
      <w:r w:rsidR="00F71BA7">
        <w:t>ook vóór de aanvaarding</w:t>
      </w:r>
      <w:r w:rsidR="00EA775F">
        <w:t xml:space="preserve"> </w:t>
      </w:r>
      <w:r>
        <w:t xml:space="preserve">voor hun respectieve land </w:t>
      </w:r>
      <w:r w:rsidR="00EA775F">
        <w:t xml:space="preserve">te onthouden van handelingen die indruisen tegen voorwerp en doel van het Verdrag. Bovendien is de wapenexport van Aruba, </w:t>
      </w:r>
      <w:r w:rsidR="00CD4668">
        <w:t>Curaçao</w:t>
      </w:r>
      <w:r w:rsidR="00EA775F">
        <w:t xml:space="preserve"> en Sint Maarten in verg</w:t>
      </w:r>
      <w:r w:rsidR="00F71BA7">
        <w:t>e</w:t>
      </w:r>
      <w:r w:rsidR="00EA775F">
        <w:t xml:space="preserve">lijking met </w:t>
      </w:r>
      <w:r>
        <w:t xml:space="preserve">die van </w:t>
      </w:r>
      <w:r w:rsidR="00EA775F">
        <w:t xml:space="preserve">(Europees) Nederland </w:t>
      </w:r>
      <w:r w:rsidR="00CD4668">
        <w:t>te verwaarlozen</w:t>
      </w:r>
      <w:r w:rsidR="00EA775F">
        <w:t xml:space="preserve">. </w:t>
      </w:r>
    </w:p>
    <w:p w:rsidR="00F36A08" w:rsidRDefault="00F36A08" w:rsidP="002145E0"/>
    <w:p w:rsidR="00F36A08" w:rsidRDefault="00F36A08" w:rsidP="002145E0"/>
    <w:p w:rsidR="00F36A08" w:rsidRDefault="00F36A08" w:rsidP="002145E0">
      <w:r>
        <w:t>De Minister van Buitenlandse Zaken</w:t>
      </w:r>
      <w:r w:rsidR="0060798D">
        <w:t>,</w:t>
      </w:r>
    </w:p>
    <w:p w:rsidR="0060798D" w:rsidRDefault="0060798D" w:rsidP="002145E0"/>
    <w:p w:rsidR="0060798D" w:rsidRDefault="0060798D" w:rsidP="002145E0"/>
    <w:p w:rsidR="00767AD6" w:rsidRDefault="00767AD6" w:rsidP="002145E0"/>
    <w:p w:rsidR="0060798D" w:rsidRDefault="0060798D" w:rsidP="002145E0"/>
    <w:p w:rsidR="0060798D" w:rsidRDefault="0060798D" w:rsidP="002145E0">
      <w:r>
        <w:t>De Minister voor Buitenlandse Handel en Ontwikkelingssamenwerking,</w:t>
      </w:r>
    </w:p>
    <w:p w:rsidR="009F43BA" w:rsidRPr="006747BB" w:rsidRDefault="00C45E84" w:rsidP="002145E0">
      <w:r>
        <w:t xml:space="preserve"> </w:t>
      </w:r>
    </w:p>
    <w:sectPr w:rsidR="009F43BA" w:rsidRPr="006747B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DCF" w:rsidRDefault="00D46DCF" w:rsidP="00AA206E">
      <w:r>
        <w:separator/>
      </w:r>
    </w:p>
  </w:endnote>
  <w:endnote w:type="continuationSeparator" w:id="0">
    <w:p w:rsidR="00D46DCF" w:rsidRDefault="00D46DCF" w:rsidP="00AA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6E" w:rsidRDefault="00AA206E">
    <w:pPr>
      <w:pStyle w:val="Voettekst"/>
      <w:jc w:val="right"/>
    </w:pPr>
    <w:r>
      <w:fldChar w:fldCharType="begin"/>
    </w:r>
    <w:r>
      <w:instrText xml:space="preserve"> PAGE   \* MERGEFORMAT </w:instrText>
    </w:r>
    <w:r>
      <w:fldChar w:fldCharType="separate"/>
    </w:r>
    <w:r w:rsidR="00823C68">
      <w:rPr>
        <w:noProof/>
      </w:rPr>
      <w:t>1</w:t>
    </w:r>
    <w:r>
      <w:fldChar w:fldCharType="end"/>
    </w:r>
  </w:p>
  <w:p w:rsidR="00AA206E" w:rsidRDefault="00AA206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DCF" w:rsidRDefault="00D46DCF" w:rsidP="00AA206E">
      <w:r>
        <w:separator/>
      </w:r>
    </w:p>
  </w:footnote>
  <w:footnote w:type="continuationSeparator" w:id="0">
    <w:p w:rsidR="00D46DCF" w:rsidRDefault="00D46DCF" w:rsidP="00AA206E">
      <w:r>
        <w:continuationSeparator/>
      </w:r>
    </w:p>
  </w:footnote>
  <w:footnote w:id="1">
    <w:p w:rsidR="006A2F63" w:rsidRDefault="006A2F63">
      <w:pPr>
        <w:pStyle w:val="Voetnoottekst"/>
      </w:pPr>
      <w:r>
        <w:rPr>
          <w:rStyle w:val="Voetnootmarkering"/>
        </w:rPr>
        <w:footnoteRef/>
      </w:r>
      <w:r>
        <w:t xml:space="preserve"> Dual </w:t>
      </w:r>
      <w:proofErr w:type="spellStart"/>
      <w:r>
        <w:t>use</w:t>
      </w:r>
      <w:proofErr w:type="spellEnd"/>
      <w:r>
        <w:t xml:space="preserve"> goederen: goederen die voor burgerlijke en militaire doelen worden gebruikt.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embedSystemFonts/>
  <w:proofState w:spelling="clean"/>
  <w:trackRevision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158"/>
    <w:rsid w:val="000005A9"/>
    <w:rsid w:val="00007EE7"/>
    <w:rsid w:val="00013759"/>
    <w:rsid w:val="00014283"/>
    <w:rsid w:val="00025718"/>
    <w:rsid w:val="00026320"/>
    <w:rsid w:val="000471E9"/>
    <w:rsid w:val="00060757"/>
    <w:rsid w:val="00071B9D"/>
    <w:rsid w:val="00075755"/>
    <w:rsid w:val="00086713"/>
    <w:rsid w:val="00090627"/>
    <w:rsid w:val="000928BA"/>
    <w:rsid w:val="00092C16"/>
    <w:rsid w:val="00096966"/>
    <w:rsid w:val="000A2C31"/>
    <w:rsid w:val="000B30CC"/>
    <w:rsid w:val="000B60D7"/>
    <w:rsid w:val="000C0569"/>
    <w:rsid w:val="000C4B6D"/>
    <w:rsid w:val="000C7A46"/>
    <w:rsid w:val="000C7CA6"/>
    <w:rsid w:val="000D1F0B"/>
    <w:rsid w:val="000E0AB8"/>
    <w:rsid w:val="000F227A"/>
    <w:rsid w:val="00107072"/>
    <w:rsid w:val="00112D05"/>
    <w:rsid w:val="00117FB6"/>
    <w:rsid w:val="00121CED"/>
    <w:rsid w:val="00133B25"/>
    <w:rsid w:val="0014480C"/>
    <w:rsid w:val="00147290"/>
    <w:rsid w:val="00151133"/>
    <w:rsid w:val="00170E53"/>
    <w:rsid w:val="00186D7B"/>
    <w:rsid w:val="001909E3"/>
    <w:rsid w:val="001A19F4"/>
    <w:rsid w:val="001A364C"/>
    <w:rsid w:val="001B4264"/>
    <w:rsid w:val="001C296C"/>
    <w:rsid w:val="001D0ACC"/>
    <w:rsid w:val="001D0D87"/>
    <w:rsid w:val="001E3565"/>
    <w:rsid w:val="001E4B11"/>
    <w:rsid w:val="00201D6F"/>
    <w:rsid w:val="002145E0"/>
    <w:rsid w:val="002208D6"/>
    <w:rsid w:val="00231401"/>
    <w:rsid w:val="00234132"/>
    <w:rsid w:val="0024244D"/>
    <w:rsid w:val="0024746A"/>
    <w:rsid w:val="00247611"/>
    <w:rsid w:val="002558F6"/>
    <w:rsid w:val="00257E6C"/>
    <w:rsid w:val="00264A6A"/>
    <w:rsid w:val="00266AB4"/>
    <w:rsid w:val="00266FDB"/>
    <w:rsid w:val="00267ACC"/>
    <w:rsid w:val="0028660D"/>
    <w:rsid w:val="00286BD7"/>
    <w:rsid w:val="00286FD0"/>
    <w:rsid w:val="00287B09"/>
    <w:rsid w:val="002977DF"/>
    <w:rsid w:val="002C21AF"/>
    <w:rsid w:val="002C223C"/>
    <w:rsid w:val="002C3021"/>
    <w:rsid w:val="002D00B2"/>
    <w:rsid w:val="0030602F"/>
    <w:rsid w:val="00314877"/>
    <w:rsid w:val="00337D88"/>
    <w:rsid w:val="00355660"/>
    <w:rsid w:val="00360CD5"/>
    <w:rsid w:val="00370322"/>
    <w:rsid w:val="00390357"/>
    <w:rsid w:val="003903DD"/>
    <w:rsid w:val="00394152"/>
    <w:rsid w:val="003B076D"/>
    <w:rsid w:val="003B181F"/>
    <w:rsid w:val="003B5C02"/>
    <w:rsid w:val="003D0EE2"/>
    <w:rsid w:val="003D2C05"/>
    <w:rsid w:val="003D333C"/>
    <w:rsid w:val="003E54FA"/>
    <w:rsid w:val="00402767"/>
    <w:rsid w:val="004028BB"/>
    <w:rsid w:val="004042AF"/>
    <w:rsid w:val="00405D87"/>
    <w:rsid w:val="00422BB3"/>
    <w:rsid w:val="004252EE"/>
    <w:rsid w:val="00443645"/>
    <w:rsid w:val="00450F7D"/>
    <w:rsid w:val="00457117"/>
    <w:rsid w:val="004604A3"/>
    <w:rsid w:val="00463AEB"/>
    <w:rsid w:val="00472CB0"/>
    <w:rsid w:val="00476ECB"/>
    <w:rsid w:val="00481CAF"/>
    <w:rsid w:val="0048642D"/>
    <w:rsid w:val="00486E01"/>
    <w:rsid w:val="00487FEF"/>
    <w:rsid w:val="004930AE"/>
    <w:rsid w:val="004A58E3"/>
    <w:rsid w:val="004B12A4"/>
    <w:rsid w:val="004C63D2"/>
    <w:rsid w:val="004E4429"/>
    <w:rsid w:val="004F432E"/>
    <w:rsid w:val="00512B60"/>
    <w:rsid w:val="0051371E"/>
    <w:rsid w:val="005344CA"/>
    <w:rsid w:val="005408D2"/>
    <w:rsid w:val="00546D57"/>
    <w:rsid w:val="00587D8C"/>
    <w:rsid w:val="00590A26"/>
    <w:rsid w:val="00597600"/>
    <w:rsid w:val="005A152E"/>
    <w:rsid w:val="005A18BB"/>
    <w:rsid w:val="005A2D5C"/>
    <w:rsid w:val="005A4BAE"/>
    <w:rsid w:val="005A5633"/>
    <w:rsid w:val="005B2A6D"/>
    <w:rsid w:val="005C68A2"/>
    <w:rsid w:val="005E3013"/>
    <w:rsid w:val="005E46C2"/>
    <w:rsid w:val="005F0513"/>
    <w:rsid w:val="005F13D6"/>
    <w:rsid w:val="005F1B89"/>
    <w:rsid w:val="005F1BFB"/>
    <w:rsid w:val="00605234"/>
    <w:rsid w:val="0060798D"/>
    <w:rsid w:val="006168C1"/>
    <w:rsid w:val="00622062"/>
    <w:rsid w:val="00626E6C"/>
    <w:rsid w:val="00640797"/>
    <w:rsid w:val="00645E49"/>
    <w:rsid w:val="00646490"/>
    <w:rsid w:val="00663602"/>
    <w:rsid w:val="006707C7"/>
    <w:rsid w:val="006747BB"/>
    <w:rsid w:val="0067509D"/>
    <w:rsid w:val="00682664"/>
    <w:rsid w:val="00683EF4"/>
    <w:rsid w:val="006949BA"/>
    <w:rsid w:val="00697E6F"/>
    <w:rsid w:val="006A2F63"/>
    <w:rsid w:val="006A3E06"/>
    <w:rsid w:val="006A46B0"/>
    <w:rsid w:val="006B4457"/>
    <w:rsid w:val="006E0598"/>
    <w:rsid w:val="006E36EE"/>
    <w:rsid w:val="006F5D30"/>
    <w:rsid w:val="0070585B"/>
    <w:rsid w:val="00707FE2"/>
    <w:rsid w:val="0071500F"/>
    <w:rsid w:val="00721CE2"/>
    <w:rsid w:val="00723821"/>
    <w:rsid w:val="00723C32"/>
    <w:rsid w:val="00724251"/>
    <w:rsid w:val="00731163"/>
    <w:rsid w:val="007325F4"/>
    <w:rsid w:val="00733A92"/>
    <w:rsid w:val="00745F9F"/>
    <w:rsid w:val="00767AD6"/>
    <w:rsid w:val="00771567"/>
    <w:rsid w:val="00775BEE"/>
    <w:rsid w:val="0077751B"/>
    <w:rsid w:val="00787964"/>
    <w:rsid w:val="00790D8F"/>
    <w:rsid w:val="007918F3"/>
    <w:rsid w:val="007961F0"/>
    <w:rsid w:val="007A0579"/>
    <w:rsid w:val="007A3340"/>
    <w:rsid w:val="007C650C"/>
    <w:rsid w:val="007C682C"/>
    <w:rsid w:val="007E16B4"/>
    <w:rsid w:val="007E4BB6"/>
    <w:rsid w:val="007F0647"/>
    <w:rsid w:val="007F367D"/>
    <w:rsid w:val="007F38D8"/>
    <w:rsid w:val="007F69B7"/>
    <w:rsid w:val="00811502"/>
    <w:rsid w:val="0081374A"/>
    <w:rsid w:val="00816904"/>
    <w:rsid w:val="00823C68"/>
    <w:rsid w:val="00870EA3"/>
    <w:rsid w:val="0088318D"/>
    <w:rsid w:val="008875F9"/>
    <w:rsid w:val="008A55EF"/>
    <w:rsid w:val="008D0C2B"/>
    <w:rsid w:val="008D3AB2"/>
    <w:rsid w:val="008E0C4D"/>
    <w:rsid w:val="008E0E32"/>
    <w:rsid w:val="008E394B"/>
    <w:rsid w:val="008F2006"/>
    <w:rsid w:val="00914841"/>
    <w:rsid w:val="00921B05"/>
    <w:rsid w:val="00935F3E"/>
    <w:rsid w:val="009443DC"/>
    <w:rsid w:val="009502DA"/>
    <w:rsid w:val="00965425"/>
    <w:rsid w:val="0097235C"/>
    <w:rsid w:val="00972E82"/>
    <w:rsid w:val="00973C21"/>
    <w:rsid w:val="0099298E"/>
    <w:rsid w:val="009938B0"/>
    <w:rsid w:val="009A370F"/>
    <w:rsid w:val="009A5906"/>
    <w:rsid w:val="009B7529"/>
    <w:rsid w:val="009C569C"/>
    <w:rsid w:val="009C6618"/>
    <w:rsid w:val="009D6264"/>
    <w:rsid w:val="009D7F13"/>
    <w:rsid w:val="009E0789"/>
    <w:rsid w:val="009F43BA"/>
    <w:rsid w:val="009F51A2"/>
    <w:rsid w:val="009F79FB"/>
    <w:rsid w:val="00A0009D"/>
    <w:rsid w:val="00A0219D"/>
    <w:rsid w:val="00A026D2"/>
    <w:rsid w:val="00A226B1"/>
    <w:rsid w:val="00A32C61"/>
    <w:rsid w:val="00A43E69"/>
    <w:rsid w:val="00A47B1B"/>
    <w:rsid w:val="00A55AC5"/>
    <w:rsid w:val="00A56533"/>
    <w:rsid w:val="00A61304"/>
    <w:rsid w:val="00A673B5"/>
    <w:rsid w:val="00A72EBE"/>
    <w:rsid w:val="00A737B6"/>
    <w:rsid w:val="00A83F2E"/>
    <w:rsid w:val="00AA206E"/>
    <w:rsid w:val="00AA6A93"/>
    <w:rsid w:val="00AB1E6B"/>
    <w:rsid w:val="00AC0EC8"/>
    <w:rsid w:val="00AC3B58"/>
    <w:rsid w:val="00B00158"/>
    <w:rsid w:val="00B00647"/>
    <w:rsid w:val="00B217BB"/>
    <w:rsid w:val="00B271AD"/>
    <w:rsid w:val="00B338E3"/>
    <w:rsid w:val="00B37F76"/>
    <w:rsid w:val="00B54D31"/>
    <w:rsid w:val="00B60ABC"/>
    <w:rsid w:val="00B6258E"/>
    <w:rsid w:val="00B75389"/>
    <w:rsid w:val="00B76AA6"/>
    <w:rsid w:val="00B93E74"/>
    <w:rsid w:val="00B94432"/>
    <w:rsid w:val="00BB2AAE"/>
    <w:rsid w:val="00BC6264"/>
    <w:rsid w:val="00BC6DD9"/>
    <w:rsid w:val="00BC7BA1"/>
    <w:rsid w:val="00BD49CA"/>
    <w:rsid w:val="00BE0F4B"/>
    <w:rsid w:val="00BF082B"/>
    <w:rsid w:val="00BF28D7"/>
    <w:rsid w:val="00C00938"/>
    <w:rsid w:val="00C12A4C"/>
    <w:rsid w:val="00C247EA"/>
    <w:rsid w:val="00C3065E"/>
    <w:rsid w:val="00C328E0"/>
    <w:rsid w:val="00C3790E"/>
    <w:rsid w:val="00C406D7"/>
    <w:rsid w:val="00C45E84"/>
    <w:rsid w:val="00C51F69"/>
    <w:rsid w:val="00C538CE"/>
    <w:rsid w:val="00C53D3D"/>
    <w:rsid w:val="00C56E43"/>
    <w:rsid w:val="00C71D96"/>
    <w:rsid w:val="00C71FE3"/>
    <w:rsid w:val="00C747B7"/>
    <w:rsid w:val="00C90396"/>
    <w:rsid w:val="00C953F8"/>
    <w:rsid w:val="00C9624D"/>
    <w:rsid w:val="00CA54B0"/>
    <w:rsid w:val="00CA6C03"/>
    <w:rsid w:val="00CA7364"/>
    <w:rsid w:val="00CB2233"/>
    <w:rsid w:val="00CB2530"/>
    <w:rsid w:val="00CB3CDB"/>
    <w:rsid w:val="00CC1CBE"/>
    <w:rsid w:val="00CD446D"/>
    <w:rsid w:val="00CD4668"/>
    <w:rsid w:val="00CE0B80"/>
    <w:rsid w:val="00CF1408"/>
    <w:rsid w:val="00CF267D"/>
    <w:rsid w:val="00D07579"/>
    <w:rsid w:val="00D16A84"/>
    <w:rsid w:val="00D21FF6"/>
    <w:rsid w:val="00D2253D"/>
    <w:rsid w:val="00D309B7"/>
    <w:rsid w:val="00D45EF6"/>
    <w:rsid w:val="00D46859"/>
    <w:rsid w:val="00D46DCF"/>
    <w:rsid w:val="00D57DF1"/>
    <w:rsid w:val="00D84857"/>
    <w:rsid w:val="00D855B9"/>
    <w:rsid w:val="00D864E7"/>
    <w:rsid w:val="00DA2C42"/>
    <w:rsid w:val="00DB07BA"/>
    <w:rsid w:val="00DD106E"/>
    <w:rsid w:val="00DD49D0"/>
    <w:rsid w:val="00DD52F0"/>
    <w:rsid w:val="00DE70A5"/>
    <w:rsid w:val="00DF0465"/>
    <w:rsid w:val="00E006CE"/>
    <w:rsid w:val="00E14414"/>
    <w:rsid w:val="00E2795F"/>
    <w:rsid w:val="00E41EC4"/>
    <w:rsid w:val="00E453DC"/>
    <w:rsid w:val="00E51120"/>
    <w:rsid w:val="00E530A9"/>
    <w:rsid w:val="00E57ABD"/>
    <w:rsid w:val="00E7166D"/>
    <w:rsid w:val="00E7391C"/>
    <w:rsid w:val="00E751B8"/>
    <w:rsid w:val="00E85226"/>
    <w:rsid w:val="00E97233"/>
    <w:rsid w:val="00EA3A1F"/>
    <w:rsid w:val="00EA775F"/>
    <w:rsid w:val="00EB1781"/>
    <w:rsid w:val="00EB4F49"/>
    <w:rsid w:val="00EB50DF"/>
    <w:rsid w:val="00EB5DCE"/>
    <w:rsid w:val="00EB6B2B"/>
    <w:rsid w:val="00EC4849"/>
    <w:rsid w:val="00ED1A64"/>
    <w:rsid w:val="00ED50D1"/>
    <w:rsid w:val="00EE5C2C"/>
    <w:rsid w:val="00EF4277"/>
    <w:rsid w:val="00F16371"/>
    <w:rsid w:val="00F20885"/>
    <w:rsid w:val="00F25ADF"/>
    <w:rsid w:val="00F35D61"/>
    <w:rsid w:val="00F36A08"/>
    <w:rsid w:val="00F4784A"/>
    <w:rsid w:val="00F50BF5"/>
    <w:rsid w:val="00F557EC"/>
    <w:rsid w:val="00F57731"/>
    <w:rsid w:val="00F71BA7"/>
    <w:rsid w:val="00F808B6"/>
    <w:rsid w:val="00F82EF1"/>
    <w:rsid w:val="00FB08BF"/>
    <w:rsid w:val="00FB50CF"/>
    <w:rsid w:val="00FC07BF"/>
    <w:rsid w:val="00FC7108"/>
    <w:rsid w:val="00FE47A5"/>
    <w:rsid w:val="00FE5BD7"/>
    <w:rsid w:val="00FE5E14"/>
    <w:rsid w:val="00FF65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Verdana"/>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0158"/>
    <w:pPr>
      <w:spacing w:after="0" w:line="240" w:lineRule="auto"/>
    </w:pPr>
    <w:rPr>
      <w:rFonts w:ascii="Times New Roman" w:hAnsi="Times New Roman" w:cs="Times New Roman"/>
      <w:sz w:val="24"/>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405D87"/>
    <w:rPr>
      <w:rFonts w:cs="Times New Roman"/>
      <w:color w:val="0000FF"/>
      <w:u w:val="single"/>
    </w:rPr>
  </w:style>
  <w:style w:type="paragraph" w:styleId="Ballontekst">
    <w:name w:val="Balloon Text"/>
    <w:basedOn w:val="Standaard"/>
    <w:link w:val="BallontekstChar"/>
    <w:uiPriority w:val="99"/>
    <w:semiHidden/>
    <w:rsid w:val="00697E6F"/>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697E6F"/>
    <w:rPr>
      <w:rFonts w:ascii="Tahoma" w:hAnsi="Tahoma" w:cs="Tahoma"/>
      <w:sz w:val="16"/>
      <w:szCs w:val="16"/>
      <w:lang w:val="nl-NL" w:eastAsia="zh-CN"/>
    </w:rPr>
  </w:style>
  <w:style w:type="character" w:styleId="Verwijzingopmerking">
    <w:name w:val="annotation reference"/>
    <w:basedOn w:val="Standaardalinea-lettertype"/>
    <w:uiPriority w:val="99"/>
    <w:semiHidden/>
    <w:rsid w:val="00092C16"/>
    <w:rPr>
      <w:rFonts w:cs="Times New Roman"/>
      <w:sz w:val="16"/>
      <w:szCs w:val="16"/>
    </w:rPr>
  </w:style>
  <w:style w:type="paragraph" w:styleId="Tekstopmerking">
    <w:name w:val="annotation text"/>
    <w:basedOn w:val="Standaard"/>
    <w:link w:val="TekstopmerkingChar"/>
    <w:uiPriority w:val="99"/>
    <w:semiHidden/>
    <w:rsid w:val="00092C16"/>
    <w:rPr>
      <w:sz w:val="20"/>
      <w:szCs w:val="20"/>
    </w:rPr>
  </w:style>
  <w:style w:type="character" w:customStyle="1" w:styleId="TekstopmerkingChar">
    <w:name w:val="Tekst opmerking Char"/>
    <w:basedOn w:val="Standaardalinea-lettertype"/>
    <w:link w:val="Tekstopmerking"/>
    <w:uiPriority w:val="99"/>
    <w:semiHidden/>
    <w:locked/>
    <w:rsid w:val="00092C16"/>
    <w:rPr>
      <w:rFonts w:ascii="Times New Roman" w:hAnsi="Times New Roman" w:cs="Times New Roman"/>
      <w:sz w:val="20"/>
      <w:szCs w:val="20"/>
      <w:lang w:val="x-none" w:eastAsia="zh-CN"/>
    </w:rPr>
  </w:style>
  <w:style w:type="paragraph" w:styleId="Onderwerpvanopmerking">
    <w:name w:val="annotation subject"/>
    <w:basedOn w:val="Tekstopmerking"/>
    <w:next w:val="Tekstopmerking"/>
    <w:link w:val="OnderwerpvanopmerkingChar"/>
    <w:uiPriority w:val="99"/>
    <w:semiHidden/>
    <w:rsid w:val="00092C16"/>
    <w:rPr>
      <w:b/>
      <w:bCs/>
    </w:rPr>
  </w:style>
  <w:style w:type="character" w:customStyle="1" w:styleId="OnderwerpvanopmerkingChar">
    <w:name w:val="Onderwerp van opmerking Char"/>
    <w:basedOn w:val="TekstopmerkingChar"/>
    <w:link w:val="Onderwerpvanopmerking"/>
    <w:uiPriority w:val="99"/>
    <w:semiHidden/>
    <w:locked/>
    <w:rsid w:val="00092C16"/>
    <w:rPr>
      <w:rFonts w:ascii="Times New Roman" w:hAnsi="Times New Roman" w:cs="Times New Roman"/>
      <w:b/>
      <w:bCs/>
      <w:sz w:val="20"/>
      <w:szCs w:val="20"/>
      <w:lang w:val="x-none" w:eastAsia="zh-CN"/>
    </w:rPr>
  </w:style>
  <w:style w:type="paragraph" w:styleId="Koptekst">
    <w:name w:val="header"/>
    <w:basedOn w:val="Standaard"/>
    <w:link w:val="KoptekstChar"/>
    <w:uiPriority w:val="99"/>
    <w:rsid w:val="00AA206E"/>
    <w:pPr>
      <w:tabs>
        <w:tab w:val="center" w:pos="4513"/>
        <w:tab w:val="right" w:pos="9026"/>
      </w:tabs>
    </w:pPr>
  </w:style>
  <w:style w:type="character" w:customStyle="1" w:styleId="KoptekstChar">
    <w:name w:val="Koptekst Char"/>
    <w:basedOn w:val="Standaardalinea-lettertype"/>
    <w:link w:val="Koptekst"/>
    <w:uiPriority w:val="99"/>
    <w:locked/>
    <w:rsid w:val="00AA206E"/>
    <w:rPr>
      <w:rFonts w:ascii="Times New Roman" w:hAnsi="Times New Roman" w:cs="Times New Roman"/>
      <w:sz w:val="24"/>
      <w:szCs w:val="24"/>
      <w:lang w:val="x-none" w:eastAsia="zh-CN"/>
    </w:rPr>
  </w:style>
  <w:style w:type="paragraph" w:styleId="Voettekst">
    <w:name w:val="footer"/>
    <w:basedOn w:val="Standaard"/>
    <w:link w:val="VoettekstChar"/>
    <w:uiPriority w:val="99"/>
    <w:rsid w:val="00AA206E"/>
    <w:pPr>
      <w:tabs>
        <w:tab w:val="center" w:pos="4513"/>
        <w:tab w:val="right" w:pos="9026"/>
      </w:tabs>
    </w:pPr>
  </w:style>
  <w:style w:type="character" w:customStyle="1" w:styleId="VoettekstChar">
    <w:name w:val="Voettekst Char"/>
    <w:basedOn w:val="Standaardalinea-lettertype"/>
    <w:link w:val="Voettekst"/>
    <w:uiPriority w:val="99"/>
    <w:locked/>
    <w:rsid w:val="00AA206E"/>
    <w:rPr>
      <w:rFonts w:ascii="Times New Roman" w:hAnsi="Times New Roman" w:cs="Times New Roman"/>
      <w:sz w:val="24"/>
      <w:szCs w:val="24"/>
      <w:lang w:val="x-none" w:eastAsia="zh-CN"/>
    </w:rPr>
  </w:style>
  <w:style w:type="paragraph" w:styleId="Voetnoottekst">
    <w:name w:val="footnote text"/>
    <w:basedOn w:val="Standaard"/>
    <w:link w:val="VoetnoottekstChar"/>
    <w:uiPriority w:val="99"/>
    <w:semiHidden/>
    <w:unhideWhenUsed/>
    <w:rsid w:val="006A2F63"/>
    <w:rPr>
      <w:sz w:val="20"/>
      <w:szCs w:val="20"/>
    </w:rPr>
  </w:style>
  <w:style w:type="character" w:customStyle="1" w:styleId="VoetnoottekstChar">
    <w:name w:val="Voetnoottekst Char"/>
    <w:basedOn w:val="Standaardalinea-lettertype"/>
    <w:link w:val="Voetnoottekst"/>
    <w:uiPriority w:val="99"/>
    <w:semiHidden/>
    <w:rsid w:val="006A2F63"/>
    <w:rPr>
      <w:rFonts w:ascii="Times New Roman" w:hAnsi="Times New Roman" w:cs="Times New Roman"/>
      <w:sz w:val="20"/>
      <w:szCs w:val="20"/>
      <w:lang w:eastAsia="zh-CN"/>
    </w:rPr>
  </w:style>
  <w:style w:type="character" w:styleId="Voetnootmarkering">
    <w:name w:val="footnote reference"/>
    <w:basedOn w:val="Standaardalinea-lettertype"/>
    <w:uiPriority w:val="99"/>
    <w:semiHidden/>
    <w:unhideWhenUsed/>
    <w:rsid w:val="006A2F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Verdana"/>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0158"/>
    <w:pPr>
      <w:spacing w:after="0" w:line="240" w:lineRule="auto"/>
    </w:pPr>
    <w:rPr>
      <w:rFonts w:ascii="Times New Roman" w:hAnsi="Times New Roman" w:cs="Times New Roman"/>
      <w:sz w:val="24"/>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405D87"/>
    <w:rPr>
      <w:rFonts w:cs="Times New Roman"/>
      <w:color w:val="0000FF"/>
      <w:u w:val="single"/>
    </w:rPr>
  </w:style>
  <w:style w:type="paragraph" w:styleId="Ballontekst">
    <w:name w:val="Balloon Text"/>
    <w:basedOn w:val="Standaard"/>
    <w:link w:val="BallontekstChar"/>
    <w:uiPriority w:val="99"/>
    <w:semiHidden/>
    <w:rsid w:val="00697E6F"/>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697E6F"/>
    <w:rPr>
      <w:rFonts w:ascii="Tahoma" w:hAnsi="Tahoma" w:cs="Tahoma"/>
      <w:sz w:val="16"/>
      <w:szCs w:val="16"/>
      <w:lang w:val="nl-NL" w:eastAsia="zh-CN"/>
    </w:rPr>
  </w:style>
  <w:style w:type="character" w:styleId="Verwijzingopmerking">
    <w:name w:val="annotation reference"/>
    <w:basedOn w:val="Standaardalinea-lettertype"/>
    <w:uiPriority w:val="99"/>
    <w:semiHidden/>
    <w:rsid w:val="00092C16"/>
    <w:rPr>
      <w:rFonts w:cs="Times New Roman"/>
      <w:sz w:val="16"/>
      <w:szCs w:val="16"/>
    </w:rPr>
  </w:style>
  <w:style w:type="paragraph" w:styleId="Tekstopmerking">
    <w:name w:val="annotation text"/>
    <w:basedOn w:val="Standaard"/>
    <w:link w:val="TekstopmerkingChar"/>
    <w:uiPriority w:val="99"/>
    <w:semiHidden/>
    <w:rsid w:val="00092C16"/>
    <w:rPr>
      <w:sz w:val="20"/>
      <w:szCs w:val="20"/>
    </w:rPr>
  </w:style>
  <w:style w:type="character" w:customStyle="1" w:styleId="TekstopmerkingChar">
    <w:name w:val="Tekst opmerking Char"/>
    <w:basedOn w:val="Standaardalinea-lettertype"/>
    <w:link w:val="Tekstopmerking"/>
    <w:uiPriority w:val="99"/>
    <w:semiHidden/>
    <w:locked/>
    <w:rsid w:val="00092C16"/>
    <w:rPr>
      <w:rFonts w:ascii="Times New Roman" w:hAnsi="Times New Roman" w:cs="Times New Roman"/>
      <w:sz w:val="20"/>
      <w:szCs w:val="20"/>
      <w:lang w:val="x-none" w:eastAsia="zh-CN"/>
    </w:rPr>
  </w:style>
  <w:style w:type="paragraph" w:styleId="Onderwerpvanopmerking">
    <w:name w:val="annotation subject"/>
    <w:basedOn w:val="Tekstopmerking"/>
    <w:next w:val="Tekstopmerking"/>
    <w:link w:val="OnderwerpvanopmerkingChar"/>
    <w:uiPriority w:val="99"/>
    <w:semiHidden/>
    <w:rsid w:val="00092C16"/>
    <w:rPr>
      <w:b/>
      <w:bCs/>
    </w:rPr>
  </w:style>
  <w:style w:type="character" w:customStyle="1" w:styleId="OnderwerpvanopmerkingChar">
    <w:name w:val="Onderwerp van opmerking Char"/>
    <w:basedOn w:val="TekstopmerkingChar"/>
    <w:link w:val="Onderwerpvanopmerking"/>
    <w:uiPriority w:val="99"/>
    <w:semiHidden/>
    <w:locked/>
    <w:rsid w:val="00092C16"/>
    <w:rPr>
      <w:rFonts w:ascii="Times New Roman" w:hAnsi="Times New Roman" w:cs="Times New Roman"/>
      <w:b/>
      <w:bCs/>
      <w:sz w:val="20"/>
      <w:szCs w:val="20"/>
      <w:lang w:val="x-none" w:eastAsia="zh-CN"/>
    </w:rPr>
  </w:style>
  <w:style w:type="paragraph" w:styleId="Koptekst">
    <w:name w:val="header"/>
    <w:basedOn w:val="Standaard"/>
    <w:link w:val="KoptekstChar"/>
    <w:uiPriority w:val="99"/>
    <w:rsid w:val="00AA206E"/>
    <w:pPr>
      <w:tabs>
        <w:tab w:val="center" w:pos="4513"/>
        <w:tab w:val="right" w:pos="9026"/>
      </w:tabs>
    </w:pPr>
  </w:style>
  <w:style w:type="character" w:customStyle="1" w:styleId="KoptekstChar">
    <w:name w:val="Koptekst Char"/>
    <w:basedOn w:val="Standaardalinea-lettertype"/>
    <w:link w:val="Koptekst"/>
    <w:uiPriority w:val="99"/>
    <w:locked/>
    <w:rsid w:val="00AA206E"/>
    <w:rPr>
      <w:rFonts w:ascii="Times New Roman" w:hAnsi="Times New Roman" w:cs="Times New Roman"/>
      <w:sz w:val="24"/>
      <w:szCs w:val="24"/>
      <w:lang w:val="x-none" w:eastAsia="zh-CN"/>
    </w:rPr>
  </w:style>
  <w:style w:type="paragraph" w:styleId="Voettekst">
    <w:name w:val="footer"/>
    <w:basedOn w:val="Standaard"/>
    <w:link w:val="VoettekstChar"/>
    <w:uiPriority w:val="99"/>
    <w:rsid w:val="00AA206E"/>
    <w:pPr>
      <w:tabs>
        <w:tab w:val="center" w:pos="4513"/>
        <w:tab w:val="right" w:pos="9026"/>
      </w:tabs>
    </w:pPr>
  </w:style>
  <w:style w:type="character" w:customStyle="1" w:styleId="VoettekstChar">
    <w:name w:val="Voettekst Char"/>
    <w:basedOn w:val="Standaardalinea-lettertype"/>
    <w:link w:val="Voettekst"/>
    <w:uiPriority w:val="99"/>
    <w:locked/>
    <w:rsid w:val="00AA206E"/>
    <w:rPr>
      <w:rFonts w:ascii="Times New Roman" w:hAnsi="Times New Roman" w:cs="Times New Roman"/>
      <w:sz w:val="24"/>
      <w:szCs w:val="24"/>
      <w:lang w:val="x-none" w:eastAsia="zh-CN"/>
    </w:rPr>
  </w:style>
  <w:style w:type="paragraph" w:styleId="Voetnoottekst">
    <w:name w:val="footnote text"/>
    <w:basedOn w:val="Standaard"/>
    <w:link w:val="VoetnoottekstChar"/>
    <w:uiPriority w:val="99"/>
    <w:semiHidden/>
    <w:unhideWhenUsed/>
    <w:rsid w:val="006A2F63"/>
    <w:rPr>
      <w:sz w:val="20"/>
      <w:szCs w:val="20"/>
    </w:rPr>
  </w:style>
  <w:style w:type="character" w:customStyle="1" w:styleId="VoetnoottekstChar">
    <w:name w:val="Voetnoottekst Char"/>
    <w:basedOn w:val="Standaardalinea-lettertype"/>
    <w:link w:val="Voetnoottekst"/>
    <w:uiPriority w:val="99"/>
    <w:semiHidden/>
    <w:rsid w:val="006A2F63"/>
    <w:rPr>
      <w:rFonts w:ascii="Times New Roman" w:hAnsi="Times New Roman" w:cs="Times New Roman"/>
      <w:sz w:val="20"/>
      <w:szCs w:val="20"/>
      <w:lang w:eastAsia="zh-CN"/>
    </w:rPr>
  </w:style>
  <w:style w:type="character" w:styleId="Voetnootmarkering">
    <w:name w:val="footnote reference"/>
    <w:basedOn w:val="Standaardalinea-lettertype"/>
    <w:uiPriority w:val="99"/>
    <w:semiHidden/>
    <w:unhideWhenUsed/>
    <w:rsid w:val="006A2F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214475">
      <w:marLeft w:val="0"/>
      <w:marRight w:val="0"/>
      <w:marTop w:val="0"/>
      <w:marBottom w:val="0"/>
      <w:divBdr>
        <w:top w:val="none" w:sz="0" w:space="0" w:color="auto"/>
        <w:left w:val="none" w:sz="0" w:space="0" w:color="auto"/>
        <w:bottom w:val="none" w:sz="0" w:space="0" w:color="auto"/>
        <w:right w:val="none" w:sz="0" w:space="0" w:color="auto"/>
      </w:divBdr>
    </w:div>
    <w:div w:id="1136214489">
      <w:marLeft w:val="0"/>
      <w:marRight w:val="0"/>
      <w:marTop w:val="0"/>
      <w:marBottom w:val="0"/>
      <w:divBdr>
        <w:top w:val="none" w:sz="0" w:space="0" w:color="auto"/>
        <w:left w:val="none" w:sz="0" w:space="0" w:color="auto"/>
        <w:bottom w:val="none" w:sz="0" w:space="0" w:color="auto"/>
        <w:right w:val="none" w:sz="0" w:space="0" w:color="auto"/>
      </w:divBdr>
      <w:divsChild>
        <w:div w:id="1136214492">
          <w:marLeft w:val="0"/>
          <w:marRight w:val="0"/>
          <w:marTop w:val="0"/>
          <w:marBottom w:val="0"/>
          <w:divBdr>
            <w:top w:val="single" w:sz="6" w:space="0" w:color="081683"/>
            <w:left w:val="single" w:sz="6" w:space="0" w:color="081683"/>
            <w:bottom w:val="single" w:sz="6" w:space="0" w:color="081683"/>
            <w:right w:val="single" w:sz="6" w:space="0" w:color="081683"/>
          </w:divBdr>
          <w:divsChild>
            <w:div w:id="1136214485">
              <w:marLeft w:val="0"/>
              <w:marRight w:val="0"/>
              <w:marTop w:val="0"/>
              <w:marBottom w:val="0"/>
              <w:divBdr>
                <w:top w:val="none" w:sz="0" w:space="0" w:color="auto"/>
                <w:left w:val="none" w:sz="0" w:space="0" w:color="auto"/>
                <w:bottom w:val="none" w:sz="0" w:space="0" w:color="auto"/>
                <w:right w:val="none" w:sz="0" w:space="0" w:color="auto"/>
              </w:divBdr>
              <w:divsChild>
                <w:div w:id="1136214487">
                  <w:marLeft w:val="0"/>
                  <w:marRight w:val="0"/>
                  <w:marTop w:val="0"/>
                  <w:marBottom w:val="0"/>
                  <w:divBdr>
                    <w:top w:val="none" w:sz="0" w:space="0" w:color="auto"/>
                    <w:left w:val="none" w:sz="0" w:space="0" w:color="auto"/>
                    <w:bottom w:val="none" w:sz="0" w:space="0" w:color="auto"/>
                    <w:right w:val="none" w:sz="0" w:space="0" w:color="auto"/>
                  </w:divBdr>
                  <w:divsChild>
                    <w:div w:id="1136214476">
                      <w:marLeft w:val="0"/>
                      <w:marRight w:val="0"/>
                      <w:marTop w:val="0"/>
                      <w:marBottom w:val="0"/>
                      <w:divBdr>
                        <w:top w:val="none" w:sz="0" w:space="0" w:color="auto"/>
                        <w:left w:val="none" w:sz="0" w:space="0" w:color="auto"/>
                        <w:bottom w:val="none" w:sz="0" w:space="0" w:color="auto"/>
                        <w:right w:val="none" w:sz="0" w:space="0" w:color="auto"/>
                      </w:divBdr>
                      <w:divsChild>
                        <w:div w:id="1136214484">
                          <w:marLeft w:val="0"/>
                          <w:marRight w:val="0"/>
                          <w:marTop w:val="0"/>
                          <w:marBottom w:val="0"/>
                          <w:divBdr>
                            <w:top w:val="none" w:sz="0" w:space="0" w:color="auto"/>
                            <w:left w:val="none" w:sz="0" w:space="0" w:color="auto"/>
                            <w:bottom w:val="none" w:sz="0" w:space="0" w:color="auto"/>
                            <w:right w:val="none" w:sz="0" w:space="0" w:color="auto"/>
                          </w:divBdr>
                          <w:divsChild>
                            <w:div w:id="1136214482">
                              <w:marLeft w:val="0"/>
                              <w:marRight w:val="0"/>
                              <w:marTop w:val="0"/>
                              <w:marBottom w:val="0"/>
                              <w:divBdr>
                                <w:top w:val="none" w:sz="0" w:space="0" w:color="auto"/>
                                <w:left w:val="none" w:sz="0" w:space="0" w:color="auto"/>
                                <w:bottom w:val="none" w:sz="0" w:space="0" w:color="auto"/>
                                <w:right w:val="none" w:sz="0" w:space="0" w:color="auto"/>
                              </w:divBdr>
                              <w:divsChild>
                                <w:div w:id="1136214477">
                                  <w:marLeft w:val="0"/>
                                  <w:marRight w:val="0"/>
                                  <w:marTop w:val="0"/>
                                  <w:marBottom w:val="0"/>
                                  <w:divBdr>
                                    <w:top w:val="none" w:sz="0" w:space="0" w:color="auto"/>
                                    <w:left w:val="none" w:sz="0" w:space="0" w:color="auto"/>
                                    <w:bottom w:val="none" w:sz="0" w:space="0" w:color="auto"/>
                                    <w:right w:val="none" w:sz="0" w:space="0" w:color="auto"/>
                                  </w:divBdr>
                                  <w:divsChild>
                                    <w:div w:id="1136214488">
                                      <w:marLeft w:val="0"/>
                                      <w:marRight w:val="0"/>
                                      <w:marTop w:val="0"/>
                                      <w:marBottom w:val="0"/>
                                      <w:divBdr>
                                        <w:top w:val="none" w:sz="0" w:space="0" w:color="auto"/>
                                        <w:left w:val="none" w:sz="0" w:space="0" w:color="auto"/>
                                        <w:bottom w:val="none" w:sz="0" w:space="0" w:color="auto"/>
                                        <w:right w:val="none" w:sz="0" w:space="0" w:color="auto"/>
                                      </w:divBdr>
                                      <w:divsChild>
                                        <w:div w:id="11362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214495">
      <w:marLeft w:val="0"/>
      <w:marRight w:val="0"/>
      <w:marTop w:val="0"/>
      <w:marBottom w:val="0"/>
      <w:divBdr>
        <w:top w:val="none" w:sz="0" w:space="0" w:color="auto"/>
        <w:left w:val="none" w:sz="0" w:space="0" w:color="auto"/>
        <w:bottom w:val="none" w:sz="0" w:space="0" w:color="auto"/>
        <w:right w:val="none" w:sz="0" w:space="0" w:color="auto"/>
      </w:divBdr>
      <w:divsChild>
        <w:div w:id="1136214486">
          <w:marLeft w:val="0"/>
          <w:marRight w:val="0"/>
          <w:marTop w:val="0"/>
          <w:marBottom w:val="0"/>
          <w:divBdr>
            <w:top w:val="single" w:sz="6" w:space="0" w:color="081683"/>
            <w:left w:val="single" w:sz="6" w:space="0" w:color="081683"/>
            <w:bottom w:val="single" w:sz="6" w:space="0" w:color="081683"/>
            <w:right w:val="single" w:sz="6" w:space="0" w:color="081683"/>
          </w:divBdr>
          <w:divsChild>
            <w:div w:id="1136214479">
              <w:marLeft w:val="0"/>
              <w:marRight w:val="0"/>
              <w:marTop w:val="0"/>
              <w:marBottom w:val="0"/>
              <w:divBdr>
                <w:top w:val="none" w:sz="0" w:space="0" w:color="auto"/>
                <w:left w:val="none" w:sz="0" w:space="0" w:color="auto"/>
                <w:bottom w:val="none" w:sz="0" w:space="0" w:color="auto"/>
                <w:right w:val="none" w:sz="0" w:space="0" w:color="auto"/>
              </w:divBdr>
              <w:divsChild>
                <w:div w:id="1136214494">
                  <w:marLeft w:val="0"/>
                  <w:marRight w:val="0"/>
                  <w:marTop w:val="0"/>
                  <w:marBottom w:val="0"/>
                  <w:divBdr>
                    <w:top w:val="none" w:sz="0" w:space="0" w:color="auto"/>
                    <w:left w:val="none" w:sz="0" w:space="0" w:color="auto"/>
                    <w:bottom w:val="none" w:sz="0" w:space="0" w:color="auto"/>
                    <w:right w:val="none" w:sz="0" w:space="0" w:color="auto"/>
                  </w:divBdr>
                  <w:divsChild>
                    <w:div w:id="1136214478">
                      <w:marLeft w:val="0"/>
                      <w:marRight w:val="0"/>
                      <w:marTop w:val="0"/>
                      <w:marBottom w:val="0"/>
                      <w:divBdr>
                        <w:top w:val="none" w:sz="0" w:space="0" w:color="auto"/>
                        <w:left w:val="none" w:sz="0" w:space="0" w:color="auto"/>
                        <w:bottom w:val="none" w:sz="0" w:space="0" w:color="auto"/>
                        <w:right w:val="none" w:sz="0" w:space="0" w:color="auto"/>
                      </w:divBdr>
                      <w:divsChild>
                        <w:div w:id="1136214483">
                          <w:marLeft w:val="0"/>
                          <w:marRight w:val="0"/>
                          <w:marTop w:val="0"/>
                          <w:marBottom w:val="0"/>
                          <w:divBdr>
                            <w:top w:val="none" w:sz="0" w:space="0" w:color="auto"/>
                            <w:left w:val="none" w:sz="0" w:space="0" w:color="auto"/>
                            <w:bottom w:val="none" w:sz="0" w:space="0" w:color="auto"/>
                            <w:right w:val="none" w:sz="0" w:space="0" w:color="auto"/>
                          </w:divBdr>
                          <w:divsChild>
                            <w:div w:id="1136214481">
                              <w:marLeft w:val="0"/>
                              <w:marRight w:val="0"/>
                              <w:marTop w:val="0"/>
                              <w:marBottom w:val="0"/>
                              <w:divBdr>
                                <w:top w:val="none" w:sz="0" w:space="0" w:color="auto"/>
                                <w:left w:val="none" w:sz="0" w:space="0" w:color="auto"/>
                                <w:bottom w:val="none" w:sz="0" w:space="0" w:color="auto"/>
                                <w:right w:val="none" w:sz="0" w:space="0" w:color="auto"/>
                              </w:divBdr>
                              <w:divsChild>
                                <w:div w:id="1136214491">
                                  <w:marLeft w:val="0"/>
                                  <w:marRight w:val="0"/>
                                  <w:marTop w:val="0"/>
                                  <w:marBottom w:val="0"/>
                                  <w:divBdr>
                                    <w:top w:val="none" w:sz="0" w:space="0" w:color="auto"/>
                                    <w:left w:val="none" w:sz="0" w:space="0" w:color="auto"/>
                                    <w:bottom w:val="none" w:sz="0" w:space="0" w:color="auto"/>
                                    <w:right w:val="none" w:sz="0" w:space="0" w:color="auto"/>
                                  </w:divBdr>
                                  <w:divsChild>
                                    <w:div w:id="1136214480">
                                      <w:marLeft w:val="0"/>
                                      <w:marRight w:val="0"/>
                                      <w:marTop w:val="0"/>
                                      <w:marBottom w:val="0"/>
                                      <w:divBdr>
                                        <w:top w:val="none" w:sz="0" w:space="0" w:color="auto"/>
                                        <w:left w:val="none" w:sz="0" w:space="0" w:color="auto"/>
                                        <w:bottom w:val="none" w:sz="0" w:space="0" w:color="auto"/>
                                        <w:right w:val="none" w:sz="0" w:space="0" w:color="auto"/>
                                      </w:divBdr>
                                      <w:divsChild>
                                        <w:div w:id="1136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0FAE9E37C71140AC071BCC86EE55CB" ma:contentTypeVersion="0" ma:contentTypeDescription="Een nieuw document maken." ma:contentTypeScope="" ma:versionID="eeb4912cabe8b2da77350ed170cdbd7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5D0413-7CEB-4920-8740-3193C127B1E7}"/>
</file>

<file path=customXml/itemProps2.xml><?xml version="1.0" encoding="utf-8"?>
<ds:datastoreItem xmlns:ds="http://schemas.openxmlformats.org/officeDocument/2006/customXml" ds:itemID="{7208D466-9071-4392-956E-8662BC3CD7B5}"/>
</file>

<file path=customXml/itemProps3.xml><?xml version="1.0" encoding="utf-8"?>
<ds:datastoreItem xmlns:ds="http://schemas.openxmlformats.org/officeDocument/2006/customXml" ds:itemID="{B2820CC0-13C4-4D1C-9471-D255C00017A3}"/>
</file>

<file path=customXml/itemProps4.xml><?xml version="1.0" encoding="utf-8"?>
<ds:datastoreItem xmlns:ds="http://schemas.openxmlformats.org/officeDocument/2006/customXml" ds:itemID="{E014FB6C-EF0C-41A9-AC15-4E5E04A08913}"/>
</file>

<file path=docProps/app.xml><?xml version="1.0" encoding="utf-8"?>
<Properties xmlns="http://schemas.openxmlformats.org/officeDocument/2006/extended-properties" xmlns:vt="http://schemas.openxmlformats.org/officeDocument/2006/docPropsVTypes">
  <Template>4F539F9B.dotm</Template>
  <TotalTime>0</TotalTime>
  <Pages>13</Pages>
  <Words>6200</Words>
  <Characters>34101</Characters>
  <Application>Microsoft Office Word</Application>
  <DocSecurity>4</DocSecurity>
  <Lines>284</Lines>
  <Paragraphs>80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Goedkeuring van het op 2 april 2013 te New York tot stand gekomen VN-wapenhandelsverdrag (Trb</vt:lpstr>
      <vt:lpstr>Goedkeuring van het op 2 april 2013 te New York tot stand gekomen VN-wapenhandelsverdrag (Trb</vt:lpstr>
    </vt:vector>
  </TitlesOfParts>
  <Company>Ministerie van Buitenlandse Zaken</Company>
  <LinksUpToDate>false</LinksUpToDate>
  <CharactersWithSpaces>40221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Goedkeuring van het op 2 april 2013 te New York tot stand gekomen VN-wapenhandelsverdrag (Trb</dc:title>
  <dc:creator>Eran Nagan</dc:creator>
  <cp:lastModifiedBy>Hans Bouwmeester</cp:lastModifiedBy>
  <cp:revision>2</cp:revision>
  <cp:lastPrinted>2014-05-06T09:45:00Z</cp:lastPrinted>
  <dcterms:created xsi:type="dcterms:W3CDTF">2014-06-18T07:44:00Z</dcterms:created>
  <dcterms:modified xsi:type="dcterms:W3CDTF">2014-06-18T07:44:00Z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0x0101004F0FAE9E37C71140AC071BCC86EE55CB</vt:lpwstr>
  </property>
</Properties>
</file>